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F37FF" w14:textId="6EFDD5CE" w:rsidR="00E939B0" w:rsidRPr="006754A3" w:rsidRDefault="00E939B0" w:rsidP="00E939B0">
      <w:pPr>
        <w:spacing w:after="160" w:line="259" w:lineRule="auto"/>
        <w:jc w:val="right"/>
        <w:rPr>
          <w:rFonts w:eastAsia="MS PGothic" w:cs="Times New Roman"/>
          <w:b/>
          <w:w w:val="110"/>
          <w:sz w:val="40"/>
          <w:szCs w:val="40"/>
          <w:lang w:val="sr-Cyrl-RS" w:eastAsia="ja-JP"/>
        </w:rPr>
      </w:pPr>
      <w:bookmarkStart w:id="0" w:name="_Toc337117118"/>
      <w:bookmarkStart w:id="1" w:name="_Toc444605532"/>
      <w:r>
        <w:rPr>
          <w:rFonts w:eastAsia="MS PGothic" w:cs="Times New Roman"/>
          <w:b/>
          <w:w w:val="110"/>
          <w:sz w:val="40"/>
          <w:szCs w:val="40"/>
          <w:lang w:val="sr-Cyrl-RS" w:eastAsia="ja-JP"/>
        </w:rPr>
        <w:t>Нацрт</w:t>
      </w:r>
    </w:p>
    <w:p w14:paraId="52F3E8DC"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723914BD"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12DD882E"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57BE0761"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302DF6B2"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6E5DD810" w14:textId="0A405017" w:rsidR="00E939B0" w:rsidRPr="00A6164C" w:rsidRDefault="00E939B0" w:rsidP="00E939B0">
      <w:pPr>
        <w:spacing w:after="160" w:line="360" w:lineRule="auto"/>
        <w:jc w:val="center"/>
        <w:rPr>
          <w:rFonts w:eastAsia="MS PGothic" w:cs="Times New Roman"/>
          <w:b/>
          <w:w w:val="110"/>
          <w:sz w:val="44"/>
          <w:szCs w:val="44"/>
          <w:lang w:val="sr-Cyrl-RS" w:eastAsia="ja-JP"/>
        </w:rPr>
      </w:pPr>
      <w:r w:rsidRPr="00A6164C">
        <w:rPr>
          <w:rFonts w:eastAsia="MS PGothic" w:cs="Times New Roman"/>
          <w:b/>
          <w:w w:val="110"/>
          <w:sz w:val="44"/>
          <w:szCs w:val="44"/>
          <w:lang w:val="sr-Cyrl-RS" w:eastAsia="ja-JP"/>
        </w:rPr>
        <w:t>ПРОГРАМ ЕКОНОМСКИХ РЕФОРМИ ЗА ПЕРИОД ОД 202</w:t>
      </w:r>
      <w:r>
        <w:rPr>
          <w:rFonts w:eastAsia="MS PGothic" w:cs="Times New Roman"/>
          <w:b/>
          <w:w w:val="110"/>
          <w:sz w:val="44"/>
          <w:szCs w:val="44"/>
          <w:lang w:val="sr-Cyrl-RS" w:eastAsia="ja-JP"/>
        </w:rPr>
        <w:t>2</w:t>
      </w:r>
      <w:r w:rsidRPr="00A6164C">
        <w:rPr>
          <w:rFonts w:eastAsia="MS PGothic" w:cs="Times New Roman"/>
          <w:b/>
          <w:w w:val="110"/>
          <w:sz w:val="44"/>
          <w:szCs w:val="44"/>
          <w:lang w:val="sr-Cyrl-RS" w:eastAsia="ja-JP"/>
        </w:rPr>
        <w:t>. ДО 202</w:t>
      </w:r>
      <w:r>
        <w:rPr>
          <w:rFonts w:eastAsia="MS PGothic" w:cs="Times New Roman"/>
          <w:b/>
          <w:w w:val="110"/>
          <w:sz w:val="44"/>
          <w:szCs w:val="44"/>
          <w:lang w:val="sr-Cyrl-RS" w:eastAsia="ja-JP"/>
        </w:rPr>
        <w:t>4</w:t>
      </w:r>
      <w:r w:rsidRPr="00A6164C">
        <w:rPr>
          <w:rFonts w:eastAsia="MS PGothic" w:cs="Times New Roman"/>
          <w:b/>
          <w:w w:val="110"/>
          <w:sz w:val="44"/>
          <w:szCs w:val="44"/>
          <w:lang w:val="sr-Cyrl-RS" w:eastAsia="ja-JP"/>
        </w:rPr>
        <w:t>. ГОДИНЕ</w:t>
      </w:r>
    </w:p>
    <w:p w14:paraId="2136D001" w14:textId="77777777" w:rsidR="00E939B0" w:rsidRPr="00A6164C" w:rsidRDefault="00E939B0" w:rsidP="00E939B0">
      <w:pPr>
        <w:spacing w:after="160" w:line="259" w:lineRule="auto"/>
        <w:rPr>
          <w:rFonts w:eastAsia="MS PGothic" w:cs="Times New Roman"/>
          <w:b/>
          <w:w w:val="110"/>
          <w:sz w:val="26"/>
          <w:szCs w:val="26"/>
          <w:lang w:val="sr-Cyrl-RS" w:eastAsia="ja-JP"/>
        </w:rPr>
      </w:pPr>
    </w:p>
    <w:p w14:paraId="4ED6894F" w14:textId="77777777" w:rsidR="00E939B0" w:rsidRDefault="00E939B0" w:rsidP="00E939B0">
      <w:pPr>
        <w:spacing w:after="160" w:line="259" w:lineRule="auto"/>
        <w:rPr>
          <w:rFonts w:eastAsia="MS PGothic" w:cs="Times New Roman"/>
          <w:b/>
          <w:w w:val="110"/>
          <w:sz w:val="26"/>
          <w:szCs w:val="26"/>
          <w:lang w:val="sr-Cyrl-RS" w:eastAsia="ja-JP"/>
        </w:rPr>
      </w:pPr>
    </w:p>
    <w:p w14:paraId="175E7877" w14:textId="77777777" w:rsidR="00E939B0" w:rsidRDefault="00E939B0" w:rsidP="00E939B0">
      <w:pPr>
        <w:spacing w:after="160" w:line="259" w:lineRule="auto"/>
        <w:rPr>
          <w:rFonts w:eastAsia="MS PGothic" w:cs="Times New Roman"/>
          <w:b/>
          <w:w w:val="110"/>
          <w:sz w:val="26"/>
          <w:szCs w:val="26"/>
          <w:lang w:val="sr-Cyrl-RS" w:eastAsia="ja-JP"/>
        </w:rPr>
      </w:pPr>
    </w:p>
    <w:p w14:paraId="1E401BC3" w14:textId="77777777" w:rsidR="00E939B0" w:rsidRDefault="00E939B0" w:rsidP="00E939B0">
      <w:pPr>
        <w:spacing w:after="160" w:line="259" w:lineRule="auto"/>
        <w:rPr>
          <w:rFonts w:eastAsia="MS PGothic" w:cs="Times New Roman"/>
          <w:b/>
          <w:w w:val="110"/>
          <w:sz w:val="26"/>
          <w:szCs w:val="26"/>
          <w:lang w:val="sr-Cyrl-RS" w:eastAsia="ja-JP"/>
        </w:rPr>
      </w:pPr>
    </w:p>
    <w:p w14:paraId="1C75D9F7" w14:textId="77777777" w:rsidR="00E939B0" w:rsidRDefault="00E939B0" w:rsidP="00E939B0">
      <w:pPr>
        <w:spacing w:after="160" w:line="259" w:lineRule="auto"/>
        <w:rPr>
          <w:rFonts w:eastAsia="MS PGothic" w:cs="Times New Roman"/>
          <w:b/>
          <w:w w:val="110"/>
          <w:sz w:val="26"/>
          <w:szCs w:val="26"/>
          <w:lang w:val="sr-Cyrl-RS" w:eastAsia="ja-JP"/>
        </w:rPr>
      </w:pPr>
    </w:p>
    <w:p w14:paraId="70378F33" w14:textId="77777777" w:rsidR="00E939B0" w:rsidRDefault="00E939B0" w:rsidP="00E939B0">
      <w:pPr>
        <w:spacing w:after="160" w:line="259" w:lineRule="auto"/>
        <w:rPr>
          <w:rFonts w:eastAsia="MS PGothic" w:cs="Times New Roman"/>
          <w:b/>
          <w:w w:val="110"/>
          <w:sz w:val="26"/>
          <w:szCs w:val="26"/>
          <w:lang w:val="sr-Cyrl-RS" w:eastAsia="ja-JP"/>
        </w:rPr>
      </w:pPr>
    </w:p>
    <w:p w14:paraId="1E7D99C1" w14:textId="77777777" w:rsidR="00E939B0" w:rsidRDefault="00E939B0" w:rsidP="00E939B0">
      <w:pPr>
        <w:spacing w:after="160" w:line="259" w:lineRule="auto"/>
        <w:rPr>
          <w:rFonts w:eastAsia="MS PGothic" w:cs="Times New Roman"/>
          <w:b/>
          <w:w w:val="110"/>
          <w:sz w:val="26"/>
          <w:szCs w:val="26"/>
          <w:lang w:val="sr-Cyrl-RS" w:eastAsia="ja-JP"/>
        </w:rPr>
      </w:pPr>
    </w:p>
    <w:p w14:paraId="53804F43" w14:textId="77777777" w:rsidR="00E939B0" w:rsidRDefault="00E939B0" w:rsidP="00E939B0">
      <w:pPr>
        <w:spacing w:after="160" w:line="259" w:lineRule="auto"/>
        <w:rPr>
          <w:rFonts w:eastAsia="MS PGothic" w:cs="Times New Roman"/>
          <w:b/>
          <w:w w:val="110"/>
          <w:sz w:val="26"/>
          <w:szCs w:val="26"/>
          <w:lang w:val="sr-Cyrl-RS" w:eastAsia="ja-JP"/>
        </w:rPr>
      </w:pPr>
    </w:p>
    <w:p w14:paraId="7C6DA87C" w14:textId="77777777" w:rsidR="00E939B0" w:rsidRDefault="00E939B0" w:rsidP="00E939B0">
      <w:pPr>
        <w:spacing w:after="160" w:line="259" w:lineRule="auto"/>
        <w:rPr>
          <w:rFonts w:eastAsia="MS PGothic" w:cs="Times New Roman"/>
          <w:b/>
          <w:w w:val="110"/>
          <w:sz w:val="26"/>
          <w:szCs w:val="26"/>
          <w:lang w:val="sr-Cyrl-RS" w:eastAsia="ja-JP"/>
        </w:rPr>
      </w:pPr>
    </w:p>
    <w:p w14:paraId="15E59383" w14:textId="77777777" w:rsidR="00E939B0" w:rsidRDefault="00E939B0" w:rsidP="00E939B0">
      <w:pPr>
        <w:spacing w:after="160" w:line="259" w:lineRule="auto"/>
        <w:rPr>
          <w:rFonts w:eastAsia="MS PGothic" w:cs="Times New Roman"/>
          <w:b/>
          <w:w w:val="110"/>
          <w:sz w:val="26"/>
          <w:szCs w:val="26"/>
          <w:lang w:val="sr-Cyrl-RS" w:eastAsia="ja-JP"/>
        </w:rPr>
      </w:pPr>
    </w:p>
    <w:p w14:paraId="2358C2D0" w14:textId="77777777" w:rsidR="00E939B0" w:rsidRDefault="00E939B0" w:rsidP="00E939B0">
      <w:pPr>
        <w:spacing w:after="160" w:line="259" w:lineRule="auto"/>
        <w:rPr>
          <w:rFonts w:eastAsia="MS PGothic" w:cs="Times New Roman"/>
          <w:b/>
          <w:w w:val="110"/>
          <w:sz w:val="26"/>
          <w:szCs w:val="26"/>
          <w:lang w:val="sr-Cyrl-RS" w:eastAsia="ja-JP"/>
        </w:rPr>
      </w:pPr>
    </w:p>
    <w:p w14:paraId="1F365E36" w14:textId="3BAD6D37" w:rsidR="00E939B0" w:rsidRPr="00575A40" w:rsidRDefault="00E939B0" w:rsidP="00E939B0">
      <w:pPr>
        <w:spacing w:after="160" w:line="259" w:lineRule="auto"/>
        <w:jc w:val="center"/>
        <w:rPr>
          <w:rFonts w:eastAsia="MS PGothic" w:cs="Times New Roman"/>
          <w:b/>
          <w:w w:val="110"/>
          <w:szCs w:val="24"/>
          <w:lang w:val="sr-Cyrl-RS" w:eastAsia="ja-JP"/>
        </w:rPr>
      </w:pPr>
      <w:r>
        <w:rPr>
          <w:rFonts w:eastAsia="MS PGothic" w:cs="Times New Roman"/>
          <w:b/>
          <w:w w:val="110"/>
          <w:szCs w:val="24"/>
          <w:lang w:val="sr-Cyrl-RS" w:eastAsia="ja-JP"/>
        </w:rPr>
        <w:t>Београд, децембра 2021. године</w:t>
      </w:r>
    </w:p>
    <w:p w14:paraId="03C8FD63" w14:textId="77777777" w:rsidR="00E939B0" w:rsidRPr="00A6164C" w:rsidRDefault="00E939B0" w:rsidP="00E939B0">
      <w:pPr>
        <w:spacing w:after="160" w:line="259" w:lineRule="auto"/>
        <w:rPr>
          <w:rFonts w:eastAsia="MS PGothic" w:cs="Times New Roman"/>
          <w:b/>
          <w:w w:val="110"/>
          <w:sz w:val="26"/>
          <w:szCs w:val="26"/>
          <w:lang w:val="sr-Cyrl-RS" w:eastAsia="ja-JP"/>
        </w:rPr>
      </w:pPr>
      <w:r w:rsidRPr="00A6164C">
        <w:rPr>
          <w:rFonts w:eastAsia="MS PGothic" w:cs="Times New Roman"/>
          <w:b/>
          <w:w w:val="110"/>
          <w:sz w:val="26"/>
          <w:szCs w:val="26"/>
          <w:lang w:val="sr-Cyrl-RS" w:eastAsia="ja-JP"/>
        </w:rPr>
        <w:br w:type="page"/>
      </w:r>
    </w:p>
    <w:p w14:paraId="4DE46A45" w14:textId="77777777" w:rsidR="00E939B0" w:rsidRDefault="00E939B0">
      <w:pPr>
        <w:spacing w:after="160" w:line="259" w:lineRule="auto"/>
        <w:jc w:val="left"/>
        <w:rPr>
          <w:rFonts w:eastAsia="MS PGothic" w:cs="Times New Roman"/>
          <w:b/>
          <w:szCs w:val="24"/>
          <w:lang w:eastAsia="ja-JP"/>
        </w:rPr>
      </w:pPr>
    </w:p>
    <w:sdt>
      <w:sdtPr>
        <w:rPr>
          <w:rFonts w:ascii="Times New Roman" w:eastAsiaTheme="minorHAnsi" w:hAnsi="Times New Roman" w:cs="Times New Roman"/>
          <w:color w:val="auto"/>
          <w:sz w:val="24"/>
          <w:szCs w:val="22"/>
          <w:lang w:eastAsia="en-US"/>
        </w:rPr>
        <w:id w:val="-1302539685"/>
        <w:docPartObj>
          <w:docPartGallery w:val="Table of Contents"/>
          <w:docPartUnique/>
        </w:docPartObj>
      </w:sdtPr>
      <w:sdtEndPr>
        <w:rPr>
          <w:rFonts w:cstheme="minorBidi"/>
          <w:b/>
          <w:bCs/>
          <w:noProof/>
        </w:rPr>
      </w:sdtEndPr>
      <w:sdtContent>
        <w:p w14:paraId="0723E148" w14:textId="3FD38FC9" w:rsidR="00DA1C9D" w:rsidRPr="008C478F" w:rsidRDefault="00DA1C9D">
          <w:pPr>
            <w:pStyle w:val="TOCHeading"/>
            <w:rPr>
              <w:rFonts w:ascii="Times New Roman" w:hAnsi="Times New Roman" w:cs="Times New Roman"/>
              <w:lang w:val="sr-Cyrl-RS"/>
            </w:rPr>
          </w:pPr>
          <w:r w:rsidRPr="008C478F">
            <w:rPr>
              <w:rFonts w:ascii="Times New Roman" w:hAnsi="Times New Roman" w:cs="Times New Roman"/>
              <w:lang w:val="sr-Cyrl-RS"/>
            </w:rPr>
            <w:t>Садржај</w:t>
          </w:r>
        </w:p>
        <w:p w14:paraId="2B2045E3" w14:textId="594E4DA2" w:rsidR="008C478F" w:rsidRPr="008C478F" w:rsidRDefault="00DA1C9D">
          <w:pPr>
            <w:pStyle w:val="TOC1"/>
            <w:rPr>
              <w:rFonts w:eastAsiaTheme="minorEastAsia" w:cs="Times New Roman"/>
              <w:kern w:val="0"/>
              <w:sz w:val="22"/>
              <w:szCs w:val="22"/>
              <w:lang w:val="sr-Latn-RS" w:eastAsia="sr-Latn-RS"/>
            </w:rPr>
          </w:pPr>
          <w:r w:rsidRPr="008C478F">
            <w:rPr>
              <w:rFonts w:cs="Times New Roman"/>
            </w:rPr>
            <w:fldChar w:fldCharType="begin"/>
          </w:r>
          <w:r w:rsidRPr="008C478F">
            <w:rPr>
              <w:rFonts w:cs="Times New Roman"/>
            </w:rPr>
            <w:instrText xml:space="preserve"> TOC \o "1-3" \h \z \u </w:instrText>
          </w:r>
          <w:r w:rsidRPr="008C478F">
            <w:rPr>
              <w:rFonts w:cs="Times New Roman"/>
            </w:rPr>
            <w:fldChar w:fldCharType="separate"/>
          </w:r>
          <w:hyperlink w:anchor="_Toc89375515" w:history="1">
            <w:r w:rsidR="008C478F" w:rsidRPr="008C478F">
              <w:rPr>
                <w:rStyle w:val="Hyperlink"/>
                <w:rFonts w:cs="Times New Roman"/>
                <w:b/>
              </w:rPr>
              <w:t>1</w:t>
            </w:r>
            <w:r w:rsidR="008C478F" w:rsidRPr="008C478F">
              <w:rPr>
                <w:rStyle w:val="Hyperlink"/>
                <w:rFonts w:cs="Times New Roman"/>
                <w:b/>
                <w:lang w:val="sr-Cyrl-RS"/>
              </w:rPr>
              <w:t xml:space="preserve">. </w:t>
            </w:r>
            <w:r w:rsidR="008C478F" w:rsidRPr="008C478F">
              <w:rPr>
                <w:rStyle w:val="Hyperlink"/>
                <w:rFonts w:cs="Times New Roman"/>
                <w:b/>
                <w:caps/>
                <w:lang w:val="sr-Cyrl-RS"/>
              </w:rPr>
              <w:t>Општи оквир и циљеви јавне политике</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_Toc89375515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2</w:t>
            </w:r>
            <w:r w:rsidR="008C478F" w:rsidRPr="008C478F">
              <w:rPr>
                <w:rFonts w:cs="Times New Roman"/>
                <w:webHidden/>
              </w:rPr>
              <w:fldChar w:fldCharType="end"/>
            </w:r>
          </w:hyperlink>
        </w:p>
        <w:p w14:paraId="1025D0A9" w14:textId="2431E12A" w:rsidR="008C478F" w:rsidRPr="008C478F" w:rsidRDefault="00B64436">
          <w:pPr>
            <w:pStyle w:val="TOC1"/>
            <w:rPr>
              <w:rFonts w:eastAsiaTheme="minorEastAsia" w:cs="Times New Roman"/>
              <w:kern w:val="0"/>
              <w:sz w:val="22"/>
              <w:szCs w:val="22"/>
              <w:lang w:val="sr-Latn-RS" w:eastAsia="sr-Latn-RS"/>
            </w:rPr>
          </w:pPr>
          <w:hyperlink w:anchor="_Toc89375516" w:history="1">
            <w:r w:rsidR="008C478F" w:rsidRPr="008C478F">
              <w:rPr>
                <w:rStyle w:val="Hyperlink"/>
                <w:rFonts w:cs="Times New Roman"/>
                <w:b/>
                <w:w w:val="110"/>
                <w:lang w:val="sr-Cyrl-RS"/>
              </w:rPr>
              <w:t>2. СПРОВОЂЕЊЕ ПРЕПОРУКА</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_Toc89375516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3</w:t>
            </w:r>
            <w:r w:rsidR="008C478F" w:rsidRPr="008C478F">
              <w:rPr>
                <w:rFonts w:cs="Times New Roman"/>
                <w:webHidden/>
              </w:rPr>
              <w:fldChar w:fldCharType="end"/>
            </w:r>
          </w:hyperlink>
        </w:p>
        <w:p w14:paraId="15C2A9E8" w14:textId="0885A0E0" w:rsidR="008C478F" w:rsidRPr="008C478F" w:rsidRDefault="00B64436">
          <w:pPr>
            <w:pStyle w:val="TOC1"/>
            <w:rPr>
              <w:rFonts w:eastAsiaTheme="minorEastAsia" w:cs="Times New Roman"/>
              <w:kern w:val="0"/>
              <w:sz w:val="22"/>
              <w:szCs w:val="22"/>
              <w:lang w:val="sr-Latn-RS" w:eastAsia="sr-Latn-RS"/>
            </w:rPr>
          </w:pPr>
          <w:hyperlink w:anchor="_Toc89375517" w:history="1">
            <w:r w:rsidR="008C478F" w:rsidRPr="008C478F">
              <w:rPr>
                <w:rStyle w:val="Hyperlink"/>
                <w:rFonts w:cs="Times New Roman"/>
                <w:b/>
              </w:rPr>
              <w:t>3</w:t>
            </w:r>
            <w:r w:rsidR="008C478F" w:rsidRPr="008C478F">
              <w:rPr>
                <w:rStyle w:val="Hyperlink"/>
                <w:rFonts w:cs="Times New Roman"/>
                <w:b/>
                <w:lang w:val="sr-Cyrl-RS"/>
              </w:rPr>
              <w:t>. МАКРОЕКОНОМСКИ ОКВИР</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_Toc89375517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17</w:t>
            </w:r>
            <w:r w:rsidR="008C478F" w:rsidRPr="008C478F">
              <w:rPr>
                <w:rFonts w:cs="Times New Roman"/>
                <w:webHidden/>
              </w:rPr>
              <w:fldChar w:fldCharType="end"/>
            </w:r>
          </w:hyperlink>
        </w:p>
        <w:p w14:paraId="67FCD9D5" w14:textId="38569C3A"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18" w:history="1">
            <w:r w:rsidR="008C478F" w:rsidRPr="008C478F">
              <w:rPr>
                <w:rStyle w:val="Hyperlink"/>
                <w:rFonts w:ascii="Times New Roman" w:eastAsia="Calibri" w:hAnsi="Times New Roman" w:cs="Times New Roman"/>
                <w:b/>
              </w:rPr>
              <w:t>3.1. ПРОЦЕНЕ МЕЂУНАРОДНОГ ЕКОНОМСКОГ ОКРУЖЕЊА</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_Toc89375518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17</w:t>
            </w:r>
            <w:r w:rsidR="008C478F" w:rsidRPr="008C478F">
              <w:rPr>
                <w:rFonts w:ascii="Times New Roman" w:hAnsi="Times New Roman" w:cs="Times New Roman"/>
                <w:webHidden/>
              </w:rPr>
              <w:fldChar w:fldCharType="end"/>
            </w:r>
          </w:hyperlink>
        </w:p>
        <w:p w14:paraId="6A3DB531" w14:textId="72514408"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19" w:history="1">
            <w:r w:rsidR="008C478F" w:rsidRPr="008C478F">
              <w:rPr>
                <w:rStyle w:val="Hyperlink"/>
                <w:rFonts w:ascii="Times New Roman" w:eastAsia="Calibri" w:hAnsi="Times New Roman" w:cs="Times New Roman"/>
                <w:b/>
              </w:rPr>
              <w:t>3.2. НОВИЈА ЕКОНОМСКА КРЕТАЊА</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_Toc89375519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20</w:t>
            </w:r>
            <w:r w:rsidR="008C478F" w:rsidRPr="008C478F">
              <w:rPr>
                <w:rFonts w:ascii="Times New Roman" w:hAnsi="Times New Roman" w:cs="Times New Roman"/>
                <w:webHidden/>
              </w:rPr>
              <w:fldChar w:fldCharType="end"/>
            </w:r>
          </w:hyperlink>
        </w:p>
        <w:p w14:paraId="5C5CF975" w14:textId="2DA4339B"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0" w:history="1">
            <w:r w:rsidR="008C478F" w:rsidRPr="008C478F">
              <w:rPr>
                <w:rStyle w:val="Hyperlink"/>
                <w:rFonts w:ascii="Times New Roman" w:eastAsia="Calibri" w:hAnsi="Times New Roman" w:cs="Times New Roman"/>
                <w:b/>
              </w:rPr>
              <w:t>3.3. СРЕДЊОРОЧНИ МАКРОЕКОНОМСКИ СЦЕНАРИО</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_Toc89375520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30</w:t>
            </w:r>
            <w:r w:rsidR="008C478F" w:rsidRPr="008C478F">
              <w:rPr>
                <w:rFonts w:ascii="Times New Roman" w:hAnsi="Times New Roman" w:cs="Times New Roman"/>
                <w:webHidden/>
              </w:rPr>
              <w:fldChar w:fldCharType="end"/>
            </w:r>
          </w:hyperlink>
        </w:p>
        <w:p w14:paraId="75DAE37A" w14:textId="1EF052ED"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1" w:history="1">
            <w:r w:rsidR="008C478F" w:rsidRPr="008C478F">
              <w:rPr>
                <w:rStyle w:val="Hyperlink"/>
                <w:rFonts w:ascii="Times New Roman" w:eastAsia="Calibri" w:hAnsi="Times New Roman" w:cs="Times New Roman"/>
                <w:b/>
              </w:rPr>
              <w:t>3.4. АЛТЕРНАТИВНИ СЦЕНАРИО И РИЗИЦИ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_Toc89375521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37</w:t>
            </w:r>
            <w:r w:rsidR="008C478F" w:rsidRPr="008C478F">
              <w:rPr>
                <w:rFonts w:ascii="Times New Roman" w:hAnsi="Times New Roman" w:cs="Times New Roman"/>
                <w:webHidden/>
              </w:rPr>
              <w:fldChar w:fldCharType="end"/>
            </w:r>
          </w:hyperlink>
        </w:p>
        <w:p w14:paraId="6955C7B0" w14:textId="62AEF2C9" w:rsidR="008C478F" w:rsidRPr="008C478F" w:rsidRDefault="00B64436">
          <w:pPr>
            <w:pStyle w:val="TOC1"/>
            <w:rPr>
              <w:rFonts w:eastAsiaTheme="minorEastAsia" w:cs="Times New Roman"/>
              <w:kern w:val="0"/>
              <w:sz w:val="22"/>
              <w:szCs w:val="22"/>
              <w:lang w:val="sr-Latn-RS" w:eastAsia="sr-Latn-RS"/>
            </w:rPr>
          </w:pPr>
          <w:hyperlink w:anchor="_Toc89375522" w:history="1">
            <w:r w:rsidR="008C478F" w:rsidRPr="008C478F">
              <w:rPr>
                <w:rStyle w:val="Hyperlink"/>
                <w:rFonts w:eastAsiaTheme="majorEastAsia" w:cs="Times New Roman"/>
                <w:b/>
              </w:rPr>
              <w:t>4</w:t>
            </w:r>
            <w:r w:rsidR="008C478F" w:rsidRPr="008C478F">
              <w:rPr>
                <w:rStyle w:val="Hyperlink"/>
                <w:rFonts w:eastAsiaTheme="majorEastAsia" w:cs="Times New Roman"/>
                <w:b/>
                <w:lang w:val="sr-Cyrl-RS"/>
              </w:rPr>
              <w:t>. ФИСКАЛНИ ОКВИР</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_Toc89375522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39</w:t>
            </w:r>
            <w:r w:rsidR="008C478F" w:rsidRPr="008C478F">
              <w:rPr>
                <w:rFonts w:cs="Times New Roman"/>
                <w:webHidden/>
              </w:rPr>
              <w:fldChar w:fldCharType="end"/>
            </w:r>
          </w:hyperlink>
        </w:p>
        <w:p w14:paraId="1ADA9B42" w14:textId="21A7637A"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3" w:history="1">
            <w:r w:rsidR="008C478F" w:rsidRPr="008C478F">
              <w:rPr>
                <w:rStyle w:val="Hyperlink"/>
                <w:rFonts w:ascii="Times New Roman" w:eastAsiaTheme="majorEastAsia" w:hAnsi="Times New Roman" w:cs="Times New Roman"/>
                <w:b/>
              </w:rPr>
              <w:t>4.1. СТРАТЕГИЈА ЈАВНЕ ПОЛИТИКЕ И СРЕДЊОРОЧНИ ЦИЉЕВИ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_Toc89375523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39</w:t>
            </w:r>
            <w:r w:rsidR="008C478F" w:rsidRPr="008C478F">
              <w:rPr>
                <w:rFonts w:ascii="Times New Roman" w:hAnsi="Times New Roman" w:cs="Times New Roman"/>
                <w:webHidden/>
              </w:rPr>
              <w:fldChar w:fldCharType="end"/>
            </w:r>
          </w:hyperlink>
        </w:p>
        <w:p w14:paraId="4F82F12B" w14:textId="118CB4E9"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4" w:history="1">
            <w:r w:rsidR="008C478F" w:rsidRPr="008C478F">
              <w:rPr>
                <w:rStyle w:val="Hyperlink"/>
                <w:rFonts w:ascii="Times New Roman" w:eastAsia="Calibri" w:hAnsi="Times New Roman" w:cs="Times New Roman"/>
                <w:b/>
              </w:rPr>
              <w:t>4.2. ИЗВРШЕЊЕ БУЏЕТА У 2021. ГОДИНИ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_Toc89375524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40</w:t>
            </w:r>
            <w:r w:rsidR="008C478F" w:rsidRPr="008C478F">
              <w:rPr>
                <w:rFonts w:ascii="Times New Roman" w:hAnsi="Times New Roman" w:cs="Times New Roman"/>
                <w:webHidden/>
              </w:rPr>
              <w:fldChar w:fldCharType="end"/>
            </w:r>
          </w:hyperlink>
        </w:p>
        <w:p w14:paraId="6D6ACF51" w14:textId="2EE73D36"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5" w:history="1">
            <w:r w:rsidR="008C478F" w:rsidRPr="008C478F">
              <w:rPr>
                <w:rStyle w:val="Hyperlink"/>
                <w:rFonts w:ascii="Times New Roman" w:eastAsiaTheme="majorEastAsia" w:hAnsi="Times New Roman" w:cs="Times New Roman"/>
                <w:b/>
              </w:rPr>
              <w:t>4.3. ФИСКАЛНЕ ПРОЈЕКЦИЈЕ У ПЕРИОДУ 2022–2024. ГОДИНЕ</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_Toc89375525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49</w:t>
            </w:r>
            <w:r w:rsidR="008C478F" w:rsidRPr="008C478F">
              <w:rPr>
                <w:rFonts w:ascii="Times New Roman" w:hAnsi="Times New Roman" w:cs="Times New Roman"/>
                <w:webHidden/>
              </w:rPr>
              <w:fldChar w:fldCharType="end"/>
            </w:r>
          </w:hyperlink>
        </w:p>
        <w:p w14:paraId="35A04851" w14:textId="323D5B73"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6" w:history="1">
            <w:r w:rsidR="008C478F" w:rsidRPr="008C478F">
              <w:rPr>
                <w:rStyle w:val="Hyperlink"/>
                <w:rFonts w:ascii="Times New Roman" w:eastAsia="Calibri" w:hAnsi="Times New Roman" w:cs="Times New Roman"/>
                <w:b/>
              </w:rPr>
              <w:t>4.4. ЦИКЛИЧНО ПРИЛАГОЂЕНИ ФИСКАЛНИ БИЛАНС</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_Toc89375526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56</w:t>
            </w:r>
            <w:r w:rsidR="008C478F" w:rsidRPr="008C478F">
              <w:rPr>
                <w:rFonts w:ascii="Times New Roman" w:hAnsi="Times New Roman" w:cs="Times New Roman"/>
                <w:webHidden/>
              </w:rPr>
              <w:fldChar w:fldCharType="end"/>
            </w:r>
          </w:hyperlink>
        </w:p>
        <w:p w14:paraId="610328DC" w14:textId="1C86FA71"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7" w:history="1">
            <w:r w:rsidR="008C478F" w:rsidRPr="008C478F">
              <w:rPr>
                <w:rStyle w:val="Hyperlink"/>
                <w:rFonts w:ascii="Times New Roman" w:eastAsia="Calibri" w:hAnsi="Times New Roman" w:cs="Times New Roman"/>
                <w:b/>
              </w:rPr>
              <w:t>4.5. УПРАВЉАЊЕ ЈАВНИМ ДУГОМ</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_Toc89375527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59</w:t>
            </w:r>
            <w:r w:rsidR="008C478F" w:rsidRPr="008C478F">
              <w:rPr>
                <w:rFonts w:ascii="Times New Roman" w:hAnsi="Times New Roman" w:cs="Times New Roman"/>
                <w:webHidden/>
              </w:rPr>
              <w:fldChar w:fldCharType="end"/>
            </w:r>
          </w:hyperlink>
        </w:p>
        <w:p w14:paraId="51436D2B" w14:textId="74D89B75"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8" w:history="1">
            <w:r w:rsidR="008C478F" w:rsidRPr="008C478F">
              <w:rPr>
                <w:rStyle w:val="Hyperlink"/>
                <w:rFonts w:ascii="Times New Roman" w:eastAsia="Calibri" w:hAnsi="Times New Roman" w:cs="Times New Roman"/>
                <w:b/>
              </w:rPr>
              <w:t>4.6. АНАЛИЗА ОСЕТЉИВОСТИ И ПОРЕЂЕЊЕ СА ПРЕТХОДНИМ ПРОГРАМОМ</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_Toc89375528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62</w:t>
            </w:r>
            <w:r w:rsidR="008C478F" w:rsidRPr="008C478F">
              <w:rPr>
                <w:rFonts w:ascii="Times New Roman" w:hAnsi="Times New Roman" w:cs="Times New Roman"/>
                <w:webHidden/>
              </w:rPr>
              <w:fldChar w:fldCharType="end"/>
            </w:r>
          </w:hyperlink>
        </w:p>
        <w:p w14:paraId="22BFDE05" w14:textId="400D83E1"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29" w:history="1">
            <w:r w:rsidR="008C478F" w:rsidRPr="008C478F">
              <w:rPr>
                <w:rStyle w:val="Hyperlink"/>
                <w:rFonts w:ascii="Times New Roman" w:eastAsia="Calibri" w:hAnsi="Times New Roman" w:cs="Times New Roman"/>
                <w:b/>
              </w:rPr>
              <w:t>4.7. КВАЛИТЕТ ЈАВНИХ ФИНАНСИЈА</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_Toc89375529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70</w:t>
            </w:r>
            <w:r w:rsidR="008C478F" w:rsidRPr="008C478F">
              <w:rPr>
                <w:rFonts w:ascii="Times New Roman" w:hAnsi="Times New Roman" w:cs="Times New Roman"/>
                <w:webHidden/>
              </w:rPr>
              <w:fldChar w:fldCharType="end"/>
            </w:r>
          </w:hyperlink>
        </w:p>
        <w:p w14:paraId="35B51FA9" w14:textId="6FDB309D"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30" w:history="1">
            <w:r w:rsidR="008C478F" w:rsidRPr="008C478F">
              <w:rPr>
                <w:rStyle w:val="Hyperlink"/>
                <w:rFonts w:ascii="Times New Roman" w:eastAsia="Calibri" w:hAnsi="Times New Roman" w:cs="Times New Roman"/>
                <w:b/>
              </w:rPr>
              <w:t>4.8. ФИСКАЛНО УПРАВЉАЊЕ И БУЏЕТСКИ ОКВИРИ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_Toc89375530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73</w:t>
            </w:r>
            <w:r w:rsidR="008C478F" w:rsidRPr="008C478F">
              <w:rPr>
                <w:rFonts w:ascii="Times New Roman" w:hAnsi="Times New Roman" w:cs="Times New Roman"/>
                <w:webHidden/>
              </w:rPr>
              <w:fldChar w:fldCharType="end"/>
            </w:r>
          </w:hyperlink>
        </w:p>
        <w:p w14:paraId="008C78EE" w14:textId="6C85F5AC" w:rsidR="008C478F" w:rsidRPr="008C478F" w:rsidRDefault="00B64436">
          <w:pPr>
            <w:pStyle w:val="TOC1"/>
            <w:rPr>
              <w:rFonts w:eastAsiaTheme="minorEastAsia" w:cs="Times New Roman"/>
              <w:kern w:val="0"/>
              <w:sz w:val="22"/>
              <w:szCs w:val="22"/>
              <w:lang w:val="sr-Latn-RS" w:eastAsia="sr-Latn-RS"/>
            </w:rPr>
          </w:pPr>
          <w:hyperlink w:anchor="_Toc89375531" w:history="1">
            <w:r w:rsidR="008C478F" w:rsidRPr="008C478F">
              <w:rPr>
                <w:rStyle w:val="Hyperlink"/>
                <w:rFonts w:eastAsia="Calibri" w:cs="Times New Roman"/>
                <w:b/>
              </w:rPr>
              <w:t>5. СТРУКТУРНЕ РЕФОРМЕ У ПЕРИОДУ 2022-2024.</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_Toc89375531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74</w:t>
            </w:r>
            <w:r w:rsidR="008C478F" w:rsidRPr="008C478F">
              <w:rPr>
                <w:rFonts w:cs="Times New Roman"/>
                <w:webHidden/>
              </w:rPr>
              <w:fldChar w:fldCharType="end"/>
            </w:r>
          </w:hyperlink>
        </w:p>
        <w:p w14:paraId="2807F078" w14:textId="58C48162"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32" w:history="1">
            <w:r w:rsidR="008C478F" w:rsidRPr="008C478F">
              <w:rPr>
                <w:rStyle w:val="Hyperlink"/>
                <w:rFonts w:ascii="Times New Roman" w:eastAsia="Times New Roman" w:hAnsi="Times New Roman" w:cs="Times New Roman"/>
                <w:b/>
                <w:bCs/>
              </w:rPr>
              <w:t>5.1. ИДЕНТИФИКАЦИЈА ТРИ КЉУЧНА ИЗАЗОВА ЗА КОНКУРЕНТНОСТ И ИНКЛУЗИВНИ РАСТ И ПОВЕЗАНЕ СТРУКТУРНЕ РЕФОРМЕ</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_Toc89375532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74</w:t>
            </w:r>
            <w:r w:rsidR="008C478F" w:rsidRPr="008C478F">
              <w:rPr>
                <w:rFonts w:ascii="Times New Roman" w:hAnsi="Times New Roman" w:cs="Times New Roman"/>
                <w:webHidden/>
              </w:rPr>
              <w:fldChar w:fldCharType="end"/>
            </w:r>
          </w:hyperlink>
        </w:p>
        <w:p w14:paraId="53A0F34D" w14:textId="67D1A544" w:rsidR="008C478F" w:rsidRPr="008C478F" w:rsidRDefault="00B64436">
          <w:pPr>
            <w:pStyle w:val="TOC2"/>
            <w:rPr>
              <w:rFonts w:ascii="Times New Roman" w:eastAsiaTheme="minorEastAsia" w:hAnsi="Times New Roman" w:cs="Times New Roman"/>
              <w:sz w:val="22"/>
              <w:szCs w:val="22"/>
              <w:lang w:val="sr-Latn-RS" w:eastAsia="sr-Latn-RS"/>
            </w:rPr>
          </w:pPr>
          <w:hyperlink w:anchor="_Toc89375533" w:history="1">
            <w:r w:rsidR="008C478F" w:rsidRPr="008C478F">
              <w:rPr>
                <w:rStyle w:val="Hyperlink"/>
                <w:rFonts w:ascii="Times New Roman" w:eastAsia="Times New Roman" w:hAnsi="Times New Roman" w:cs="Times New Roman"/>
                <w:b/>
                <w:bCs/>
              </w:rPr>
              <w:t>5.2.</w:t>
            </w:r>
            <w:r w:rsidR="008C478F" w:rsidRPr="008C478F">
              <w:rPr>
                <w:rStyle w:val="Hyperlink"/>
                <w:rFonts w:ascii="Times New Roman" w:eastAsia="Times New Roman" w:hAnsi="Times New Roman" w:cs="Times New Roman"/>
              </w:rPr>
              <w:t xml:space="preserve"> </w:t>
            </w:r>
            <w:r w:rsidR="008C478F" w:rsidRPr="008C478F">
              <w:rPr>
                <w:rStyle w:val="Hyperlink"/>
                <w:rFonts w:ascii="Times New Roman" w:eastAsia="Times New Roman" w:hAnsi="Times New Roman" w:cs="Times New Roman"/>
                <w:b/>
              </w:rPr>
              <w:t>АНАЛИЗА ПРЕПРЕКА У ДРУГИМ ОБЛАСТИМА (КОЈЕ НИСУ ПОКРИВЕНЕ У ОДЕЉКУ 5.1) И ОДГОВАРАЈУЋЕ СТРУКТУРНЕ РЕФОРМЕ</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_Toc89375533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105</w:t>
            </w:r>
            <w:r w:rsidR="008C478F" w:rsidRPr="008C478F">
              <w:rPr>
                <w:rFonts w:ascii="Times New Roman" w:hAnsi="Times New Roman" w:cs="Times New Roman"/>
                <w:webHidden/>
              </w:rPr>
              <w:fldChar w:fldCharType="end"/>
            </w:r>
          </w:hyperlink>
        </w:p>
        <w:p w14:paraId="60A2AFCB" w14:textId="54388DD8"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34" w:history="1">
            <w:r w:rsidR="008C478F" w:rsidRPr="008C478F">
              <w:rPr>
                <w:rStyle w:val="Hyperlink"/>
                <w:rFonts w:eastAsia="Times New Roman" w:cs="Times New Roman"/>
                <w:b/>
                <w:noProof/>
                <w:lang w:val="sr-Cyrl-RS"/>
              </w:rPr>
              <w:t>5.2.1. Област УПРАВЉАЊЕ ЈАВНИМ ФИНАНСИЈАМА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_Toc89375534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105</w:t>
            </w:r>
            <w:r w:rsidR="008C478F" w:rsidRPr="008C478F">
              <w:rPr>
                <w:rFonts w:cs="Times New Roman"/>
                <w:noProof/>
                <w:webHidden/>
              </w:rPr>
              <w:fldChar w:fldCharType="end"/>
            </w:r>
          </w:hyperlink>
        </w:p>
        <w:p w14:paraId="5C3EE698" w14:textId="56CE30BD"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35" w:history="1">
            <w:r w:rsidR="008C478F" w:rsidRPr="008C478F">
              <w:rPr>
                <w:rStyle w:val="Hyperlink"/>
                <w:rFonts w:eastAsia="Times New Roman" w:cs="Times New Roman"/>
                <w:b/>
                <w:noProof/>
                <w:lang w:val="sr-Cyrl-RS"/>
              </w:rPr>
              <w:t>5.2.2. Област ЗЕЛЕНА ТРАНЗИЦИЈА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_Toc89375535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111</w:t>
            </w:r>
            <w:r w:rsidR="008C478F" w:rsidRPr="008C478F">
              <w:rPr>
                <w:rFonts w:cs="Times New Roman"/>
                <w:noProof/>
                <w:webHidden/>
              </w:rPr>
              <w:fldChar w:fldCharType="end"/>
            </w:r>
          </w:hyperlink>
        </w:p>
        <w:p w14:paraId="74214BFA" w14:textId="342E2D40"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36" w:history="1">
            <w:r w:rsidR="008C478F" w:rsidRPr="008C478F">
              <w:rPr>
                <w:rStyle w:val="Hyperlink"/>
                <w:rFonts w:eastAsia="Times New Roman" w:cs="Times New Roman"/>
                <w:b/>
                <w:noProof/>
                <w:lang w:val="sr-Cyrl-RS"/>
              </w:rPr>
              <w:t>5.2.3. Област ДИГИТАЛНА ТРАНСФОРМАЦИЈА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_Toc89375536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115</w:t>
            </w:r>
            <w:r w:rsidR="008C478F" w:rsidRPr="008C478F">
              <w:rPr>
                <w:rFonts w:cs="Times New Roman"/>
                <w:noProof/>
                <w:webHidden/>
              </w:rPr>
              <w:fldChar w:fldCharType="end"/>
            </w:r>
          </w:hyperlink>
        </w:p>
        <w:p w14:paraId="3C6CB234" w14:textId="1C494371"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37" w:history="1">
            <w:r w:rsidR="008C478F" w:rsidRPr="008C478F">
              <w:rPr>
                <w:rStyle w:val="Hyperlink"/>
                <w:rFonts w:eastAsiaTheme="majorEastAsia" w:cs="Times New Roman"/>
                <w:b/>
                <w:noProof/>
                <w:lang w:val="sr-Cyrl-RS"/>
              </w:rPr>
              <w:t>5.2.</w:t>
            </w:r>
            <w:r w:rsidR="008C478F" w:rsidRPr="008C478F">
              <w:rPr>
                <w:rStyle w:val="Hyperlink"/>
                <w:rFonts w:eastAsiaTheme="majorEastAsia" w:cs="Times New Roman"/>
                <w:b/>
                <w:noProof/>
              </w:rPr>
              <w:t>4</w:t>
            </w:r>
            <w:r w:rsidR="008C478F" w:rsidRPr="008C478F">
              <w:rPr>
                <w:rStyle w:val="Hyperlink"/>
                <w:rFonts w:eastAsiaTheme="majorEastAsia" w:cs="Times New Roman"/>
                <w:b/>
                <w:noProof/>
                <w:lang w:val="sr-Cyrl-RS"/>
              </w:rPr>
              <w:t>. Област ПОСЛОВНО ОКРУЖЕЊЕ И СМАЊЕЊЕ СИВЕ ЕКОНОМИЈЕ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_Toc89375537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122</w:t>
            </w:r>
            <w:r w:rsidR="008C478F" w:rsidRPr="008C478F">
              <w:rPr>
                <w:rFonts w:cs="Times New Roman"/>
                <w:noProof/>
                <w:webHidden/>
              </w:rPr>
              <w:fldChar w:fldCharType="end"/>
            </w:r>
          </w:hyperlink>
        </w:p>
        <w:p w14:paraId="30FD3C73" w14:textId="434C3ABE"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38" w:history="1">
            <w:r w:rsidR="008C478F" w:rsidRPr="008C478F">
              <w:rPr>
                <w:rStyle w:val="Hyperlink"/>
                <w:rFonts w:eastAsiaTheme="majorEastAsia" w:cs="Times New Roman"/>
                <w:b/>
                <w:noProof/>
                <w:lang w:val="sr-Cyrl-RS"/>
              </w:rPr>
              <w:t>5.2.5. Област ИСТРАЖИВАЊЕ, РАЗВОЈ И ИНОВАЦИЈЕ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_Toc89375538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122</w:t>
            </w:r>
            <w:r w:rsidR="008C478F" w:rsidRPr="008C478F">
              <w:rPr>
                <w:rFonts w:cs="Times New Roman"/>
                <w:noProof/>
                <w:webHidden/>
              </w:rPr>
              <w:fldChar w:fldCharType="end"/>
            </w:r>
          </w:hyperlink>
        </w:p>
        <w:p w14:paraId="7E04CD28" w14:textId="2EE8FC9E"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39" w:history="1">
            <w:r w:rsidR="008C478F" w:rsidRPr="008C478F">
              <w:rPr>
                <w:rStyle w:val="Hyperlink"/>
                <w:rFonts w:eastAsiaTheme="majorEastAsia" w:cs="Times New Roman"/>
                <w:b/>
                <w:noProof/>
                <w:lang w:val="sr-Cyrl-RS"/>
              </w:rPr>
              <w:t>5.2.6. Област РЕФОРМЕ У ОБЛАСТИ ЕКОНОМСКИХ ИНТЕГРАЦИЈА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_Toc89375539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129</w:t>
            </w:r>
            <w:r w:rsidR="008C478F" w:rsidRPr="008C478F">
              <w:rPr>
                <w:rFonts w:cs="Times New Roman"/>
                <w:noProof/>
                <w:webHidden/>
              </w:rPr>
              <w:fldChar w:fldCharType="end"/>
            </w:r>
          </w:hyperlink>
        </w:p>
        <w:p w14:paraId="193F7F61" w14:textId="3E82C19E"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40" w:history="1">
            <w:r w:rsidR="008C478F" w:rsidRPr="008C478F">
              <w:rPr>
                <w:rStyle w:val="Hyperlink"/>
                <w:rFonts w:eastAsiaTheme="majorEastAsia" w:cs="Times New Roman"/>
                <w:b/>
                <w:noProof/>
                <w:lang w:val="sr-Cyrl-RS"/>
              </w:rPr>
              <w:t>5.2.</w:t>
            </w:r>
            <w:r w:rsidR="008C478F" w:rsidRPr="008C478F">
              <w:rPr>
                <w:rStyle w:val="Hyperlink"/>
                <w:rFonts w:eastAsiaTheme="majorEastAsia" w:cs="Times New Roman"/>
                <w:b/>
                <w:noProof/>
                <w:lang w:val="sr-Latn-RS"/>
              </w:rPr>
              <w:t>7</w:t>
            </w:r>
            <w:r w:rsidR="008C478F" w:rsidRPr="008C478F">
              <w:rPr>
                <w:rStyle w:val="Hyperlink"/>
                <w:rFonts w:eastAsiaTheme="majorEastAsia" w:cs="Times New Roman"/>
                <w:b/>
                <w:noProof/>
                <w:lang w:val="sr-Cyrl-RS"/>
              </w:rPr>
              <w:t>. Област РЕФОРМЕ ЕНЕРГЕТСКОГ ТРЖИШТА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_Toc89375540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133</w:t>
            </w:r>
            <w:r w:rsidR="008C478F" w:rsidRPr="008C478F">
              <w:rPr>
                <w:rFonts w:cs="Times New Roman"/>
                <w:noProof/>
                <w:webHidden/>
              </w:rPr>
              <w:fldChar w:fldCharType="end"/>
            </w:r>
          </w:hyperlink>
        </w:p>
        <w:p w14:paraId="34066BDA" w14:textId="640AB22E"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41" w:history="1">
            <w:r w:rsidR="008C478F" w:rsidRPr="008C478F">
              <w:rPr>
                <w:rStyle w:val="Hyperlink"/>
                <w:rFonts w:eastAsiaTheme="majorEastAsia" w:cs="Times New Roman"/>
                <w:b/>
                <w:noProof/>
                <w:lang w:val="sr-Cyrl-RS"/>
              </w:rPr>
              <w:t>5.2.</w:t>
            </w:r>
            <w:r w:rsidR="008C478F" w:rsidRPr="008C478F">
              <w:rPr>
                <w:rStyle w:val="Hyperlink"/>
                <w:rFonts w:eastAsiaTheme="majorEastAsia" w:cs="Times New Roman"/>
                <w:b/>
                <w:noProof/>
                <w:lang w:val="sr-Latn-RS"/>
              </w:rPr>
              <w:t>8</w:t>
            </w:r>
            <w:r w:rsidR="008C478F" w:rsidRPr="008C478F">
              <w:rPr>
                <w:rStyle w:val="Hyperlink"/>
                <w:rFonts w:eastAsiaTheme="majorEastAsia" w:cs="Times New Roman"/>
                <w:b/>
                <w:noProof/>
                <w:lang w:val="sr-Cyrl-RS"/>
              </w:rPr>
              <w:t>. Област РЕФОРМЕ ТРАНСПОРТНОГ ТРЖИШТА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_Toc89375541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133</w:t>
            </w:r>
            <w:r w:rsidR="008C478F" w:rsidRPr="008C478F">
              <w:rPr>
                <w:rFonts w:cs="Times New Roman"/>
                <w:noProof/>
                <w:webHidden/>
              </w:rPr>
              <w:fldChar w:fldCharType="end"/>
            </w:r>
          </w:hyperlink>
        </w:p>
        <w:p w14:paraId="75646C33" w14:textId="439A763F"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42" w:history="1">
            <w:r w:rsidR="008C478F" w:rsidRPr="008C478F">
              <w:rPr>
                <w:rStyle w:val="Hyperlink"/>
                <w:rFonts w:eastAsiaTheme="majorEastAsia" w:cs="Times New Roman"/>
                <w:b/>
                <w:noProof/>
                <w:lang w:val="sr-Cyrl-RS"/>
              </w:rPr>
              <w:t>5.2.9. Област ПОЉОПРИВРЕДА, ИНДУСТРИЈА И УСЛУГЕ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_Toc89375542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140</w:t>
            </w:r>
            <w:r w:rsidR="008C478F" w:rsidRPr="008C478F">
              <w:rPr>
                <w:rFonts w:cs="Times New Roman"/>
                <w:noProof/>
                <w:webHidden/>
              </w:rPr>
              <w:fldChar w:fldCharType="end"/>
            </w:r>
          </w:hyperlink>
        </w:p>
        <w:p w14:paraId="2897D0D9" w14:textId="4B5F10D7"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43" w:history="1">
            <w:r w:rsidR="008C478F" w:rsidRPr="008C478F">
              <w:rPr>
                <w:rStyle w:val="Hyperlink"/>
                <w:rFonts w:eastAsiaTheme="majorEastAsia" w:cs="Times New Roman"/>
                <w:b/>
                <w:noProof/>
                <w:lang w:val="sr-Cyrl-RS"/>
              </w:rPr>
              <w:t>5.2.10. Област ОБРАЗОВАЊЕ И ВЕШТИНЕ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_Toc89375543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152</w:t>
            </w:r>
            <w:r w:rsidR="008C478F" w:rsidRPr="008C478F">
              <w:rPr>
                <w:rFonts w:cs="Times New Roman"/>
                <w:noProof/>
                <w:webHidden/>
              </w:rPr>
              <w:fldChar w:fldCharType="end"/>
            </w:r>
          </w:hyperlink>
        </w:p>
        <w:p w14:paraId="6333D318" w14:textId="23258CBE"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44" w:history="1">
            <w:r w:rsidR="008C478F" w:rsidRPr="008C478F">
              <w:rPr>
                <w:rStyle w:val="Hyperlink"/>
                <w:rFonts w:eastAsiaTheme="majorEastAsia" w:cs="Times New Roman"/>
                <w:b/>
                <w:noProof/>
                <w:lang w:val="sr-Cyrl-RS"/>
              </w:rPr>
              <w:t>5.2.11. Област ЗАПОШЉАВАЊЕ И ТРЖИШТА РАДА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_Toc89375544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156</w:t>
            </w:r>
            <w:r w:rsidR="008C478F" w:rsidRPr="008C478F">
              <w:rPr>
                <w:rFonts w:cs="Times New Roman"/>
                <w:noProof/>
                <w:webHidden/>
              </w:rPr>
              <w:fldChar w:fldCharType="end"/>
            </w:r>
          </w:hyperlink>
        </w:p>
        <w:p w14:paraId="56363DBF" w14:textId="1004AC7D"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45" w:history="1">
            <w:r w:rsidR="008C478F" w:rsidRPr="008C478F">
              <w:rPr>
                <w:rStyle w:val="Hyperlink"/>
                <w:rFonts w:eastAsiaTheme="majorEastAsia" w:cs="Times New Roman"/>
                <w:b/>
                <w:noProof/>
                <w:lang w:val="sr-Cyrl-RS"/>
              </w:rPr>
              <w:t>5.2.1</w:t>
            </w:r>
            <w:r w:rsidR="008C478F" w:rsidRPr="008C478F">
              <w:rPr>
                <w:rStyle w:val="Hyperlink"/>
                <w:rFonts w:eastAsiaTheme="majorEastAsia" w:cs="Times New Roman"/>
                <w:b/>
                <w:noProof/>
                <w:lang w:val="sr-Latn-RS"/>
              </w:rPr>
              <w:t>2</w:t>
            </w:r>
            <w:r w:rsidR="008C478F" w:rsidRPr="008C478F">
              <w:rPr>
                <w:rStyle w:val="Hyperlink"/>
                <w:rFonts w:eastAsiaTheme="majorEastAsia" w:cs="Times New Roman"/>
                <w:b/>
                <w:noProof/>
                <w:lang w:val="sr-Cyrl-RS"/>
              </w:rPr>
              <w:t>. Област СОЦИЈАЛНА ЗАШТИТА И ИНКЛУЗИЈА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_Toc89375545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156</w:t>
            </w:r>
            <w:r w:rsidR="008C478F" w:rsidRPr="008C478F">
              <w:rPr>
                <w:rFonts w:cs="Times New Roman"/>
                <w:noProof/>
                <w:webHidden/>
              </w:rPr>
              <w:fldChar w:fldCharType="end"/>
            </w:r>
          </w:hyperlink>
        </w:p>
        <w:p w14:paraId="79EBB627" w14:textId="497AB5D6" w:rsidR="008C478F" w:rsidRPr="008C478F" w:rsidRDefault="00B64436">
          <w:pPr>
            <w:pStyle w:val="TOC3"/>
            <w:tabs>
              <w:tab w:val="right" w:leader="underscore" w:pos="9016"/>
            </w:tabs>
            <w:rPr>
              <w:rFonts w:eastAsiaTheme="minorEastAsia" w:cs="Times New Roman"/>
              <w:noProof/>
              <w:sz w:val="22"/>
              <w:szCs w:val="22"/>
              <w:lang w:val="sr-Latn-RS" w:eastAsia="sr-Latn-RS"/>
            </w:rPr>
          </w:pPr>
          <w:hyperlink w:anchor="_Toc89375546" w:history="1">
            <w:r w:rsidR="008C478F" w:rsidRPr="008C478F">
              <w:rPr>
                <w:rStyle w:val="Hyperlink"/>
                <w:rFonts w:eastAsiaTheme="majorEastAsia" w:cs="Times New Roman"/>
                <w:b/>
                <w:noProof/>
                <w:lang w:val="sr-Cyrl-RS"/>
              </w:rPr>
              <w:t>5.2.13. Област СИСТЕМ ЗДРАВСТВЕНЕ ЗАШТИТЕ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_Toc89375546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158</w:t>
            </w:r>
            <w:r w:rsidR="008C478F" w:rsidRPr="008C478F">
              <w:rPr>
                <w:rFonts w:cs="Times New Roman"/>
                <w:noProof/>
                <w:webHidden/>
              </w:rPr>
              <w:fldChar w:fldCharType="end"/>
            </w:r>
          </w:hyperlink>
        </w:p>
        <w:p w14:paraId="60CCF7D8" w14:textId="66A5123D" w:rsidR="00E939B0" w:rsidRPr="00354A01" w:rsidRDefault="00DA1C9D" w:rsidP="00354A01">
          <w:r w:rsidRPr="008C478F">
            <w:rPr>
              <w:rFonts w:cs="Times New Roman"/>
              <w:b/>
              <w:bCs/>
              <w:noProof/>
            </w:rPr>
            <w:fldChar w:fldCharType="end"/>
          </w:r>
        </w:p>
      </w:sdtContent>
    </w:sdt>
    <w:p w14:paraId="55FCECA3" w14:textId="2EA0904F" w:rsidR="00E939B0" w:rsidRDefault="00E939B0">
      <w:pPr>
        <w:spacing w:after="160" w:line="259" w:lineRule="auto"/>
        <w:jc w:val="left"/>
        <w:rPr>
          <w:rFonts w:eastAsia="MS PGothic" w:cs="Times New Roman"/>
          <w:b/>
          <w:szCs w:val="24"/>
          <w:lang w:eastAsia="ja-JP"/>
        </w:rPr>
      </w:pPr>
      <w:r>
        <w:rPr>
          <w:rFonts w:eastAsia="MS PGothic" w:cs="Times New Roman"/>
          <w:b/>
          <w:szCs w:val="24"/>
          <w:lang w:eastAsia="ja-JP"/>
        </w:rPr>
        <w:br w:type="page"/>
      </w:r>
    </w:p>
    <w:p w14:paraId="74B47D93" w14:textId="551306E9" w:rsidR="003A1248" w:rsidRPr="000E0422" w:rsidRDefault="009807AD" w:rsidP="00E939B0">
      <w:pPr>
        <w:keepNext/>
        <w:keepLines/>
        <w:spacing w:after="240"/>
        <w:outlineLvl w:val="0"/>
        <w:rPr>
          <w:rFonts w:eastAsia="MS PGothic" w:cs="Times New Roman"/>
          <w:b/>
          <w:szCs w:val="24"/>
          <w:lang w:val="sr-Cyrl-RS" w:eastAsia="ja-JP"/>
        </w:rPr>
      </w:pPr>
      <w:bookmarkStart w:id="2" w:name="_Toc89375515"/>
      <w:r>
        <w:rPr>
          <w:rFonts w:eastAsia="MS PGothic" w:cs="Times New Roman"/>
          <w:b/>
          <w:szCs w:val="24"/>
          <w:lang w:eastAsia="ja-JP"/>
        </w:rPr>
        <w:lastRenderedPageBreak/>
        <w:t>1</w:t>
      </w:r>
      <w:r w:rsidR="00AA1BAE" w:rsidRPr="000E0422">
        <w:rPr>
          <w:rFonts w:eastAsia="MS PGothic" w:cs="Times New Roman"/>
          <w:b/>
          <w:szCs w:val="24"/>
          <w:lang w:val="sr-Cyrl-RS" w:eastAsia="ja-JP"/>
        </w:rPr>
        <w:t xml:space="preserve">. </w:t>
      </w:r>
      <w:r w:rsidR="003A1248" w:rsidRPr="000E0422">
        <w:rPr>
          <w:rFonts w:eastAsia="MS PGothic" w:cs="Times New Roman"/>
          <w:b/>
          <w:caps/>
          <w:szCs w:val="24"/>
          <w:lang w:val="sr-Cyrl-RS" w:eastAsia="ja-JP"/>
        </w:rPr>
        <w:t xml:space="preserve">Општи оквир и </w:t>
      </w:r>
      <w:r w:rsidR="009333E2" w:rsidRPr="000E0422">
        <w:rPr>
          <w:rFonts w:eastAsia="MS PGothic" w:cs="Times New Roman"/>
          <w:b/>
          <w:caps/>
          <w:szCs w:val="24"/>
          <w:lang w:val="sr-Cyrl-RS" w:eastAsia="ja-JP"/>
        </w:rPr>
        <w:t xml:space="preserve">циљеви </w:t>
      </w:r>
      <w:r w:rsidR="001A3EE1">
        <w:rPr>
          <w:rFonts w:eastAsia="MS PGothic" w:cs="Times New Roman"/>
          <w:b/>
          <w:caps/>
          <w:szCs w:val="24"/>
          <w:lang w:val="sr-Cyrl-RS" w:eastAsia="ja-JP"/>
        </w:rPr>
        <w:t>јавне</w:t>
      </w:r>
      <w:r w:rsidR="001A3EE1" w:rsidRPr="000E0422">
        <w:rPr>
          <w:rFonts w:eastAsia="MS PGothic" w:cs="Times New Roman"/>
          <w:b/>
          <w:caps/>
          <w:szCs w:val="24"/>
          <w:lang w:val="sr-Cyrl-RS" w:eastAsia="ja-JP"/>
        </w:rPr>
        <w:t xml:space="preserve"> </w:t>
      </w:r>
      <w:r w:rsidR="003A1248" w:rsidRPr="000E0422">
        <w:rPr>
          <w:rFonts w:eastAsia="MS PGothic" w:cs="Times New Roman"/>
          <w:b/>
          <w:caps/>
          <w:szCs w:val="24"/>
          <w:lang w:val="sr-Cyrl-RS" w:eastAsia="ja-JP"/>
        </w:rPr>
        <w:t>политике</w:t>
      </w:r>
      <w:bookmarkEnd w:id="2"/>
    </w:p>
    <w:p w14:paraId="4DECA73B" w14:textId="77777777" w:rsidR="00B45889" w:rsidRPr="000E0422" w:rsidRDefault="005A6DD6" w:rsidP="005F26DA">
      <w:pPr>
        <w:rPr>
          <w:lang w:val="sr-Cyrl-RS" w:eastAsia="ja-JP"/>
        </w:rPr>
      </w:pPr>
      <w:r w:rsidRPr="000E0422">
        <w:rPr>
          <w:lang w:val="sr-Cyrl-RS" w:eastAsia="ja-JP"/>
        </w:rPr>
        <w:t>Економска политика у Републици Србији дала је адекватан одговор на кризу изазвану пандемијом коронавируса. Две године борбе на здравственом и економском плану дале су задовољавајуће резултате. Захваљујући претходно постигнутој макроекономској стабилности створен је простор да одговор економске политике буде адекватан по обиму и структури. Фискалном политиком обезбеђен је свеобухватан пакет мера којим је пружена помоћ привреди и становништву и чији се позитивни ефекти одражавају на макроекономске показатеље. Обезбеђена вредност пакета мера помоћи привреди и становништву у 2020. години процењена је на 12,8% бруто домаћег производа (у даљем тексту: БДП). Продужено трајање неповољне епидемијске ситуације у 2021. години условило је још једну, по обиму значајну помоћ привреди и становништву, како би се уз масовну вакцинацију становништва и стављање епидемије под контролу, обезбедили услови за потпун опоравак и раст економије. Пакет помоћи обезбеђен у 2021. години процењује се на 4,2% БДП.</w:t>
      </w:r>
    </w:p>
    <w:p w14:paraId="0AD86917" w14:textId="77777777" w:rsidR="00B45889" w:rsidRPr="000E0422" w:rsidRDefault="005A6DD6" w:rsidP="005F26DA">
      <w:pPr>
        <w:rPr>
          <w:lang w:val="sr-Cyrl-RS" w:eastAsia="ja-JP"/>
        </w:rPr>
      </w:pPr>
      <w:r w:rsidRPr="000E0422">
        <w:rPr>
          <w:lang w:val="sr-Cyrl-RS" w:eastAsia="ja-JP"/>
        </w:rPr>
        <w:t>Основни циљеви постављени усвојеним Програмом економских мера за подршку привреди Србије испуњени су. Очувани су привредни капацитети и пружена подршка у одржавању ликвидности привреде у току трајања ових ванредних околности. Захваљујући адекватном одговору, привреда Републике Србије остварила добре резултате чак и у току 2020. године, упркос, до сада невиђеним ограничавајућим факторима по раст економије. У 2021. години очекује се потпуни опоравак и раст привреде изнад првобитно очекиваног.</w:t>
      </w:r>
    </w:p>
    <w:p w14:paraId="2B4444FD" w14:textId="77777777" w:rsidR="003A1248" w:rsidRPr="000E0422" w:rsidRDefault="005A6DD6" w:rsidP="005F26DA">
      <w:pPr>
        <w:rPr>
          <w:i/>
          <w:lang w:val="sr-Cyrl-RS" w:eastAsia="ja-JP"/>
        </w:rPr>
      </w:pPr>
      <w:r w:rsidRPr="000E0422">
        <w:rPr>
          <w:lang w:val="sr-Cyrl-RS" w:eastAsia="ja-JP"/>
        </w:rPr>
        <w:t>У средњем року предвиђа се постепена стабилизација јавних финансија и усмеравање фискалног простора на јавне инвестиције у циљу опоравка и раста привреде. Борба против пандемије и њених економских последица привремено је погоршала фискалну позицију земље. Основни сценарио економских кретања у средњем року претпоставља окончање здравствене кризе и економски опоравак. Под тим претпоставкама средњорочна путања дефицита је опадајућа и приближна одрживом нивоу на крају посматраног периода. Изузетно, повећано учешће јавног дуга у БДП у 2020. и 2021. години, имајући у виду пројектоване фискалне резултате, од 2022. године и на даље се смањује и враћа у одрживе оквире. Искуство у претходном периоду нам показује да су стабилне јавне финансије нужне не само као претпоставка одрживог раста, већ пре свега, као предуслов адекватне реакције државе у ванредним околностима попут ове изазване пандемијом коронавируса. Расположив фискални простор у наредном средњорочном периоду усмерава се одржање достигнутог нивоа јавних улагања. Јавне инвестиције кључан су фактор бржег опоравка привреде и стварања основа за динамичан привредни раст.</w:t>
      </w:r>
      <w:r w:rsidRPr="000E0422">
        <w:rPr>
          <w:lang w:val="sr-Cyrl-RS"/>
        </w:rPr>
        <w:t xml:space="preserve"> </w:t>
      </w:r>
      <w:r w:rsidRPr="000E0422">
        <w:rPr>
          <w:lang w:val="sr-Cyrl-RS" w:eastAsia="ja-JP"/>
        </w:rPr>
        <w:t>Макроекономски и фискални ризици по представљени основни сценарио су значајни. И даље су присутне неизвесности у вези са током и трајањем пандемије, брзином масовне имунизације, начином и брзином којом ће се привреде опорављати, потребе за додатном помоћи привреди, као и бројне обавезе које могу проистећи из имплицитних и експлицитних гаранција државе датих као подршка привреди у току пандемије.</w:t>
      </w:r>
    </w:p>
    <w:p w14:paraId="75176923" w14:textId="6F653A61" w:rsidR="00E939B0" w:rsidRDefault="00C83A6F">
      <w:pPr>
        <w:spacing w:after="160" w:line="259" w:lineRule="auto"/>
        <w:jc w:val="left"/>
        <w:rPr>
          <w:rFonts w:eastAsia="MS PGothic" w:cs="Times New Roman"/>
          <w:szCs w:val="24"/>
          <w:lang w:val="sr-Cyrl-RS" w:eastAsia="ja-JP"/>
        </w:rPr>
      </w:pPr>
      <w:r w:rsidRPr="000E0422">
        <w:rPr>
          <w:rFonts w:eastAsia="MS PGothic" w:cs="Times New Roman"/>
          <w:szCs w:val="24"/>
          <w:lang w:val="sr-Cyrl-RS" w:eastAsia="ja-JP"/>
        </w:rPr>
        <w:br w:type="page"/>
      </w:r>
    </w:p>
    <w:p w14:paraId="21F826F8" w14:textId="77777777" w:rsidR="00E939B0" w:rsidRPr="00E939B0" w:rsidRDefault="00E939B0" w:rsidP="00E939B0">
      <w:pPr>
        <w:keepNext/>
        <w:keepLines/>
        <w:spacing w:after="240"/>
        <w:outlineLvl w:val="0"/>
        <w:rPr>
          <w:rFonts w:eastAsia="MS PGothic" w:cs="Times New Roman"/>
          <w:b/>
          <w:w w:val="110"/>
          <w:szCs w:val="24"/>
          <w:lang w:val="sr-Cyrl-RS" w:eastAsia="ja-JP"/>
        </w:rPr>
      </w:pPr>
      <w:bookmarkStart w:id="3" w:name="_Toc62458626"/>
      <w:bookmarkStart w:id="4" w:name="_Toc89375516"/>
      <w:r w:rsidRPr="00E939B0">
        <w:rPr>
          <w:rFonts w:eastAsia="MS PGothic" w:cs="Times New Roman"/>
          <w:b/>
          <w:w w:val="110"/>
          <w:szCs w:val="24"/>
          <w:lang w:val="sr-Cyrl-RS" w:eastAsia="ja-JP"/>
        </w:rPr>
        <w:lastRenderedPageBreak/>
        <w:t>2. СПРОВОЂЕЊЕ ПРЕПОРУКА</w:t>
      </w:r>
      <w:bookmarkEnd w:id="3"/>
      <w:bookmarkEnd w:id="4"/>
    </w:p>
    <w:p w14:paraId="576CAAC8" w14:textId="52E0F372" w:rsidR="00E939B0" w:rsidRPr="00A6164C" w:rsidRDefault="00E939B0" w:rsidP="00D43588">
      <w:pPr>
        <w:spacing w:after="60"/>
        <w:rPr>
          <w:rFonts w:cs="Times New Roman"/>
          <w:szCs w:val="24"/>
          <w:lang w:val="sr-Cyrl-RS"/>
        </w:rPr>
      </w:pPr>
      <w:r w:rsidRPr="00A6164C">
        <w:rPr>
          <w:rFonts w:cs="Times New Roman"/>
          <w:szCs w:val="24"/>
          <w:lang w:val="sr-Cyrl-RS"/>
        </w:rPr>
        <w:t>Испуњење Препоруке (</w:t>
      </w:r>
      <w:r w:rsidRPr="00AD69CC">
        <w:rPr>
          <w:rFonts w:cs="Times New Roman"/>
          <w:i/>
          <w:szCs w:val="24"/>
          <w:lang w:val="sr-Cyrl-RS"/>
        </w:rPr>
        <w:t>policy guidance</w:t>
      </w:r>
      <w:r w:rsidRPr="00A6164C">
        <w:rPr>
          <w:rFonts w:cs="Times New Roman"/>
          <w:szCs w:val="24"/>
          <w:lang w:val="sr-Cyrl-RS"/>
        </w:rPr>
        <w:t xml:space="preserve"> – PG) за појединачне политике као део Заједничких закључака, у вези са Програмом економских реформи (ЕРП) 202</w:t>
      </w:r>
      <w:r w:rsidR="00D43588">
        <w:rPr>
          <w:rFonts w:cs="Times New Roman"/>
          <w:szCs w:val="24"/>
          <w:lang w:val="sr-Latn-RS"/>
        </w:rPr>
        <w:t>1</w:t>
      </w:r>
      <w:r w:rsidRPr="00A6164C">
        <w:rPr>
          <w:rFonts w:cs="Times New Roman"/>
          <w:szCs w:val="24"/>
          <w:lang w:val="sr-Cyrl-RS"/>
        </w:rPr>
        <w:t>-202</w:t>
      </w:r>
      <w:r w:rsidR="00D43588">
        <w:rPr>
          <w:rFonts w:cs="Times New Roman"/>
          <w:szCs w:val="24"/>
          <w:lang w:val="sr-Latn-RS"/>
        </w:rPr>
        <w:t>3</w:t>
      </w:r>
      <w:r w:rsidRPr="00A6164C">
        <w:rPr>
          <w:rFonts w:cs="Times New Roman"/>
          <w:szCs w:val="24"/>
          <w:lang w:val="sr-Cyrl-RS"/>
        </w:rPr>
        <w:t xml:space="preserve">, који су усвојени на састанку ECOFIN Савета, одржаном </w:t>
      </w:r>
      <w:r w:rsidR="00D43588" w:rsidRPr="00D43588">
        <w:rPr>
          <w:rFonts w:cs="Times New Roman"/>
          <w:szCs w:val="24"/>
          <w:lang w:val="sr-Cyrl-RS"/>
        </w:rPr>
        <w:t>12. јул</w:t>
      </w:r>
      <w:r w:rsidR="00D43588">
        <w:rPr>
          <w:rFonts w:cs="Times New Roman"/>
          <w:szCs w:val="24"/>
          <w:lang w:val="sr-Latn-RS"/>
        </w:rPr>
        <w:t>a</w:t>
      </w:r>
      <w:r w:rsidR="00D43588" w:rsidRPr="00D43588">
        <w:rPr>
          <w:rFonts w:cs="Times New Roman"/>
          <w:szCs w:val="24"/>
          <w:lang w:val="sr-Cyrl-RS"/>
        </w:rPr>
        <w:t xml:space="preserve"> 2021. године </w:t>
      </w:r>
      <w:r w:rsidRPr="00A6164C">
        <w:rPr>
          <w:rFonts w:cs="Times New Roman"/>
          <w:szCs w:val="24"/>
          <w:lang w:val="sr-Cyrl-RS"/>
        </w:rPr>
        <w:t>у Бриселу, у оквиру „Економског и финансијског дијалога између ЕУ и Западног Балкана и Турске“, рефлектују се у бројним реформским мерама и активностима Владе Републике Србије.</w:t>
      </w:r>
    </w:p>
    <w:p w14:paraId="3EF8C1BA" w14:textId="68C0E91A" w:rsidR="00D43588" w:rsidRPr="00A6164C" w:rsidRDefault="00D43588" w:rsidP="00D43588">
      <w:pPr>
        <w:spacing w:before="120"/>
        <w:rPr>
          <w:rFonts w:cs="Times New Roman"/>
          <w:b/>
          <w:szCs w:val="24"/>
          <w:lang w:val="sr-Cyrl-RS"/>
        </w:rPr>
      </w:pPr>
      <w:r>
        <w:rPr>
          <w:rFonts w:cs="Times New Roman"/>
          <w:b/>
          <w:szCs w:val="24"/>
          <w:lang w:val="sr-Latn-RS"/>
        </w:rPr>
        <w:t xml:space="preserve">2.1. </w:t>
      </w:r>
      <w:r w:rsidRPr="00A6164C">
        <w:rPr>
          <w:rFonts w:cs="Times New Roman"/>
          <w:b/>
          <w:szCs w:val="24"/>
          <w:lang w:val="sr-Cyrl-RS"/>
        </w:rPr>
        <w:t xml:space="preserve">Испуњење Препорука ЕКОФИН Савета из </w:t>
      </w:r>
      <w:r w:rsidRPr="00D43588">
        <w:rPr>
          <w:rFonts w:cs="Times New Roman"/>
          <w:b/>
          <w:szCs w:val="24"/>
          <w:lang w:val="sr-Cyrl-RS"/>
        </w:rPr>
        <w:t>јула</w:t>
      </w:r>
      <w:r w:rsidRPr="00A6164C">
        <w:rPr>
          <w:rFonts w:cs="Times New Roman"/>
          <w:b/>
          <w:szCs w:val="24"/>
          <w:lang w:val="sr-Cyrl-RS"/>
        </w:rPr>
        <w:t xml:space="preserve"> 202</w:t>
      </w:r>
      <w:r>
        <w:rPr>
          <w:rFonts w:cs="Times New Roman"/>
          <w:b/>
          <w:szCs w:val="24"/>
          <w:lang w:val="sr-Cyrl-RS"/>
        </w:rPr>
        <w:t>1</w:t>
      </w:r>
      <w:r w:rsidRPr="00A6164C">
        <w:rPr>
          <w:rFonts w:cs="Times New Roman"/>
          <w:b/>
          <w:szCs w:val="24"/>
          <w:lang w:val="sr-Cyrl-RS"/>
        </w:rPr>
        <w:t>. за Републику Србију</w:t>
      </w:r>
    </w:p>
    <w:p w14:paraId="3C77D818" w14:textId="1D19971C" w:rsidR="00E939B0"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cs="Times New Roman"/>
          <w:bCs/>
          <w:i/>
          <w:iCs/>
          <w:szCs w:val="24"/>
          <w:lang w:val="sr-Cyrl-RS"/>
        </w:rPr>
        <w:t xml:space="preserve">1. </w:t>
      </w:r>
      <w:r w:rsidR="00E939B0" w:rsidRPr="00D43588">
        <w:rPr>
          <w:rFonts w:cs="Times New Roman"/>
          <w:bCs/>
          <w:i/>
          <w:iCs/>
          <w:szCs w:val="24"/>
          <w:lang w:val="sr-Cyrl-RS"/>
        </w:rPr>
        <w:t>Пружити добро циљану и привремену фискалну подршку усмерену ка домаћинствима и предузећима погођеним пандемијом;</w:t>
      </w:r>
      <w:r w:rsidRPr="00D43588">
        <w:rPr>
          <w:rFonts w:cs="Times New Roman"/>
          <w:bCs/>
          <w:i/>
          <w:iCs/>
          <w:szCs w:val="24"/>
          <w:lang w:val="sr-Cyrl-RS"/>
        </w:rPr>
        <w:t xml:space="preserve"> </w:t>
      </w:r>
      <w:r w:rsidR="00E939B0" w:rsidRPr="00D43588">
        <w:rPr>
          <w:rFonts w:eastAsia="MS PGothic" w:cs="Times New Roman"/>
          <w:bCs/>
          <w:i/>
          <w:iCs/>
          <w:szCs w:val="24"/>
          <w:lang w:val="sr-Cyrl-RS" w:eastAsia="ja-JP"/>
        </w:rPr>
        <w:t>под условом да je привредни опоравак стабилан, планирати постепени повратак на дефицит близу баланса у буџету за 2022. годину и средњорочни фискални оквир.</w:t>
      </w:r>
    </w:p>
    <w:p w14:paraId="76095571" w14:textId="7777777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 xml:space="preserve">Као одговор на пандемију спремљена су три пакета мера помоћи привреди и становништву у укупном износу од 17% БДП, при чему је највише издвојено за најугроженије делове становништва, као што су пензионери и незапослени, и за делове привреде који су претрпели највећу штету. </w:t>
      </w:r>
    </w:p>
    <w:p w14:paraId="79C6D8C5" w14:textId="5F495AA6"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Средњорочни фискални оквир предвиђа смањење дефицита на 1% БДП до 2024. године, уз смањење на 3% БДП у наредној години. У склопу снижавања дефицита водиће се рачуна о расходној страни, пре свега о умереном расту највећих расходних категорија, плата и пензија, које неће расти брже од номиналног БДП.</w:t>
      </w:r>
    </w:p>
    <w:p w14:paraId="1C2784F3" w14:textId="7A7C869A" w:rsidR="00D43588" w:rsidRPr="00D43588" w:rsidRDefault="00D43588" w:rsidP="00D43588">
      <w:pPr>
        <w:shd w:val="clear" w:color="auto" w:fill="D9D9D9" w:themeFill="background1" w:themeFillShade="D9"/>
        <w:spacing w:before="120"/>
        <w:rPr>
          <w:rFonts w:eastAsia="MS PGothic" w:cs="Times New Roman"/>
          <w:bCs/>
          <w:i/>
          <w:iCs/>
          <w:szCs w:val="24"/>
          <w:lang w:val="sr-Cyrl-RS" w:eastAsia="ja-JP"/>
        </w:rPr>
      </w:pPr>
      <w:r w:rsidRPr="00D43588">
        <w:rPr>
          <w:rFonts w:eastAsia="MS PGothic" w:cs="Times New Roman"/>
          <w:bCs/>
          <w:i/>
          <w:iCs/>
          <w:szCs w:val="24"/>
          <w:lang w:val="sr-Cyrl-RS" w:eastAsia="ja-JP"/>
        </w:rPr>
        <w:t>Ограничити укупну потрошњу на зараде као проценат БДП-а усвајањем одговарајућег механизма индексације зарада и предузимањем корака ка добро осмишљеној реформи система исплате зарада у јавном сектору. Усвојити веродостојан и обавезујући систем фискалних правила који би требао да ступи на снагу од 2022. године.</w:t>
      </w:r>
    </w:p>
    <w:p w14:paraId="1A1CF30C" w14:textId="60BE15D8"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Пандемија и њени ефекти на јавне финансије и привредна кретања су утицали на одлагање усвајања новог сета фискалних правила и реформе система зарада у јавном сектору. Уз нови аранжман са ММФ и очекивања да ће пандемија имати све мањи утицај на економска кретања, очекује се успостављање ова два система у блиском постпандемијском периоду. Према договору са ММФ очекује се да нови систем фискалних правила буде договорен до јуна 2022. године и да ступи на снагу у 2023. години. Што се тиче реформе система зарада она је одложена до 2025. године, такође у договору са ММФ.</w:t>
      </w:r>
    </w:p>
    <w:p w14:paraId="05DA7242" w14:textId="7A9AE6DA"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Pr>
          <w:rFonts w:eastAsia="MS PGothic" w:cs="Times New Roman"/>
          <w:bCs/>
          <w:i/>
          <w:iCs/>
          <w:szCs w:val="24"/>
          <w:lang w:val="sr-Cyrl-RS" w:eastAsia="ja-JP"/>
        </w:rPr>
        <w:t xml:space="preserve">2. </w:t>
      </w:r>
      <w:r w:rsidRPr="00D43588">
        <w:rPr>
          <w:rFonts w:eastAsia="MS PGothic" w:cs="Times New Roman"/>
          <w:bCs/>
          <w:i/>
          <w:iCs/>
          <w:szCs w:val="24"/>
          <w:lang w:val="sr-Cyrl-RS" w:eastAsia="ja-JP"/>
        </w:rPr>
        <w:t>Смањити сиву економију, унапредити наплату ПДВ-а и побољшати процес пореске контроле, те применити нови модел електронске фискализације и спровести прелазак на електронско фактурисање према временском оквиру за ЕРП 2021.</w:t>
      </w:r>
    </w:p>
    <w:p w14:paraId="643BEDC6" w14:textId="18BA7D1C"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вези са унапређењем наплате ПДВ-а у 2021.години: мерено кроз однос броја ПДВ уплата извршених до законског рока доспећа и укупног броја доспелих ПДВ упла</w:t>
      </w:r>
      <w:r w:rsidR="00DA1C9D">
        <w:rPr>
          <w:rFonts w:eastAsia="MS PGothic" w:cs="Times New Roman"/>
          <w:bCs/>
          <w:iCs/>
          <w:szCs w:val="24"/>
          <w:lang w:val="sr-Cyrl-RS" w:eastAsia="ja-JP"/>
        </w:rPr>
        <w:t xml:space="preserve">та у процентима износи 95,45%; </w:t>
      </w:r>
      <w:r w:rsidRPr="00D43588">
        <w:rPr>
          <w:rFonts w:eastAsia="MS PGothic" w:cs="Times New Roman"/>
          <w:bCs/>
          <w:iCs/>
          <w:szCs w:val="24"/>
          <w:lang w:val="sr-Cyrl-RS" w:eastAsia="ja-JP"/>
        </w:rPr>
        <w:t>мерено кроз однос вредности ПДВ уплата извршених у року и укупне вредности доспелих ПДВ плаћања у процентима износи 95,28%. Важно је напоменути да и један и други показатељ износе 100% за пореске обвезнике ПДВ-а који припадају Центру за велике пореске обвезнике.</w:t>
      </w:r>
    </w:p>
    <w:p w14:paraId="6A1DB445" w14:textId="033708BA"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Што се тиче</w:t>
      </w:r>
      <w:r w:rsidR="00C67554">
        <w:rPr>
          <w:rFonts w:eastAsia="MS PGothic" w:cs="Times New Roman"/>
          <w:bCs/>
          <w:iCs/>
          <w:szCs w:val="24"/>
          <w:lang w:val="sr-Cyrl-RS" w:eastAsia="ja-JP"/>
        </w:rPr>
        <w:t xml:space="preserve"> спровођења</w:t>
      </w:r>
      <w:r w:rsidRPr="00D43588">
        <w:rPr>
          <w:rFonts w:eastAsia="MS PGothic" w:cs="Times New Roman"/>
          <w:bCs/>
          <w:iCs/>
          <w:szCs w:val="24"/>
          <w:lang w:val="sr-Cyrl-RS" w:eastAsia="ja-JP"/>
        </w:rPr>
        <w:t xml:space="preserve"> препоруке побољшати процес пореске контроле, предузето је следеће: када су у питању методологије контроле (тј. директне и индиректне) углавном су заступљени директни методи контроле, док се индиректни метод користи углавном код контрола нерегистроване делатности. Напомињемо да је у току пројекат „Подршка Министарству финансија у оквиру Секторског реформског уговора за сектор реформе јавне управе“ који има за циљ активну примену индиректних метода у поступку </w:t>
      </w:r>
      <w:r w:rsidRPr="00D43588">
        <w:rPr>
          <w:rFonts w:eastAsia="MS PGothic" w:cs="Times New Roman"/>
          <w:bCs/>
          <w:iCs/>
          <w:szCs w:val="24"/>
          <w:lang w:val="sr-Cyrl-RS" w:eastAsia="ja-JP"/>
        </w:rPr>
        <w:lastRenderedPageBreak/>
        <w:t>контроле (у току је разрада Техничког извештаја „Листа функционалних захтева за ИТ подршку у примени предложене методологије“). Сачињено је Корисничко упутство  за примену методологије за индиректну процену пореске основице.</w:t>
      </w:r>
    </w:p>
    <w:p w14:paraId="74395D2B" w14:textId="4AB7DD86" w:rsidR="00D43588" w:rsidRPr="00D43588" w:rsidRDefault="00DA1C9D" w:rsidP="00D43588">
      <w:pPr>
        <w:spacing w:after="60"/>
        <w:rPr>
          <w:rFonts w:eastAsia="MS PGothic" w:cs="Times New Roman"/>
          <w:bCs/>
          <w:iCs/>
          <w:szCs w:val="24"/>
          <w:lang w:val="sr-Cyrl-RS" w:eastAsia="ja-JP"/>
        </w:rPr>
      </w:pPr>
      <w:r>
        <w:rPr>
          <w:rFonts w:eastAsia="MS PGothic" w:cs="Times New Roman"/>
          <w:bCs/>
          <w:iCs/>
          <w:szCs w:val="24"/>
          <w:lang w:val="sr-Cyrl-RS" w:eastAsia="ja-JP"/>
        </w:rPr>
        <w:t xml:space="preserve">Везано за </w:t>
      </w:r>
      <w:r w:rsidR="00D43588" w:rsidRPr="00D43588">
        <w:rPr>
          <w:rFonts w:eastAsia="MS PGothic" w:cs="Times New Roman"/>
          <w:bCs/>
          <w:iCs/>
          <w:szCs w:val="24"/>
          <w:lang w:val="sr-Cyrl-RS" w:eastAsia="ja-JP"/>
        </w:rPr>
        <w:t>нови модел електронске фискализације и прелазак на електронско фактурисање све активности се одвијају у складу са задатим роковима. У току месеца фебруара 2021. године усвојена су сва подзаконска акта везана за Закон о фискализацији. Закон о електронском фактурисању усвојен је у априлу, а пратећа подзаконска акта у јулу 2021. године.</w:t>
      </w:r>
    </w:p>
    <w:p w14:paraId="4ED5A382" w14:textId="7777777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 xml:space="preserve">Централизована платформа за електронску фискализацију је пуштена у рад 1. новембра 2021. године. Крајњи рок да обвезници фискализације пређу на нови систем је 30.04.2022. године. </w:t>
      </w:r>
    </w:p>
    <w:p w14:paraId="74EE7F66" w14:textId="7777777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Што се електронског фактурисања тиче, предвиђено је фазно увођење које се завршава 1.1.2023. године.</w:t>
      </w:r>
    </w:p>
    <w:p w14:paraId="78A71F0C" w14:textId="4BBC2BC6"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Обуке корисника новог модела фискализације и електронског фактурисања отпочеле су у току јула 2021. године и одвијају се по планираној динамици  до краја године. Министарство финансија у овом процесу има подршку од НАЛЕД-а и Привредне коморе Србије, као изабраним партенерима за обуке и комуникациону кампању за ове две реформе.</w:t>
      </w:r>
    </w:p>
    <w:p w14:paraId="5DC000B7" w14:textId="691ACAAC"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eastAsia="MS PGothic" w:cs="Times New Roman"/>
          <w:bCs/>
          <w:i/>
          <w:iCs/>
          <w:szCs w:val="24"/>
          <w:lang w:val="sr-Cyrl-RS" w:eastAsia="ja-JP"/>
        </w:rPr>
        <w:t>Повећати транспарентност фискалног утицаја државних предузећа, ојачати капацитет за анализу фискалног ризика и објављивати тромесечне извештаје о финансијским резултатима државних предузећа. Спровести прве кораке временски ограниченог акционог плана за примену нове стратегије у погледу власништва и управљања предузећем у државном влаcништву ради бољег управљања државним предузећима и смањења повезаних фискалних ризика.</w:t>
      </w:r>
    </w:p>
    <w:p w14:paraId="6FAB9C42" w14:textId="33E4972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сврху ефикасног праћења фискалних ризика, 21. октобра 2021. усвојена је на седници Владе Јединствена методологија за праћење фискалних ризика у Р</w:t>
      </w:r>
      <w:r w:rsidR="00C67554">
        <w:rPr>
          <w:rFonts w:eastAsia="MS PGothic" w:cs="Times New Roman"/>
          <w:bCs/>
          <w:iCs/>
          <w:szCs w:val="24"/>
          <w:lang w:val="sr-Cyrl-RS" w:eastAsia="ja-JP"/>
        </w:rPr>
        <w:t>епублици</w:t>
      </w:r>
      <w:r w:rsidRPr="00D43588">
        <w:rPr>
          <w:rFonts w:eastAsia="MS PGothic" w:cs="Times New Roman"/>
          <w:bCs/>
          <w:iCs/>
          <w:szCs w:val="24"/>
          <w:lang w:val="sr-Cyrl-RS" w:eastAsia="ja-JP"/>
        </w:rPr>
        <w:t xml:space="preserve"> Србији, која се односи на фискалне ризике који произлазе из пословања јавних предузећа, ризика по буџет Р</w:t>
      </w:r>
      <w:r w:rsidR="00C67554">
        <w:rPr>
          <w:rFonts w:eastAsia="MS PGothic" w:cs="Times New Roman"/>
          <w:bCs/>
          <w:iCs/>
          <w:szCs w:val="24"/>
          <w:lang w:val="sr-Cyrl-RS" w:eastAsia="ja-JP"/>
        </w:rPr>
        <w:t>епублике</w:t>
      </w:r>
      <w:r w:rsidRPr="00D43588">
        <w:rPr>
          <w:rFonts w:eastAsia="MS PGothic" w:cs="Times New Roman"/>
          <w:bCs/>
          <w:iCs/>
          <w:szCs w:val="24"/>
          <w:lang w:val="sr-Cyrl-RS" w:eastAsia="ja-JP"/>
        </w:rPr>
        <w:t xml:space="preserve"> Србије који настају као последица елементарних непогода, судских спорова и одлука и на основу вршења надлежности јединица локалне самоуправе. Методологија је креирана уз подршку међународних финансијских организација (ММФ, Светска Банка, SECO). Додатно, континуирано се ради на јачању организационих и људских капацитета у Сектору за праћење фискалних ризика, кроз попуњавање постојећих систематизованих радних места и обуке запослених.</w:t>
      </w:r>
    </w:p>
    <w:p w14:paraId="25969307" w14:textId="561B946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Усвајањем предметне методологије креиран је адекватан основ за систем извештавања Министарства финансија о пословању јавних предузећа, који садржи квантитативне и квалитативне показатељ</w:t>
      </w:r>
      <w:r w:rsidR="00C67554">
        <w:rPr>
          <w:rFonts w:eastAsia="MS PGothic" w:cs="Times New Roman"/>
          <w:bCs/>
          <w:iCs/>
          <w:szCs w:val="24"/>
          <w:lang w:val="sr-Cyrl-RS" w:eastAsia="ja-JP"/>
        </w:rPr>
        <w:t>е</w:t>
      </w:r>
      <w:r w:rsidRPr="00D43588">
        <w:rPr>
          <w:rFonts w:eastAsia="MS PGothic" w:cs="Times New Roman"/>
          <w:bCs/>
          <w:iCs/>
          <w:szCs w:val="24"/>
          <w:lang w:val="sr-Cyrl-RS" w:eastAsia="ja-JP"/>
        </w:rPr>
        <w:t xml:space="preserve"> пословања, као и податке као што је нп. преглед резултата рангирања општег ризика и сл. Очекује се да усвајање Јединствене методологије </w:t>
      </w:r>
      <w:r w:rsidR="00C67554">
        <w:rPr>
          <w:rFonts w:eastAsia="MS PGothic" w:cs="Times New Roman"/>
          <w:bCs/>
          <w:iCs/>
          <w:szCs w:val="24"/>
          <w:lang w:val="sr-Cyrl-RS" w:eastAsia="ja-JP"/>
        </w:rPr>
        <w:t>створи</w:t>
      </w:r>
      <w:r w:rsidRPr="00D43588">
        <w:rPr>
          <w:rFonts w:eastAsia="MS PGothic" w:cs="Times New Roman"/>
          <w:bCs/>
          <w:iCs/>
          <w:szCs w:val="24"/>
          <w:lang w:val="sr-Cyrl-RS" w:eastAsia="ja-JP"/>
        </w:rPr>
        <w:t xml:space="preserve"> услове да Сектор за праћење фискалних ризика убудуће превентивно делује, тј. да указује на фискалне ризике и врши одговарајућу процену истих ради боље контроле трошења јавних средстава и мањих одступања од предвиђеног фискалног и буџетског оквира. Сектор за праћење фискалних ризика ради на предузимању активности у вези са спровођењем и применом наведене методологије у пракси. </w:t>
      </w:r>
    </w:p>
    <w:p w14:paraId="502ECE7A" w14:textId="52C150A8"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циљу успостављања централизоване базе података привредних субјеката у којима Република Србија има власништво, као и креирања критеријума за њихово класификовање, припремљен је и привредним субјектима прослеђен упитник, у циљу достављања података.</w:t>
      </w:r>
      <w:r>
        <w:rPr>
          <w:rFonts w:eastAsia="MS PGothic" w:cs="Times New Roman"/>
          <w:bCs/>
          <w:iCs/>
          <w:szCs w:val="24"/>
          <w:lang w:val="sr-Cyrl-RS" w:eastAsia="ja-JP"/>
        </w:rPr>
        <w:t xml:space="preserve"> </w:t>
      </w:r>
      <w:r w:rsidRPr="00D43588">
        <w:rPr>
          <w:rFonts w:eastAsia="MS PGothic" w:cs="Times New Roman"/>
          <w:bCs/>
          <w:iCs/>
          <w:szCs w:val="24"/>
          <w:lang w:val="sr-Cyrl-RS" w:eastAsia="ja-JP"/>
        </w:rPr>
        <w:t>Тражени подаци су достављени и у току је њихова обрада.</w:t>
      </w:r>
    </w:p>
    <w:p w14:paraId="7BEECBA4" w14:textId="4A0D4583" w:rsidR="00D43588" w:rsidRDefault="00D43588" w:rsidP="00D43588">
      <w:pPr>
        <w:spacing w:after="60"/>
        <w:rPr>
          <w:rFonts w:eastAsia="MS PGothic" w:cs="Times New Roman"/>
          <w:bCs/>
          <w:iCs/>
          <w:szCs w:val="24"/>
          <w:lang w:val="sr-Cyrl-RS" w:eastAsia="ja-JP"/>
        </w:rPr>
      </w:pPr>
      <w:r w:rsidRPr="00C67554">
        <w:rPr>
          <w:rFonts w:eastAsia="MS PGothic" w:cs="Times New Roman"/>
          <w:bCs/>
          <w:iCs/>
          <w:szCs w:val="24"/>
          <w:lang w:val="sr-Cyrl-RS" w:eastAsia="ja-JP"/>
        </w:rPr>
        <w:t>Нацрт</w:t>
      </w:r>
      <w:r w:rsidRPr="00D43588">
        <w:rPr>
          <w:rFonts w:eastAsia="MS PGothic" w:cs="Times New Roman"/>
          <w:bCs/>
          <w:iCs/>
          <w:szCs w:val="24"/>
          <w:lang w:val="sr-Cyrl-RS" w:eastAsia="ja-JP"/>
        </w:rPr>
        <w:t xml:space="preserve"> ЕРП 2022-2024 предвиђа нову структурну реформу која се односи на Одрживо и ефикасно управљање привредним субјектима у власништву Републике Србије. Ова мера </w:t>
      </w:r>
      <w:r w:rsidRPr="00D43588">
        <w:rPr>
          <w:rFonts w:eastAsia="MS PGothic" w:cs="Times New Roman"/>
          <w:bCs/>
          <w:iCs/>
          <w:szCs w:val="24"/>
          <w:lang w:val="sr-Cyrl-RS" w:eastAsia="ja-JP"/>
        </w:rPr>
        <w:lastRenderedPageBreak/>
        <w:t>је предвиђена у оквиру другог кључног ЕРП изазова који се односи на Унапређење пословног окружења повољнијег за инвестиције.</w:t>
      </w:r>
    </w:p>
    <w:p w14:paraId="1AC3BDB9" w14:textId="53B06C56"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eastAsia="MS PGothic" w:cs="Times New Roman"/>
          <w:bCs/>
          <w:i/>
          <w:iCs/>
          <w:szCs w:val="24"/>
          <w:lang w:val="sr-Cyrl-RS" w:eastAsia="ja-JP"/>
        </w:rPr>
        <w:t>3. Одржати снажан регулаторни оквир финансијског сектора у складу са међународном и најбољом праксом ЕУ, одржати добро управљање кредитним ризиком и транспарентно приказивати квалитет имовине и одговарајуће резервисањe.</w:t>
      </w:r>
    </w:p>
    <w:p w14:paraId="74D4FE15" w14:textId="545476B9"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Захваљујући предузетим активностима током претходних година, као и макроекономској стабилности у</w:t>
      </w:r>
      <w:r w:rsidR="00C67554">
        <w:rPr>
          <w:rFonts w:eastAsia="MS PGothic" w:cs="Times New Roman"/>
          <w:bCs/>
          <w:iCs/>
          <w:szCs w:val="24"/>
          <w:lang w:val="sr-Cyrl-RS" w:eastAsia="ja-JP"/>
        </w:rPr>
        <w:t xml:space="preserve"> Републици</w:t>
      </w:r>
      <w:r w:rsidRPr="00D43588">
        <w:rPr>
          <w:rFonts w:eastAsia="MS PGothic" w:cs="Times New Roman"/>
          <w:bCs/>
          <w:iCs/>
          <w:szCs w:val="24"/>
          <w:lang w:val="sr-Cyrl-RS" w:eastAsia="ja-JP"/>
        </w:rPr>
        <w:t xml:space="preserve"> Србији и сталном јачању пословног амбијента, финансијски сектор Републике Србије је стабилан, са регулаторним и надзорним оквиром за банке заснованим на Базел 3 стандардима, најбољој међународној пракси и пракси ЕУ. Због свега тога финансијски сектор Србије био је спреман да се успешно суочи са кризом изазваном пандемијом </w:t>
      </w:r>
      <w:r w:rsidR="0063502F">
        <w:rPr>
          <w:rFonts w:eastAsia="MS PGothic" w:cs="Times New Roman"/>
          <w:bCs/>
          <w:iCs/>
          <w:szCs w:val="24"/>
          <w:lang w:val="sr-Cyrl-RS" w:eastAsia="ja-JP"/>
        </w:rPr>
        <w:t>Ковид</w:t>
      </w:r>
      <w:r w:rsidRPr="00D43588">
        <w:rPr>
          <w:rFonts w:eastAsia="MS PGothic" w:cs="Times New Roman"/>
          <w:bCs/>
          <w:iCs/>
          <w:szCs w:val="24"/>
          <w:lang w:val="sr-Cyrl-RS" w:eastAsia="ja-JP"/>
        </w:rPr>
        <w:t xml:space="preserve">-19. Од избијања пандемије, регулаторне активности углавном су биле усмерене ка спречавању потенцијалних последица </w:t>
      </w:r>
      <w:r w:rsidR="0063502F">
        <w:rPr>
          <w:rFonts w:eastAsia="MS PGothic" w:cs="Times New Roman"/>
          <w:bCs/>
          <w:iCs/>
          <w:szCs w:val="24"/>
          <w:lang w:val="sr-Cyrl-RS" w:eastAsia="ja-JP"/>
        </w:rPr>
        <w:t>Ковид</w:t>
      </w:r>
      <w:r w:rsidRPr="00D43588">
        <w:rPr>
          <w:rFonts w:eastAsia="MS PGothic" w:cs="Times New Roman"/>
          <w:bCs/>
          <w:iCs/>
          <w:szCs w:val="24"/>
          <w:lang w:val="sr-Cyrl-RS" w:eastAsia="ja-JP"/>
        </w:rPr>
        <w:t xml:space="preserve">-19. Да би спречила или умањила негативне ефекте, Народна банка Србије спровела је бројне и свеобухватне активности, дужницима обезбедила неколико олакшица у отплати дуговања и креирала регулаторне услове који корисницима олакшавају приступ финансирању, а тиме је и подстакнут раст кредитне активности. Регулаторне и надзорне активности резултирале су очувањем стабилности финансијског система и даљим смањењем нивоа проблематичних кредита на 3,55% (у септембру 2021.), што је зa 0,55 п.п. нижи ниво него на почетку пандемије. То je конкретна потврда спремности и способности банкарског сектора да одговори на све изазове у ванредним здравственим околностима, да успешно спроведе мораторијум на отплату обавеза клијената, као и да одржи здраву кредитну активност. </w:t>
      </w:r>
    </w:p>
    <w:p w14:paraId="342464E7" w14:textId="2A246F48"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Народна банка Србије је била и остаје посвећена сталном побољшању регулаторног оквира за банке, што обухвата и анализу измена прописа којима је регулисано пословање кредитних институција на нивоу Европске уније.</w:t>
      </w:r>
    </w:p>
    <w:p w14:paraId="2BD755FF" w14:textId="7D7F8D3B" w:rsidR="00D43588" w:rsidRPr="00B157B3" w:rsidRDefault="001D5E1B" w:rsidP="001D5E1B">
      <w:pPr>
        <w:shd w:val="clear" w:color="auto" w:fill="D9D9D9" w:themeFill="background1" w:themeFillShade="D9"/>
        <w:spacing w:after="60"/>
        <w:rPr>
          <w:rFonts w:eastAsia="MS PGothic" w:cs="Times New Roman"/>
          <w:bCs/>
          <w:i/>
          <w:iCs/>
          <w:szCs w:val="24"/>
          <w:lang w:val="sr-Cyrl-RS" w:eastAsia="ja-JP"/>
        </w:rPr>
      </w:pPr>
      <w:r w:rsidRPr="00B157B3">
        <w:rPr>
          <w:rFonts w:eastAsia="MS PGothic" w:cs="Times New Roman"/>
          <w:bCs/>
          <w:i/>
          <w:iCs/>
          <w:szCs w:val="24"/>
          <w:lang w:val="sr-Cyrl-RS" w:eastAsia="ja-JP"/>
        </w:rPr>
        <w:t>Смањити преостале препреке брзим и ефикасним решавањем ненаплативих кредита.</w:t>
      </w:r>
    </w:p>
    <w:p w14:paraId="34CD4013" w14:textId="1EA4A29F" w:rsidR="00D43588" w:rsidRPr="00B157B3" w:rsidRDefault="00C67554" w:rsidP="00D43588">
      <w:pPr>
        <w:spacing w:after="60"/>
        <w:rPr>
          <w:rFonts w:eastAsia="MS PGothic" w:cs="Times New Roman"/>
          <w:bCs/>
          <w:iCs/>
          <w:szCs w:val="24"/>
          <w:lang w:val="sr-Cyrl-RS" w:eastAsia="ja-JP"/>
        </w:rPr>
      </w:pPr>
      <w:r w:rsidRPr="00B157B3">
        <w:rPr>
          <w:rFonts w:eastAsia="MS PGothic" w:cs="Times New Roman"/>
          <w:bCs/>
          <w:iCs/>
          <w:szCs w:val="24"/>
          <w:lang w:val="sr-Cyrl-RS" w:eastAsia="ja-JP"/>
        </w:rPr>
        <w:t>Тренутно је у току р</w:t>
      </w:r>
      <w:r w:rsidR="001D5E1B" w:rsidRPr="00B157B3">
        <w:rPr>
          <w:rFonts w:eastAsia="MS PGothic" w:cs="Times New Roman"/>
          <w:bCs/>
          <w:iCs/>
          <w:szCs w:val="24"/>
          <w:lang w:val="sr-Cyrl-RS" w:eastAsia="ja-JP"/>
        </w:rPr>
        <w:t>ешавање питања преосталих проблематичних пласмана банака у стечају и пласмана у име и за рачун Републике Србије, којима управља Агенција за осигурање депозита.</w:t>
      </w:r>
    </w:p>
    <w:p w14:paraId="17C472FE" w14:textId="5A1C8893" w:rsidR="00D43588" w:rsidRPr="001D5E1B" w:rsidRDefault="001D5E1B" w:rsidP="001D5E1B">
      <w:pPr>
        <w:shd w:val="clear" w:color="auto" w:fill="D9D9D9" w:themeFill="background1" w:themeFillShade="D9"/>
        <w:spacing w:after="60"/>
        <w:rPr>
          <w:rFonts w:eastAsia="MS PGothic" w:cs="Times New Roman"/>
          <w:bCs/>
          <w:i/>
          <w:iCs/>
          <w:szCs w:val="24"/>
          <w:lang w:val="sr-Cyrl-RS" w:eastAsia="ja-JP"/>
        </w:rPr>
      </w:pPr>
      <w:r w:rsidRPr="001D5E1B">
        <w:rPr>
          <w:rFonts w:eastAsia="MS PGothic" w:cs="Times New Roman"/>
          <w:bCs/>
          <w:i/>
          <w:iCs/>
          <w:szCs w:val="24"/>
          <w:lang w:val="sr-Cyrl-RS" w:eastAsia="ja-JP"/>
        </w:rPr>
        <w:t>Наставити напоре на промоцији употребе националне валуте, укључујући даље подстицање девизног хеџинга и подизање свести о ризицима везаним за девизно кредитирање.</w:t>
      </w:r>
    </w:p>
    <w:p w14:paraId="6D49B942" w14:textId="0948833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У циљу јачања поверења у националну валуту и стимулисања већег коришћења динара у финансијском систему, а у складу са стратегијом динаризације, Народна банка Србије и Влада Републике Србије наставиле су да прилагођавају своје политике, доносе мере и спроводе активности усмерене на очување макроекономске стабилности, промоцију развоја финансијског тржишта и коришћења финансијских инструмената за заштиту од валутног ризика. Међу последњим значајним мерама Народне банке Србије су</w:t>
      </w:r>
      <w:r w:rsidR="00C67554">
        <w:rPr>
          <w:rFonts w:eastAsia="MS PGothic" w:cs="Times New Roman"/>
          <w:bCs/>
          <w:iCs/>
          <w:szCs w:val="24"/>
          <w:lang w:val="sr-Cyrl-RS" w:eastAsia="ja-JP"/>
        </w:rPr>
        <w:t xml:space="preserve"> следеће</w:t>
      </w:r>
      <w:r w:rsidRPr="001D5E1B">
        <w:rPr>
          <w:rFonts w:eastAsia="MS PGothic" w:cs="Times New Roman"/>
          <w:bCs/>
          <w:iCs/>
          <w:szCs w:val="24"/>
          <w:lang w:val="sr-Cyrl-RS" w:eastAsia="ja-JP"/>
        </w:rPr>
        <w:t>:</w:t>
      </w:r>
    </w:p>
    <w:p w14:paraId="40550EC4" w14:textId="730E89AB"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У мају 2020, на листу прихватљивог колатерала којим се обављају монетарне операције, Народна банка Србије је уврстила динарске обвезнице емитоване од стране домаћег привредног друштва одговарајућег бонитета (који утврђује Агенција за привредне регистре). Очекује се да ће ова мера допринети већем интересу банака да у своје портфеље укључе предметне обвезнице, што би допринело развоју и већој ликвидности домаћег тржишта корпоративних обвезница.</w:t>
      </w:r>
    </w:p>
    <w:p w14:paraId="1A243D5D" w14:textId="275207D8"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Народна банка Србије је активно учествовала у прилагођавању регулаторног оквира и спровођењу мера и активности које доприносе развоју финансијског тржишта, његовом бољем функционисању и већој ликвидности. Међу мерама које ће </w:t>
      </w:r>
      <w:r w:rsidRPr="001D5E1B">
        <w:rPr>
          <w:rFonts w:cs="Times New Roman"/>
          <w:bCs/>
          <w:iCs/>
          <w:sz w:val="24"/>
          <w:szCs w:val="24"/>
          <w:lang w:val="sr-Cyrl-RS"/>
        </w:rPr>
        <w:lastRenderedPageBreak/>
        <w:t xml:space="preserve">допринети развоју локалног тржишта капитала истиче се укључивање динарских обвезница Републике Србије у реномиране индексе инвестиционе банке JP Morgan, крајем јуна 2021. </w:t>
      </w:r>
    </w:p>
    <w:p w14:paraId="7B52C92F" w14:textId="01966083"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Почетком октобра Clearstream је укључио домаће тржиште капитала у своју глобалну мрежу, и на тај начин је омогућио директно салдирање динарских ХоВ за стране инвеститоре. То би требало да доприносе побољшању дубине и ликвидности домаћег тржишта ХоВ и побољшању услова финансирања државе. </w:t>
      </w:r>
    </w:p>
    <w:p w14:paraId="31FD1D51" w14:textId="33E815F9"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Како би допринела већем динарском кредитирању, Народна банка Србије је у јулу 2020. донела одлуку да банкама које одобравају динарске кредите у оквиру гарантне шеме по повољним условима (по каматним стопама нижим за најмање 50 б.п. од максимално предвиђених првом односно другом гарантном шемом), плаћа камату на издвојену обавезну резерву по стопи вишој од „стандардне“ (0,6% наспрам 0,1%, респективно). Значајан износ кредита из гарантне шеме одобрен је у динарима, што је допринело напретку на плану динаризације пласмана привреди од око 10 п.п. за годину ипо дана и потврђује да су мере Владе и Народне банке Србије дале жељене резултате. </w:t>
      </w:r>
    </w:p>
    <w:p w14:paraId="565A6F09" w14:textId="1F981162"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Од 1. јануара 2021. године примењују се нови и детаљнији супервизорски захтеви који се односе на обавезу банака да адекватно уреде управљање ризицима по основу изложености банке с валутном клаузулом и у страној валути и то од нивоа стратегије до нивоа процедура. Конкретни захтеви, између осталог, имају за циљ смањење укупног износа кредита у динарима с валутном клаузулом и у страној валути који нису заштићени од ризика промене девизног курса због валутне неусклађености примања дужника и његових обавеза.</w:t>
      </w:r>
    </w:p>
    <w:p w14:paraId="66629877" w14:textId="18E397CC"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Одлука којом се дефинишу мере у вези са капиталом које обесхрабрују одобравање нових, ненаменских и неинвестиционих кредита индексираних у страној валути и кредита у страној валути предузећима, предузетницима и пољопривредницима, а чија је примена одложена због пандемије, почеће да се примењујe од 1. јула 2022. године. </w:t>
      </w:r>
    </w:p>
    <w:p w14:paraId="6F7FF228"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Као резултат свих досадашњих мера и активности, бележи се свеобухватни напредак у погледу динаризације:</w:t>
      </w:r>
    </w:p>
    <w:p w14:paraId="1A79DC13" w14:textId="5593A7AB" w:rsidR="001D5E1B" w:rsidRPr="001D5E1B" w:rsidRDefault="001D5E1B" w:rsidP="004D22FA">
      <w:pPr>
        <w:pStyle w:val="ListParagraph"/>
        <w:numPr>
          <w:ilvl w:val="0"/>
          <w:numId w:val="18"/>
        </w:numPr>
        <w:spacing w:after="60"/>
        <w:rPr>
          <w:rFonts w:cs="Times New Roman"/>
          <w:bCs/>
          <w:iCs/>
          <w:sz w:val="24"/>
          <w:szCs w:val="24"/>
          <w:lang w:val="sr-Cyrl-RS"/>
        </w:rPr>
      </w:pPr>
      <w:r w:rsidRPr="001D5E1B">
        <w:rPr>
          <w:rFonts w:cs="Times New Roman"/>
          <w:bCs/>
          <w:iCs/>
          <w:sz w:val="24"/>
          <w:szCs w:val="24"/>
          <w:lang w:val="sr-Cyrl-RS"/>
        </w:rPr>
        <w:t>Динаризација депозита привреде и становништва, који представљају најважнији извор финансирања за банке, бележи позитиван дугорочни тренд и крајем септембра 2021. износила је 39,0%. При томе, динаризација депозита становништва износила је 27,3% - рекордно висок ниво овог показатеља. Расту овог показатеља доприноси и раст динарске штедње, која је у протекле три и по године удвостручена. Динаризација депозита привреде такође бележи узлазни тренд – од августа 2019. се креће на нивоу изнад 55%, а крајем септембра 2021. је износила 58,0%.</w:t>
      </w:r>
    </w:p>
    <w:p w14:paraId="4FFC7BF9" w14:textId="1D583F06" w:rsidR="001D5E1B" w:rsidRPr="001D5E1B" w:rsidRDefault="001D5E1B" w:rsidP="004D22FA">
      <w:pPr>
        <w:pStyle w:val="ListParagraph"/>
        <w:numPr>
          <w:ilvl w:val="0"/>
          <w:numId w:val="18"/>
        </w:numPr>
        <w:spacing w:after="60"/>
        <w:rPr>
          <w:rFonts w:cs="Times New Roman"/>
          <w:bCs/>
          <w:iCs/>
          <w:sz w:val="24"/>
          <w:szCs w:val="24"/>
          <w:lang w:val="sr-Cyrl-RS"/>
        </w:rPr>
      </w:pPr>
      <w:r w:rsidRPr="001D5E1B">
        <w:rPr>
          <w:rFonts w:cs="Times New Roman"/>
          <w:bCs/>
          <w:iCs/>
          <w:sz w:val="24"/>
          <w:szCs w:val="24"/>
          <w:lang w:val="sr-Cyrl-RS"/>
        </w:rPr>
        <w:t>Динаризација пласмана привреди и становништву је крајем септембра износила 38,6%, што је рекордно висок ниво. При томе:</w:t>
      </w:r>
    </w:p>
    <w:p w14:paraId="242CECB4" w14:textId="62A353B4" w:rsidR="001D5E1B" w:rsidRPr="001D5E1B" w:rsidRDefault="001D5E1B" w:rsidP="004D22FA">
      <w:pPr>
        <w:pStyle w:val="ListParagraph"/>
        <w:numPr>
          <w:ilvl w:val="1"/>
          <w:numId w:val="19"/>
        </w:numPr>
        <w:spacing w:after="60"/>
        <w:rPr>
          <w:rFonts w:cs="Times New Roman"/>
          <w:bCs/>
          <w:iCs/>
          <w:sz w:val="24"/>
          <w:szCs w:val="24"/>
          <w:lang w:val="sr-Cyrl-RS"/>
        </w:rPr>
      </w:pPr>
      <w:r w:rsidRPr="001D5E1B">
        <w:rPr>
          <w:rFonts w:cs="Times New Roman"/>
          <w:bCs/>
          <w:iCs/>
          <w:sz w:val="24"/>
          <w:szCs w:val="24"/>
          <w:lang w:val="sr-Cyrl-RS"/>
        </w:rPr>
        <w:t xml:space="preserve">Динаризација пласмана привреди достигла је 23,8%, што је рекордно висок ниво у последњих шест година. </w:t>
      </w:r>
    </w:p>
    <w:p w14:paraId="6A8188C9" w14:textId="4BA474C3" w:rsidR="001D5E1B" w:rsidRPr="001D5E1B" w:rsidRDefault="001D5E1B" w:rsidP="004D22FA">
      <w:pPr>
        <w:pStyle w:val="ListParagraph"/>
        <w:numPr>
          <w:ilvl w:val="1"/>
          <w:numId w:val="19"/>
        </w:numPr>
        <w:spacing w:after="60"/>
        <w:rPr>
          <w:rFonts w:cs="Times New Roman"/>
          <w:bCs/>
          <w:iCs/>
          <w:sz w:val="24"/>
          <w:szCs w:val="24"/>
          <w:lang w:val="sr-Cyrl-RS"/>
        </w:rPr>
      </w:pPr>
      <w:r w:rsidRPr="001D5E1B">
        <w:rPr>
          <w:rFonts w:cs="Times New Roman"/>
          <w:bCs/>
          <w:iCs/>
          <w:sz w:val="24"/>
          <w:szCs w:val="24"/>
          <w:lang w:val="sr-Cyrl-RS"/>
        </w:rPr>
        <w:t>Динаризација пласмана становништву се од јуна 2019. креће на нивоу од 55% или више, где се налази и у септембру 2021.</w:t>
      </w:r>
    </w:p>
    <w:p w14:paraId="0669673B" w14:textId="1EB31349" w:rsidR="001D5E1B" w:rsidRPr="001D5E1B" w:rsidRDefault="001D5E1B" w:rsidP="004D22FA">
      <w:pPr>
        <w:pStyle w:val="ListParagraph"/>
        <w:numPr>
          <w:ilvl w:val="0"/>
          <w:numId w:val="18"/>
        </w:numPr>
        <w:spacing w:after="60"/>
        <w:rPr>
          <w:rFonts w:cs="Times New Roman"/>
          <w:bCs/>
          <w:iCs/>
          <w:sz w:val="24"/>
          <w:szCs w:val="24"/>
          <w:lang w:val="sr-Cyrl-RS"/>
        </w:rPr>
      </w:pPr>
      <w:r w:rsidRPr="001D5E1B">
        <w:rPr>
          <w:rFonts w:cs="Times New Roman"/>
          <w:bCs/>
          <w:iCs/>
          <w:sz w:val="24"/>
          <w:szCs w:val="24"/>
          <w:lang w:val="sr-Cyrl-RS"/>
        </w:rPr>
        <w:t xml:space="preserve">Учешће динарског дела јавног дуга у укупном јавном дугу бележи дугорочни тренд раста – од краја 2012. до септембра 2021. повећано је за 10,3 п.п., на 29,4%. </w:t>
      </w:r>
    </w:p>
    <w:p w14:paraId="58992E50" w14:textId="77777777" w:rsidR="001D5E1B" w:rsidRPr="001D5E1B" w:rsidRDefault="001D5E1B" w:rsidP="001D5E1B">
      <w:pPr>
        <w:spacing w:after="60"/>
        <w:rPr>
          <w:rFonts w:cs="Times New Roman"/>
          <w:bCs/>
          <w:iCs/>
          <w:szCs w:val="24"/>
          <w:lang w:val="sr-Cyrl-RS"/>
        </w:rPr>
      </w:pPr>
      <w:r w:rsidRPr="001D5E1B">
        <w:rPr>
          <w:rFonts w:cs="Times New Roman"/>
          <w:bCs/>
          <w:iCs/>
          <w:szCs w:val="24"/>
          <w:lang w:val="sr-Cyrl-RS"/>
        </w:rPr>
        <w:lastRenderedPageBreak/>
        <w:t>Народна банка Србије ће наставити да подстиче девизни хеџинг на следећи начин:</w:t>
      </w:r>
    </w:p>
    <w:p w14:paraId="0792A123" w14:textId="62F83F4C" w:rsidR="001D5E1B" w:rsidRPr="001D5E1B" w:rsidRDefault="001D5E1B" w:rsidP="004D22FA">
      <w:pPr>
        <w:pStyle w:val="ListParagraph"/>
        <w:numPr>
          <w:ilvl w:val="1"/>
          <w:numId w:val="18"/>
        </w:numPr>
        <w:spacing w:after="60"/>
        <w:rPr>
          <w:rFonts w:cs="Times New Roman"/>
          <w:bCs/>
          <w:iCs/>
          <w:sz w:val="24"/>
          <w:szCs w:val="24"/>
          <w:lang w:val="sr-Cyrl-RS"/>
        </w:rPr>
      </w:pPr>
      <w:r w:rsidRPr="001D5E1B">
        <w:rPr>
          <w:rFonts w:cs="Times New Roman"/>
          <w:bCs/>
          <w:iCs/>
          <w:sz w:val="24"/>
          <w:szCs w:val="24"/>
          <w:lang w:val="sr-Cyrl-RS"/>
        </w:rPr>
        <w:t>организовање редовних двонедељних и тромесечних девизних своп аукција за банке;</w:t>
      </w:r>
    </w:p>
    <w:p w14:paraId="13795AAF" w14:textId="1F3C68AD" w:rsidR="00D43588" w:rsidRPr="00B157B3" w:rsidRDefault="001D5E1B" w:rsidP="00C67554">
      <w:pPr>
        <w:pStyle w:val="ListParagraph"/>
        <w:numPr>
          <w:ilvl w:val="0"/>
          <w:numId w:val="46"/>
        </w:numPr>
        <w:spacing w:after="60"/>
        <w:rPr>
          <w:rFonts w:cs="Times New Roman"/>
          <w:bCs/>
          <w:iCs/>
          <w:sz w:val="24"/>
          <w:szCs w:val="24"/>
          <w:lang w:val="sr-Cyrl-RS"/>
        </w:rPr>
      </w:pPr>
      <w:r w:rsidRPr="00B157B3">
        <w:rPr>
          <w:rFonts w:cs="Times New Roman"/>
          <w:bCs/>
          <w:iCs/>
          <w:sz w:val="24"/>
          <w:szCs w:val="24"/>
          <w:lang w:val="sr-Cyrl-RS"/>
        </w:rPr>
        <w:t>промовисање употребе инструмената за заштиту од ризика промене девизног курса и осталих финансијских ризика, попут ризика промене каматне стопе, кроз редовно ажурирање странице посвећене девизном хеџингу на интернет презентацији НБС, саветовање банака да унапреде понуду хеџинг инструмената и уложе више напора у едукацију клијената, пре свега из корпоративног сектора итд.</w:t>
      </w:r>
    </w:p>
    <w:p w14:paraId="4B6AD121" w14:textId="24C685E3" w:rsidR="00D43588" w:rsidRPr="001D5E1B" w:rsidRDefault="001D5E1B" w:rsidP="001D5E1B">
      <w:pPr>
        <w:shd w:val="clear" w:color="auto" w:fill="D9D9D9" w:themeFill="background1" w:themeFillShade="D9"/>
        <w:spacing w:after="60"/>
        <w:rPr>
          <w:rFonts w:eastAsia="MS PGothic" w:cs="Times New Roman"/>
          <w:bCs/>
          <w:i/>
          <w:iCs/>
          <w:szCs w:val="24"/>
          <w:lang w:val="sr-Cyrl-RS" w:eastAsia="ja-JP"/>
        </w:rPr>
      </w:pPr>
      <w:r w:rsidRPr="001D5E1B">
        <w:rPr>
          <w:rFonts w:eastAsia="MS PGothic" w:cs="Times New Roman"/>
          <w:bCs/>
          <w:i/>
          <w:iCs/>
          <w:szCs w:val="24"/>
          <w:lang w:val="sr-Cyrl-RS" w:eastAsia="ja-JP"/>
        </w:rPr>
        <w:t>4. Даље побољшати транспарентност у усвајању и спровођењу закона, нарочито обезбеђивањем правовремених консултација предузећа и социјалних партнера о новом законодавству које утиче на њихово пословање.</w:t>
      </w:r>
    </w:p>
    <w:p w14:paraId="7FE38A3D"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Државни органи су дужни да, у складу са одредбама члана 77. Закона о државној управи, члана 34. и 41. Закона о планском систему Републике Србије и Правилником о смерницама добре праксе за остваривање учешћа јавности у припреми нацрта закона и других прописа и аката:</w:t>
      </w:r>
    </w:p>
    <w:p w14:paraId="573B34D4" w14:textId="67F6D1B0"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обезбеде услове за учешће јавности у току припреме нацрта закона и других аката;</w:t>
      </w:r>
    </w:p>
    <w:p w14:paraId="15668DCC" w14:textId="525E24C6"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обавесте јавност путем своје интернет странице и портала е-Управе о отпочињању израде нацрта закона, уз основне информације о предложеним решењима;</w:t>
      </w:r>
    </w:p>
    <w:p w14:paraId="1A5A8A5A" w14:textId="18F8D040"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приликом отпочињања израде нацрта закона којим се битно мења правни режим у једној области или којим се уређују питања која посебно занимају јавност, објављују и полазни документ (полазне основе) који садржи приказ проблема у одређеној области и њихових узрока, циљеве и очекиване ефекте доношења закона, као и основна начела за уређивање друштвених односа у тој области, укључујући и права и обавезе субјеката на које се закон односи;</w:t>
      </w:r>
    </w:p>
    <w:p w14:paraId="1E7A5DDD" w14:textId="215E7FDE"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омогуће достављање коментара на полазне основе од 7 до 15 дана;</w:t>
      </w:r>
    </w:p>
    <w:p w14:paraId="576F9F7B" w14:textId="4BE7F597"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да током припреме нацрта закона спроводе консултације са свим релевантним субјектима: државним органима, удружењима грађана и привредних субјеката, стручном јавношћу, научно-истраживачким, струковним и другим организација, као и другим заинтересованим странама, на начин којим се обезбеђује отвореност и делотворно учешће јавности у том процесу;</w:t>
      </w:r>
    </w:p>
    <w:p w14:paraId="7046145D" w14:textId="25BD558E"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израде и објаве извештај о спроведеним консултацијама;</w:t>
      </w:r>
    </w:p>
    <w:p w14:paraId="4B881617" w14:textId="7C58822C"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спроведу јавну расправу на припремљени нацрта закона.</w:t>
      </w:r>
    </w:p>
    <w:p w14:paraId="3EC4562F"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Поред наведеног, чланом 19. Закона о привредним коморама прописано је да: </w:t>
      </w:r>
    </w:p>
    <w:p w14:paraId="0D2B1D26" w14:textId="1725CB9D"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учествује у припреми нацрта закона и других прописа од значаја за привреду, уз достављање образложеног става привреде надлежном министарству;</w:t>
      </w:r>
    </w:p>
    <w:p w14:paraId="4A09E6A3" w14:textId="4A2C6D39"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припрема и доставља надлежном министарству анализу примене појединачних прописа од значаја за привреду, са предлозима за побољшање квалитета примене тих прописа;</w:t>
      </w:r>
    </w:p>
    <w:p w14:paraId="78E1DF04" w14:textId="549879B2"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квартално доставља Влади посебну анализу примене прописа од значаја за привреду, са предлозима за побољшање квалитета примене тих прописа.</w:t>
      </w:r>
    </w:p>
    <w:p w14:paraId="0C359A90" w14:textId="6922F55D"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може по позиву, да овласти своје представнике да учествују у раду радних група органа државне управе и институција.</w:t>
      </w:r>
    </w:p>
    <w:p w14:paraId="1A3BDFB7"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lastRenderedPageBreak/>
        <w:t xml:space="preserve">Такође, израђен је и јавно доступан </w:t>
      </w:r>
      <w:r w:rsidRPr="001D5E1B">
        <w:rPr>
          <w:rFonts w:eastAsia="MS PGothic" w:cs="Times New Roman"/>
          <w:bCs/>
          <w:i/>
          <w:iCs/>
          <w:szCs w:val="24"/>
          <w:lang w:val="sr-Cyrl-RS" w:eastAsia="ja-JP"/>
        </w:rPr>
        <w:t>Приручник за учешће јавности у планирању, изради и праћењу спровођења јавних политика и прописа</w:t>
      </w:r>
      <w:r w:rsidRPr="001D5E1B">
        <w:rPr>
          <w:rFonts w:eastAsia="MS PGothic" w:cs="Times New Roman"/>
          <w:bCs/>
          <w:iCs/>
          <w:szCs w:val="24"/>
          <w:lang w:val="sr-Cyrl-RS" w:eastAsia="ja-JP"/>
        </w:rPr>
        <w:t xml:space="preserve"> уз подршку ЕУ. </w:t>
      </w:r>
    </w:p>
    <w:p w14:paraId="1CDB4D78" w14:textId="77777777" w:rsidR="001D5E1B" w:rsidRPr="001D5E1B" w:rsidRDefault="001D5E1B" w:rsidP="00854598">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Иако наведени прописи пружају чврст оквир за укључивање јавности у процес израде закона, у току 2020. године од 42 усвојена закона, само за њих 36% (15 закона) је спроведен консултативни процес, што је више за 2 п.п него 2019. године (према евиденцији РСЈП). </w:t>
      </w:r>
    </w:p>
    <w:p w14:paraId="744D643B" w14:textId="56EB5D0B" w:rsidR="001D5E1B" w:rsidRPr="001D5E1B" w:rsidRDefault="001D5E1B" w:rsidP="00854598">
      <w:pPr>
        <w:spacing w:after="60"/>
        <w:rPr>
          <w:rFonts w:eastAsia="MS PGothic" w:cs="Times New Roman"/>
          <w:bCs/>
          <w:iCs/>
          <w:szCs w:val="24"/>
          <w:lang w:val="sr-Cyrl-RS" w:eastAsia="ja-JP"/>
        </w:rPr>
      </w:pPr>
      <w:r w:rsidRPr="001D5E1B">
        <w:rPr>
          <w:rFonts w:eastAsia="MS PGothic" w:cs="Times New Roman"/>
          <w:bCs/>
          <w:iCs/>
          <w:szCs w:val="24"/>
          <w:lang w:val="sr-Cyrl-RS" w:eastAsia="ja-JP"/>
        </w:rPr>
        <w:t>Влада</w:t>
      </w:r>
      <w:r>
        <w:rPr>
          <w:rFonts w:eastAsia="MS PGothic" w:cs="Times New Roman"/>
          <w:bCs/>
          <w:iCs/>
          <w:szCs w:val="24"/>
          <w:lang w:val="sr-Cyrl-RS" w:eastAsia="ja-JP"/>
        </w:rPr>
        <w:t xml:space="preserve"> РС</w:t>
      </w:r>
      <w:r w:rsidRPr="001D5E1B">
        <w:rPr>
          <w:rFonts w:eastAsia="MS PGothic" w:cs="Times New Roman"/>
          <w:bCs/>
          <w:iCs/>
          <w:szCs w:val="24"/>
          <w:lang w:val="sr-Cyrl-RS" w:eastAsia="ja-JP"/>
        </w:rPr>
        <w:t xml:space="preserve"> је 16. јуна 2021. године донела Одлуку којом се установљава Портал „еКонсултације”, који је саставни део Портала еУправа, са циљем да се јавности омогући, на јединствен и равноправан начин, електронским путем, учешће у процесу припреме и усвајања докумената јавних политика и прописа</w:t>
      </w:r>
      <w:r w:rsidRPr="00690C1F">
        <w:rPr>
          <w:rFonts w:eastAsia="MS PGothic" w:cs="Times New Roman"/>
          <w:bCs/>
          <w:iCs/>
          <w:szCs w:val="24"/>
          <w:lang w:val="sr-Cyrl-RS" w:eastAsia="ja-JP"/>
        </w:rPr>
        <w:t xml:space="preserve">. </w:t>
      </w:r>
      <w:r w:rsidRPr="006215E8">
        <w:rPr>
          <w:rFonts w:eastAsia="MS PGothic" w:cs="Times New Roman"/>
          <w:bCs/>
          <w:iCs/>
          <w:szCs w:val="24"/>
          <w:lang w:val="sr-Cyrl-RS" w:eastAsia="ja-JP"/>
        </w:rPr>
        <w:t>Одлука је објављена у Службен</w:t>
      </w:r>
      <w:r w:rsidR="002A1021">
        <w:rPr>
          <w:rFonts w:eastAsia="MS PGothic" w:cs="Times New Roman"/>
          <w:bCs/>
          <w:iCs/>
          <w:szCs w:val="24"/>
          <w:lang w:val="sr-Cyrl-RS" w:eastAsia="ja-JP"/>
        </w:rPr>
        <w:t>ом</w:t>
      </w:r>
      <w:r w:rsidRPr="006215E8">
        <w:rPr>
          <w:rFonts w:eastAsia="MS PGothic" w:cs="Times New Roman"/>
          <w:bCs/>
          <w:iCs/>
          <w:szCs w:val="24"/>
          <w:lang w:val="sr-Cyrl-RS" w:eastAsia="ja-JP"/>
        </w:rPr>
        <w:t xml:space="preserve"> гласнику Републике Србије, број 62/21. </w:t>
      </w:r>
      <w:r w:rsidRPr="001D5E1B">
        <w:rPr>
          <w:rFonts w:eastAsia="MS PGothic" w:cs="Times New Roman"/>
          <w:bCs/>
          <w:iCs/>
          <w:szCs w:val="24"/>
          <w:lang w:val="sr-Cyrl-RS" w:eastAsia="ja-JP"/>
        </w:rPr>
        <w:t>У складу са донетом Одлуком, започете су обуке државних службеника ради коришћења Портала „е-Консултације“ у циљу спровођења поступка јавних консултација и јавних расправа.</w:t>
      </w:r>
    </w:p>
    <w:p w14:paraId="3043F337" w14:textId="580B1A7A" w:rsidR="00D43588" w:rsidRDefault="001D5E1B" w:rsidP="00854598">
      <w:pPr>
        <w:spacing w:after="60"/>
        <w:rPr>
          <w:rFonts w:eastAsia="MS PGothic" w:cs="Times New Roman"/>
          <w:bCs/>
          <w:iCs/>
          <w:szCs w:val="24"/>
          <w:lang w:val="sr-Cyrl-RS" w:eastAsia="ja-JP"/>
        </w:rPr>
      </w:pPr>
      <w:r w:rsidRPr="001D5E1B">
        <w:rPr>
          <w:rFonts w:eastAsia="MS PGothic" w:cs="Times New Roman"/>
          <w:bCs/>
          <w:iCs/>
          <w:szCs w:val="24"/>
          <w:lang w:val="sr-Cyrl-RS" w:eastAsia="ja-JP"/>
        </w:rPr>
        <w:t>Очекује се да ће портал бити јавно доступан до краја 2021. године.</w:t>
      </w:r>
    </w:p>
    <w:p w14:paraId="3044DC76" w14:textId="2E6676FE" w:rsidR="00D4358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Осигурати усклађени приступ за давање приоритета и праћење свих инвестиција и заснивање инвестиционих одлука на студијама изводљивости, анализи трошкова и користи и проценама утицаја на животну средину.</w:t>
      </w:r>
    </w:p>
    <w:p w14:paraId="5EDCD5CD" w14:textId="381E2ABC"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Ефикасно и делотворно управљање капиталним инвестицијама и реализација капиталних пројеката представља један од најважнијих стратешких циљева Владе, због чега је овом процесу последњих година посвећена велика пажња. Стога је у јулу 2019. године усвојена нова Уредба Владе Републике Србије о управљању капиталним пројектима („Сл. гласник РС“ број 51/19) на предлог Министарства финансија. Њеним усвајањем, као и усвајањем пратећих правилника у децембру 2019. године, заокружен је правни оквир који регулише процедуру управљања капиталним пројектима у Републици Србији. На тај начин остварен је допринос унапређењу процеса оцене и праћења капиталних пројеката, као предуслов да потребни ресурси буду издвојени за највише приоритете Владе, ради смањења прекорачења трошкова, краћег временског интервала од идентификовања потреба до постизања резултата, обезбеђивања бољих пројектних резултата, смањења броја пројеката у мировању или одложених пројеката, те избегавања реализације оних пројеката где је већи трошак него корист, као и идентификовања  фискалних ризика. Чланом 1. Уредбе пр</w:t>
      </w:r>
      <w:r>
        <w:rPr>
          <w:rFonts w:eastAsia="MS PGothic" w:cs="Times New Roman"/>
          <w:bCs/>
          <w:iCs/>
          <w:szCs w:val="24"/>
          <w:lang w:val="sr-Cyrl-RS" w:eastAsia="ja-JP"/>
        </w:rPr>
        <w:t>описано је да је иста усвојена</w:t>
      </w:r>
      <w:r w:rsidR="004C3A32">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управо у циљу обезбеђивања вредновања свих позитивних и негативних ефеката пројеката и како би се осигурало делотворно и ефикасно управљање јавним средствима. </w:t>
      </w:r>
    </w:p>
    <w:p w14:paraId="590310FB" w14:textId="2933F7E3"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Сходно усвојеном правном оквиру, формирана је и Републичка комисија за капиталне инвестиције, која врши потврду стратешке релевантности капиталних пројеката и усваја листу капиталних пројеката који су успешно оцењени и прошли предимплементациону фазу, и која разматра питања од значаја за развој инфраструктуре Републике Србије, те промовише систематско планирање инвестиција у инфраструктуру. У периоду до 1. новембра 2021. одржано је пет редовних седница. Комисија је на конститутивној седници усвојила</w:t>
      </w:r>
      <w:r>
        <w:rPr>
          <w:rFonts w:eastAsia="MS PGothic" w:cs="Times New Roman"/>
          <w:bCs/>
          <w:iCs/>
          <w:szCs w:val="24"/>
          <w:lang w:val="sr-Cyrl-RS" w:eastAsia="ja-JP"/>
        </w:rPr>
        <w:t xml:space="preserve"> Пословник о раду.</w:t>
      </w:r>
      <w:r w:rsidRPr="00854598">
        <w:rPr>
          <w:rFonts w:eastAsia="MS PGothic" w:cs="Times New Roman"/>
          <w:bCs/>
          <w:iCs/>
          <w:szCs w:val="24"/>
          <w:lang w:val="sr-Cyrl-RS" w:eastAsia="ja-JP"/>
        </w:rPr>
        <w:t xml:space="preserve"> На техничком нивоу, 2019. године је актом о Систематизацији радних места Министарства финансија формиран Сектор за праћење фискалних ризика који се, између осталог, бави и оценом и праћењем капиталних пројеката и пружа техничку подршку Републичкој комисији за капиталне инвестиције. У 2021. години, приступило се јачању капацитета јединица за управљање капиталним инвестицијама, како у оквиру Сектора за праћење фискалних ризика Министарства финансија, тако и других линијских министарстава.</w:t>
      </w:r>
    </w:p>
    <w:p w14:paraId="65AF6285" w14:textId="7AC06D4E"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Пуна примена методологије за оцену и праћење капиталних пројеката, која је спроведена у Републици Србији кроз поменути правни оквир, имајући у виду </w:t>
      </w:r>
      <w:r w:rsidRPr="004C3A32">
        <w:rPr>
          <w:rFonts w:eastAsia="MS PGothic" w:cs="Times New Roman"/>
          <w:bCs/>
          <w:iCs/>
          <w:szCs w:val="24"/>
          <w:lang w:val="sr-Cyrl-RS" w:eastAsia="ja-JP"/>
        </w:rPr>
        <w:t>пандемију изазвану вирусом</w:t>
      </w:r>
      <w:r w:rsidR="00052B37" w:rsidRPr="004C3A32">
        <w:rPr>
          <w:rFonts w:eastAsia="MS PGothic" w:cs="Times New Roman"/>
          <w:bCs/>
          <w:iCs/>
          <w:szCs w:val="24"/>
          <w:lang w:val="sr-Latn-RS" w:eastAsia="ja-JP"/>
        </w:rPr>
        <w:t xml:space="preserve"> </w:t>
      </w:r>
      <w:r w:rsidR="00345C4A" w:rsidRPr="004C3A32">
        <w:rPr>
          <w:rFonts w:eastAsia="MS PGothic" w:cs="Times New Roman"/>
          <w:bCs/>
          <w:iCs/>
          <w:szCs w:val="24"/>
          <w:lang w:val="sr-Cyrl-RS" w:eastAsia="ja-JP"/>
        </w:rPr>
        <w:t>Ковид-19</w:t>
      </w:r>
      <w:r w:rsidRPr="004C3A32">
        <w:rPr>
          <w:rFonts w:eastAsia="MS PGothic" w:cs="Times New Roman"/>
          <w:bCs/>
          <w:iCs/>
          <w:szCs w:val="24"/>
          <w:lang w:val="sr-Cyrl-RS" w:eastAsia="ja-JP"/>
        </w:rPr>
        <w:t>,</w:t>
      </w:r>
      <w:r w:rsidRPr="00854598">
        <w:rPr>
          <w:rFonts w:eastAsia="MS PGothic" w:cs="Times New Roman"/>
          <w:bCs/>
          <w:iCs/>
          <w:szCs w:val="24"/>
          <w:lang w:val="sr-Cyrl-RS" w:eastAsia="ja-JP"/>
        </w:rPr>
        <w:t xml:space="preserve"> тек се очекује. У том смислу, Сектор за праћење фискалних ризика </w:t>
      </w:r>
      <w:r w:rsidRPr="00854598">
        <w:rPr>
          <w:rFonts w:eastAsia="MS PGothic" w:cs="Times New Roman"/>
          <w:bCs/>
          <w:iCs/>
          <w:szCs w:val="24"/>
          <w:lang w:val="sr-Cyrl-RS" w:eastAsia="ja-JP"/>
        </w:rPr>
        <w:lastRenderedPageBreak/>
        <w:t>је предузео низ корака у циљу целовитог спровођења методологије, а то су: јединствена евиденција капиталних пројеката које спроводе ресорна министарства у својству овлашћених предлагача; праћење фазе имплементације активних пројеката, укључујући и пројекте од посебног значаја за Републику Србију; упоредна анализа података прикупљених у складу са методологијом управљања капиталним пројектима са стањем у буџету Републике Србије; садржајније извештавање Републичке комисије за капиталне инвестиције, тако да извештај укључује подробну класификацију пројеката по фази и категорији, као и детаљнију анализу потрошње опредељених јавних средстава за спровођење пројеката.</w:t>
      </w:r>
    </w:p>
    <w:p w14:paraId="14637364"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Сектор за праћење фискалних ризика настоји да унапреди извештавање о предимплементационој фази пројеката како би се укључивање у буџет Републике Србије вршило на основу утврђених приоритета од стране Републичке комисије за капиталне инвестиције. Сходно томе, активности Сектора интензивиране су и усмерене на допринос тзв. „приоритизацији” пројеката тако да они буду укључени у буџет након што су успешно прошли предимплементациону фазу (након оцене финансијског и имплементационог аспекта, као и спроведене „ГАП“ анализе која подразумева мониторинг и прикупљање датотека о студијама оправданости односно економско-финансијску ревизију студије изводљивости). </w:t>
      </w:r>
    </w:p>
    <w:p w14:paraId="33AC549C" w14:textId="7283F4D4" w:rsid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У 2021. години у току је завршна фаза израде информационог система PIMIS (скр. „PIMIS“ од </w:t>
      </w:r>
      <w:r w:rsidRPr="00854598">
        <w:rPr>
          <w:rFonts w:eastAsia="MS PGothic" w:cs="Times New Roman"/>
          <w:bCs/>
          <w:i/>
          <w:iCs/>
          <w:szCs w:val="24"/>
          <w:lang w:val="sr-Cyrl-RS" w:eastAsia="ja-JP"/>
        </w:rPr>
        <w:t>Public Investment Management Information System</w:t>
      </w:r>
      <w:r w:rsidRPr="00854598">
        <w:rPr>
          <w:rFonts w:eastAsia="MS PGothic" w:cs="Times New Roman"/>
          <w:bCs/>
          <w:iCs/>
          <w:szCs w:val="24"/>
          <w:lang w:val="sr-Cyrl-RS" w:eastAsia="ja-JP"/>
        </w:rPr>
        <w:t>) чијим успостављањем и операционализацијом ће се побољшати брзина и ефикасност пословних процеса у области праћења капиталних пројеката (који се тренутно мануално прате); даље, заокружиће се циклус праћења пројеката од пројектне идеје до окончања пројекта; биће омогућен једноставнији приступ и систем одобрења, уз минимизацију грешак</w:t>
      </w:r>
      <w:r>
        <w:rPr>
          <w:rFonts w:eastAsia="MS PGothic" w:cs="Times New Roman"/>
          <w:bCs/>
          <w:iCs/>
          <w:szCs w:val="24"/>
          <w:lang w:val="sr-Cyrl-RS" w:eastAsia="ja-JP"/>
        </w:rPr>
        <w:t>а приликом уноса података итд.</w:t>
      </w:r>
    </w:p>
    <w:p w14:paraId="52A91994" w14:textId="6DFB066F"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Применити начела конкуренције, једнаког третмана, недискриминације и транспарентности у поступцима јавних набавки и државне помоћи у складу са правном тековином ЕУ за све пројекте јавних инвестиција, без обзира на извор финансирања, те обезбедити оперативну независност Комисије за контролу државне помоћи.</w:t>
      </w:r>
    </w:p>
    <w:p w14:paraId="7B965B54" w14:textId="7270CA88"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Нови Закон о јавним набавкама (ЗЈН) усвојен је на седници Народне скупштине Републике Србије 23. децембра 2019. године, а ступио је на снагу 1. јануара 2020. године („Службени гласник РС“ бр. 91/19). Његова примена почела је 1. јула 2020. године. Одредбе новог ЗЈН усклађене су са релевантним директивама Европске уније. ЗЈН садржи начела економичности и ефикасности, обезбеђивања конкуренције и забране дискриминације, транспарентности поступка јавних набавки, једнакости привредних субјеката, као и начело пропорционалности (чл. 5-10 ЗЈН). Истовремено са новим ЗЈН, почео је са радом и нови Портал јавних набавки који у потпуности дигитализује поступак јавних набавки и која се сада спроводи електронским средствима на Порталу што представља значајан искорак у процесу модернизације и дигитализације поступака јавних набавки која за циљ има унапређење економичности и ефикасности система кроз повећање конкуренције у поступцима јавних набавки, већу транспаретност и смањење ризика од неправилности. Такође, сходно одредбама ЗЈН, донет је низ подзаконских аката који се односе на садржај конкурсне документације, коришћење Портала јавних набавки, спровођење мониторинга, објављивање огласа о јавним набавкама итд (сви подзаконски акти могу се наћи на веб адреси: </w:t>
      </w:r>
      <w:hyperlink r:id="rId8" w:history="1">
        <w:r w:rsidRPr="005C1F08">
          <w:rPr>
            <w:rStyle w:val="Hyperlink"/>
            <w:rFonts w:eastAsia="MS PGothic" w:cs="Times New Roman"/>
            <w:bCs/>
            <w:iCs/>
            <w:szCs w:val="24"/>
            <w:lang w:val="sr-Cyrl-RS" w:eastAsia="ja-JP"/>
          </w:rPr>
          <w:t>http://www.ujn.gov.rs/propisi/podzakonski-akti/</w:t>
        </w:r>
      </w:hyperlink>
      <w:r w:rsidRPr="00854598">
        <w:rPr>
          <w:rFonts w:eastAsia="MS PGothic" w:cs="Times New Roman"/>
          <w:bCs/>
          <w:iCs/>
          <w:szCs w:val="24"/>
          <w:lang w:val="sr-Cyrl-RS" w:eastAsia="ja-JP"/>
        </w:rPr>
        <w:t>).</w:t>
      </w:r>
    </w:p>
    <w:p w14:paraId="2B6DBE33" w14:textId="1D4FB0C5"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Нови Закон о контроли државне помоћи („Службени гласник РС“, бр. 73/19) који је донет крајем 2019. године, а ступио на снагу 1. јануара 2020. године, је у потпуности усклађен са одредбама члана 107. и 108. Уговора о функционисању Европске уније. На </w:t>
      </w:r>
      <w:r w:rsidRPr="00854598">
        <w:rPr>
          <w:rFonts w:eastAsia="MS PGothic" w:cs="Times New Roman"/>
          <w:bCs/>
          <w:iCs/>
          <w:szCs w:val="24"/>
          <w:lang w:val="sr-Cyrl-RS" w:eastAsia="ja-JP"/>
        </w:rPr>
        <w:lastRenderedPageBreak/>
        <w:t xml:space="preserve">основу овог закона, Влада РС је донела више уредби које ближе уређују услове и критеријуме усклађености: хоризонталне и регионалне државне помоћи, државне помоћи за санацију и реструктурирање учесника на тржишту у тешкоћама, државне помоћи за културу, државне помоћи за заштиту животне средине и у сектору енергетике, државне помоћи у области услуга од општег економског интереса и помоћи мале </w:t>
      </w:r>
      <w:r>
        <w:rPr>
          <w:rFonts w:eastAsia="MS PGothic" w:cs="Times New Roman"/>
          <w:bCs/>
          <w:iCs/>
          <w:szCs w:val="24"/>
          <w:lang w:val="sr-Cyrl-RS" w:eastAsia="ja-JP"/>
        </w:rPr>
        <w:t xml:space="preserve">вредности (de minimis помоћи). </w:t>
      </w:r>
      <w:r w:rsidRPr="00854598">
        <w:rPr>
          <w:rFonts w:eastAsia="MS PGothic" w:cs="Times New Roman"/>
          <w:bCs/>
          <w:iCs/>
          <w:szCs w:val="24"/>
          <w:lang w:val="sr-Cyrl-RS" w:eastAsia="ja-JP"/>
        </w:rPr>
        <w:t xml:space="preserve">Поред тога, Комисија је донела и више правилника који ближе уређују имплементацију овог законодавства. </w:t>
      </w:r>
    </w:p>
    <w:p w14:paraId="5C1E426A" w14:textId="6CEC2C95" w:rsidR="00854598" w:rsidRPr="00052B37"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Услед избијања </w:t>
      </w:r>
      <w:r w:rsidR="00345C4A" w:rsidRPr="00052B37">
        <w:rPr>
          <w:rFonts w:eastAsia="MS PGothic" w:cs="Times New Roman"/>
          <w:bCs/>
          <w:iCs/>
          <w:szCs w:val="24"/>
          <w:lang w:val="sr-Cyrl-RS" w:eastAsia="ja-JP"/>
        </w:rPr>
        <w:t>Ковид-19</w:t>
      </w:r>
      <w:r w:rsidRPr="00052B37">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пандемије, у склопу мера за опоравак, Влада РС је донела  уредбе усклађене са Законом о контроли државне помоћи, чланом 107 став 3. УФЕА и Привременим оквиром ЕУ за подршку привреди током пандемије, које уређују услове и критеријуме усклађености: државне помоћи за истраживање и развој производа и инфраструктуре неопходне за борбу против заразне </w:t>
      </w:r>
      <w:r w:rsidRPr="00052B37">
        <w:rPr>
          <w:rFonts w:eastAsia="MS PGothic" w:cs="Times New Roman"/>
          <w:bCs/>
          <w:iCs/>
          <w:szCs w:val="24"/>
          <w:lang w:val="sr-Cyrl-RS" w:eastAsia="ja-JP"/>
        </w:rPr>
        <w:t xml:space="preserve">болести </w:t>
      </w:r>
      <w:r w:rsidR="00345C4A" w:rsidRPr="00052B37">
        <w:rPr>
          <w:rFonts w:eastAsia="MS PGothic" w:cs="Times New Roman"/>
          <w:bCs/>
          <w:iCs/>
          <w:szCs w:val="24"/>
          <w:lang w:val="sr-Cyrl-RS" w:eastAsia="ja-JP"/>
        </w:rPr>
        <w:t>Ковид-19</w:t>
      </w:r>
      <w:r w:rsidRPr="00854598">
        <w:rPr>
          <w:rFonts w:eastAsia="MS PGothic" w:cs="Times New Roman"/>
          <w:bCs/>
          <w:iCs/>
          <w:szCs w:val="24"/>
          <w:lang w:val="sr-Cyrl-RS" w:eastAsia="ja-JP"/>
        </w:rPr>
        <w:t xml:space="preserve">, државне помоћи кроз докапитализацију учесника на тржишту, државне помоћи ради отклањања штетних последица и озбиљног поремећаја у привреди проузрокованих епидемијом заразне болести </w:t>
      </w:r>
      <w:r w:rsidR="00345C4A" w:rsidRPr="00052B37">
        <w:rPr>
          <w:rFonts w:eastAsia="MS PGothic" w:cs="Times New Roman"/>
          <w:bCs/>
          <w:iCs/>
          <w:szCs w:val="24"/>
          <w:lang w:val="sr-Cyrl-RS" w:eastAsia="ja-JP"/>
        </w:rPr>
        <w:t>Ковид-19</w:t>
      </w:r>
      <w:r w:rsidRPr="00052B37">
        <w:rPr>
          <w:rFonts w:eastAsia="MS PGothic" w:cs="Times New Roman"/>
          <w:bCs/>
          <w:iCs/>
          <w:szCs w:val="24"/>
          <w:lang w:val="sr-Cyrl-RS" w:eastAsia="ja-JP"/>
        </w:rPr>
        <w:t xml:space="preserve">. </w:t>
      </w:r>
    </w:p>
    <w:p w14:paraId="44DFA632" w14:textId="0FE6C842" w:rsid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Институционални оквир је успостављен. Комисија за контролу државне помоћи (ККДП) је независна институција у својству правног лица, која је за свој рад одговорна Скупштини Републике Србије. ККДП је одговорна за спровођење законодавног оквира у области контроле државне помоћи. Председника Комисије и чланове Савета бира Народна Скупштина по спроведеном јавном конкурсу. Чланови Савета нису чланови политичких партија или организација нити друга изабрана и именована лица, чиме се обезбеђује независност и непристрасност одлука Савета, од политичких утицаја. Мандат предсеника Комисије и чланова Савета може престати само из законом утврђених разлога. Капацитети ККДП су ојачани али и даље недовољни. Тренутно, у ККДП је запослено 17 државних службеника (не укључујући чланове Савета). ККДП се 1. августа 2021. године преселила на нову адресу чиме је повећала пословни простор и техничке капацитете.  Такође, Комисија је оперативно независна имајући у виду да самостално спроводи поступак за попуњавање радних места и самостално одлучује о пријему запослених. Средства за рад Комисије обезбеђена су у буџету Републике Србије на посебном разделу, којима Комисија самостално располаже. Одлуке Комисије су коначне у управном поступку, односно не постоји другостепени орган у управном поступку који може да преиспита одлуке које Комисија доноси.</w:t>
      </w:r>
    </w:p>
    <w:p w14:paraId="3FCE5972" w14:textId="77325655"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5. Развити дугорочну енергетску и климатску стратегију у складу са Зеленом агендом за Западни Балкан и међународним обавезама и појачати улагања у модернизацију енергетске инфраструктуре и смањење емисије угљеника. Спровести регулаторне,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(ОИЕ) и успостављање одрживог механизма финансирања за енергетску ефикасност.</w:t>
      </w:r>
    </w:p>
    <w:p w14:paraId="6887515A"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Република Србија је у марту 2021. године усвојила Закон о климатским променама у циљу успостављања система за ограничење емисија гасова са ефектом стаклене баште и испуњавања међународних обавеза. Законом о климатским променама предвиђено је усвајање Стратегије нискоугљеничног развоја у року од две године од дана ступања на снагу овог закона. </w:t>
      </w:r>
    </w:p>
    <w:p w14:paraId="2A48E747"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Министарство рударства и енергетике је у процесу израде Интегрисаног националног енергетског и климатског плана Републике Србије за период од 2021. до 2030. године са пројекцијама до 2050. године. За потребе израде документа, Министарство рударства и енергетике је формирало Радне групе у чијем саставу су и представници Министарства заштите животне средине и других релевантних институција и министарстава као </w:t>
      </w:r>
      <w:r w:rsidRPr="00854598">
        <w:rPr>
          <w:rFonts w:eastAsia="MS PGothic" w:cs="Times New Roman"/>
          <w:bCs/>
          <w:iCs/>
          <w:szCs w:val="24"/>
          <w:lang w:val="sr-Cyrl-RS" w:eastAsia="ja-JP"/>
        </w:rPr>
        <w:lastRenderedPageBreak/>
        <w:t>енергетски субјекти. Овим документом дефинисаће се циљеви у области обновљивих извора енергије, енергетске ефикасности и смањења емисија ГХГ за 2030. годину као и политике и мере за пет димензија енергетске уније. Израда документа се реализује кроз пројекат ИПА 2017 Даље јачање капацитета енергетског планирања.</w:t>
      </w:r>
    </w:p>
    <w:p w14:paraId="49DD52C1"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Министарство рударства и енергетике је такође у процесу израде нове Стратегије развоја енергетике Републике Србије до 2040. године са пројекцијама до 2050. године. Паралелно са процесом израде Интегрисаног националног енергетског и климатског плана Републике Србије за период од 2021. до 2030. године са пројекцијама до 2050. године и Стратегије развоја енергетике Републике Србије до 2040. године са пројекцијама до 2050. године, Министарство припрема и Акциони план за праведну транзицију.</w:t>
      </w:r>
    </w:p>
    <w:p w14:paraId="4ABC8649" w14:textId="00210C46"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У циљу унапређења регулаторног оквира, Република Србија је у априлу 2021. године донела четири закона: Закон о коришћењу обновљивих извора енергије („Службени гласник РС“ број 40/21) (ЗОИЕ), Закон о енергетској ефикасности и рационалној употреби енергије („Службени гласник РС“ број 40/21) (ЗЕЕРУЕ), Закон о изменама и допунама Закона о енергетици („Службени гласник РС“ број 40/21) и Закон о изменама и допунама Закона о рударству и геолошким истраживањима („Службени гласник РС“ број 40/21). Кроз ЗЕЕРУЕ у области енергетске ефикасности извршено је усклађивање са важећом ЕУ регулативом из области енергетске ефикасности изузев са директивом о енергетским својствима зграда, чија је материја уређена прописима из области грађевине. Пуно усклађивање биће извршено кроз доношење подзаконских аката. Законом је предвиђено и успостављање одрживог механизма финансирања у форми Управе за финансирање и подстицање енергетске ефикасности. Управа ће бити основана као правно лице у оквиру Министарства рударства и енергетике. У августу је именована директорка управе, а у финалној фази је и измена систематизације Министарства у оквиру које ће бити укључена и систематизација Управе. Управа ће имати 12 запослених. Почетак рада Управе се очекује почетком 2022. године. За рад Управе у наредној години обезбеђен је буџет од око 2 милијарде динара. Осим тога, Министарство је, у сарадњи са јединицама локалне самоуправе током 2021. године покренуло пилот активности за доделу субвенција грађанима за унапређење енергетске ефикасности стамбених објеката као и за уградњу соларних панела за производњу електричне енергије. Осим тога у току је интензив</w:t>
      </w:r>
      <w:r w:rsidR="004C3A32">
        <w:rPr>
          <w:rFonts w:eastAsia="MS PGothic" w:cs="Times New Roman"/>
          <w:bCs/>
          <w:iCs/>
          <w:szCs w:val="24"/>
          <w:lang w:val="sr-Cyrl-RS" w:eastAsia="ja-JP"/>
        </w:rPr>
        <w:t>на</w:t>
      </w:r>
      <w:r w:rsidRPr="00854598">
        <w:rPr>
          <w:rFonts w:eastAsia="MS PGothic" w:cs="Times New Roman"/>
          <w:bCs/>
          <w:iCs/>
          <w:szCs w:val="24"/>
          <w:lang w:val="sr-Cyrl-RS" w:eastAsia="ja-JP"/>
        </w:rPr>
        <w:t xml:space="preserve"> комуникација са међународним финансијским институцијама у циљу обезбеђења средстава за подстицање енергетске ефикасности у стамбеном сектору. У том смислу у Буџету РС за 2022. годину предвиђен  је зај</w:t>
      </w:r>
      <w:r w:rsidR="004C3A32">
        <w:rPr>
          <w:rFonts w:eastAsia="MS PGothic" w:cs="Times New Roman"/>
          <w:bCs/>
          <w:iCs/>
          <w:szCs w:val="24"/>
          <w:lang w:val="sr-Cyrl-RS" w:eastAsia="ja-JP"/>
        </w:rPr>
        <w:t>а</w:t>
      </w:r>
      <w:r w:rsidRPr="00854598">
        <w:rPr>
          <w:rFonts w:eastAsia="MS PGothic" w:cs="Times New Roman"/>
          <w:bCs/>
          <w:iCs/>
          <w:szCs w:val="24"/>
          <w:lang w:val="sr-Cyrl-RS" w:eastAsia="ja-JP"/>
        </w:rPr>
        <w:t xml:space="preserve">м од Светске банке у висини од 50 милиона долара и зајам од 20 милиона евра од ЕБРД-а. </w:t>
      </w:r>
    </w:p>
    <w:p w14:paraId="53B95B8E"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Доношењем Закона о коришћењу ОИЕ Република Србија се усагласила са директивом ЕУ РЕД II (Директива ЕУ 2018/2001), која је у ЕУ ступила на снагу 1.7.2021. године. </w:t>
      </w:r>
    </w:p>
    <w:p w14:paraId="03A47A4E"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Основни циљ доношења новог Закона је повећање коришћења ОИЕ. Закон је усмерен на то да се омогуће нове инвестиције, смањи утицај енергетског сектора на животну средину и доприносе одрживом коришћењу природних и других ресурса. Законом се обезбеђују инвестиције у велике обновљиве изворе, али и директно укључивање грађања и привреде у енергетску транзицију кроз постављање соларних панела на кровове приватних породичних кућа и стамбених зграда, као и кровове пословних и јавних објеката. </w:t>
      </w:r>
    </w:p>
    <w:p w14:paraId="57F4B2F7"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У току је израда текстова подзаконских прописа неопходних за ефикасно извршавање Закона о коришћењу обновљивих извора енергије. До сада је донета Уредба o критеријумима, условима и начину обрачуна потраживања и обавеза између купца – произвођача и снабдевача („Службени гласник РСˮ, број 83/21 од 27. августа 2021. </w:t>
      </w:r>
      <w:r w:rsidRPr="00854598">
        <w:rPr>
          <w:rFonts w:eastAsia="MS PGothic" w:cs="Times New Roman"/>
          <w:bCs/>
          <w:iCs/>
          <w:szCs w:val="24"/>
          <w:lang w:val="sr-Cyrl-RS" w:eastAsia="ja-JP"/>
        </w:rPr>
        <w:lastRenderedPageBreak/>
        <w:t>године). Доношење подзаконских аката за спровођење првих аукција за додељивања права на подстицаје за производњу електричне енергије из ОИЕ планирано је до краја новембра. У припреми су прве аукције за додељивања права на тржишну премију за производњу електричне енергије. Рок за доношење свих подзаконских аката је крај 2021. године, почетак 2022. године.</w:t>
      </w:r>
    </w:p>
    <w:p w14:paraId="66EE2557"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Министарство рударства и енергетике је започело израду нове Стратегије развоја енергетике РС до 2040. године са пројекцијама до 2050. и новог Програма остваривања Стратегије.</w:t>
      </w:r>
    </w:p>
    <w:p w14:paraId="591B60F5"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Успостављена је Радна група састављена од представника релевантних министарстава, институција, енергетских компанија, невладиних организација, ЕБРД. Процес израде нове Стратегије развоја енергетике је у току.</w:t>
      </w:r>
    </w:p>
    <w:p w14:paraId="72991CC8" w14:textId="0A63757E" w:rsid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Савет Агенције за енергетику је у складу са својим законским обавезама, крајем октобра усвојио Методологије за одређивање максималне откупне цене електричне енергије и Методoлогије за одређивање максималне фид-ин тарифе за електричну енергију. Такође, на наредним седницама, Савет Агенције за енергетику је усвојио и Методологије за одређивање тржишне премије као и Методологије за одређивање фид-ин тарифа за електричну енергију произведену у микро и малим когенерацијама, у складу са Законом о енергетској ефикасности и рационалној употреби енергије.</w:t>
      </w:r>
    </w:p>
    <w:p w14:paraId="245C47CE" w14:textId="59DFF78E"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У циљу даље либерализације енергетског тржишта, потребно је размотрити неопходне реформе, посебно енергетског предузећа ЕПС-а, укључујући реформу цена и царина, те убрзати раздвајање Србијагаса на начин који је у складу са правном тековином ЕУ и обезбедити трећим странама приступ гасној инфраструктури.</w:t>
      </w:r>
    </w:p>
    <w:p w14:paraId="52095260"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01.02.2021. године извршена корекција тарифа за приступ преносном  (10%) и дистрибутивном систему електричне енергије (5,5%), као и корекција цена за гарантовано снабдевање (3,4%).</w:t>
      </w:r>
    </w:p>
    <w:p w14:paraId="4AA9FE79" w14:textId="32F41F1B" w:rsidR="00A0299F" w:rsidRPr="00A0299F" w:rsidRDefault="00A0299F" w:rsidP="00A0299F">
      <w:pPr>
        <w:spacing w:after="60"/>
        <w:rPr>
          <w:rFonts w:eastAsia="MS PGothic" w:cs="Times New Roman"/>
          <w:bCs/>
          <w:iCs/>
          <w:szCs w:val="24"/>
          <w:lang w:val="sr-Cyrl-RS" w:eastAsia="ja-JP"/>
        </w:rPr>
      </w:pPr>
      <w:r w:rsidRPr="003B0169">
        <w:rPr>
          <w:rFonts w:eastAsia="MS PGothic" w:cs="Times New Roman"/>
          <w:bCs/>
          <w:iCs/>
          <w:szCs w:val="24"/>
          <w:lang w:val="sr-Cyrl-RS" w:eastAsia="ja-JP"/>
        </w:rPr>
        <w:t>Одобрена је нова цен</w:t>
      </w:r>
      <w:r w:rsidR="004C3A32" w:rsidRPr="003B0169">
        <w:rPr>
          <w:rFonts w:eastAsia="MS PGothic" w:cs="Times New Roman"/>
          <w:bCs/>
          <w:iCs/>
          <w:szCs w:val="24"/>
          <w:lang w:val="sr-Cyrl-RS" w:eastAsia="ja-JP"/>
        </w:rPr>
        <w:t>а</w:t>
      </w:r>
      <w:r w:rsidRPr="003B0169">
        <w:rPr>
          <w:rFonts w:eastAsia="MS PGothic" w:cs="Times New Roman"/>
          <w:bCs/>
          <w:iCs/>
          <w:szCs w:val="24"/>
          <w:lang w:val="sr-Cyrl-RS" w:eastAsia="ja-JP"/>
        </w:rPr>
        <w:t xml:space="preserve"> за приступ преносном систему. </w:t>
      </w:r>
      <w:r w:rsidRPr="00A0299F">
        <w:rPr>
          <w:rFonts w:eastAsia="MS PGothic" w:cs="Times New Roman"/>
          <w:bCs/>
          <w:iCs/>
          <w:szCs w:val="24"/>
          <w:lang w:val="sr-Cyrl-RS" w:eastAsia="ja-JP"/>
        </w:rPr>
        <w:t>Укупни раст одобрене цене за приступ преносном систему у односу на одобрену цену од 1.2.2021. године износи 12% и примењује се од 1.10.2021. године.</w:t>
      </w:r>
    </w:p>
    <w:p w14:paraId="2F906D96" w14:textId="3F5CB2DD" w:rsidR="00A0299F" w:rsidRPr="00A0299F" w:rsidRDefault="00A0299F" w:rsidP="00A0299F">
      <w:pPr>
        <w:spacing w:after="60"/>
        <w:rPr>
          <w:rFonts w:eastAsia="MS PGothic" w:cs="Times New Roman"/>
          <w:bCs/>
          <w:iCs/>
          <w:szCs w:val="24"/>
          <w:lang w:val="sr-Cyrl-RS" w:eastAsia="ja-JP"/>
        </w:rPr>
      </w:pPr>
      <w:r w:rsidRPr="003B0169">
        <w:rPr>
          <w:rFonts w:eastAsia="MS PGothic" w:cs="Times New Roman"/>
          <w:bCs/>
          <w:iCs/>
          <w:szCs w:val="24"/>
          <w:lang w:val="sr-Cyrl-RS" w:eastAsia="ja-JP"/>
        </w:rPr>
        <w:t>Одобрена је нова цен</w:t>
      </w:r>
      <w:r w:rsidR="004C3A32" w:rsidRPr="003B0169">
        <w:rPr>
          <w:rFonts w:eastAsia="MS PGothic" w:cs="Times New Roman"/>
          <w:bCs/>
          <w:iCs/>
          <w:szCs w:val="24"/>
          <w:lang w:val="sr-Cyrl-RS" w:eastAsia="ja-JP"/>
        </w:rPr>
        <w:t>а</w:t>
      </w:r>
      <w:r w:rsidRPr="003B0169">
        <w:rPr>
          <w:rFonts w:eastAsia="MS PGothic" w:cs="Times New Roman"/>
          <w:bCs/>
          <w:iCs/>
          <w:szCs w:val="24"/>
          <w:lang w:val="sr-Cyrl-RS" w:eastAsia="ja-JP"/>
        </w:rPr>
        <w:t xml:space="preserve"> за приступ  дистрибутивном систему.</w:t>
      </w:r>
      <w:r w:rsidRPr="00A0299F">
        <w:rPr>
          <w:rFonts w:eastAsia="MS PGothic" w:cs="Times New Roman"/>
          <w:bCs/>
          <w:iCs/>
          <w:szCs w:val="24"/>
          <w:lang w:val="sr-Cyrl-RS" w:eastAsia="ja-JP"/>
        </w:rPr>
        <w:t xml:space="preserve"> Укупни раст одобрене цене за приступ дистрибутивном систему у односу на одобрену цену од 1.2.2021. године износи 10% и примењује се од 1.10.2021. године. </w:t>
      </w:r>
    </w:p>
    <w:p w14:paraId="7F1DC061" w14:textId="475117BE"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Влада </w:t>
      </w:r>
      <w:r>
        <w:rPr>
          <w:rFonts w:eastAsia="MS PGothic" w:cs="Times New Roman"/>
          <w:bCs/>
          <w:iCs/>
          <w:szCs w:val="24"/>
          <w:lang w:val="sr-Cyrl-RS" w:eastAsia="ja-JP"/>
        </w:rPr>
        <w:t>РС</w:t>
      </w:r>
      <w:r w:rsidRPr="00A0299F">
        <w:rPr>
          <w:rFonts w:eastAsia="MS PGothic" w:cs="Times New Roman"/>
          <w:bCs/>
          <w:iCs/>
          <w:szCs w:val="24"/>
          <w:lang w:val="sr-Cyrl-RS" w:eastAsia="ja-JP"/>
        </w:rPr>
        <w:t xml:space="preserve"> је донела Уредбу о висини посебне накнаде за подстицај повлашћених произвођача електричне енергије у 2021. години, којом је утврђена висина ове накнаде у износу од 0,4375 дин/kWh. </w:t>
      </w:r>
    </w:p>
    <w:p w14:paraId="336A3A9B"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У складу са међународним обавезама Републике Србије које су преузете приступањем Уговору о оснивању Енергетске заједнице  и одредбама Закона о енергетици из 2014. године који садржи транспоноване одредбе Трећег енергетског пакета, Влада Републике Србије је 17. децембра 2020. године донела Закључак којим су прихваћени Извештај о потреби спровођења активности у циљу усклађивања пословања оператора дистрибутивног система електричне енергије са одредбама Закона о јавним предузећима и Законом о енергетици, као и План за спровођење активности у циљу реорганизације оператора дистрибутивног система електричне енергије, који је у том тренутку представљао зависно привредно друштво ЈП ЕПС Београд, као вертикално интегрисаног предузећа које обавља енергетске делатности у вези са производњом и снабдевањем енергијом. </w:t>
      </w:r>
    </w:p>
    <w:p w14:paraId="0D571F6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основу Плана реорганизације, предузете су следеће активности: ЈП ЕПС је пренео одређену имовину и повећао капитал ОДС –у, након чега је 100% власничких удела у ОДС –у пренео на Владу Републике Србије, све у току децембра 2020. године. </w:t>
      </w:r>
    </w:p>
    <w:p w14:paraId="625C9D1D"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lastRenderedPageBreak/>
        <w:t xml:space="preserve">У јануару 2021. године, Влада Републике Србије је у својству оснивача и власника ОДС–а донела Одлуку о изменама о допунама Одлуке о оснивању ОДС–а, којом је  између осталог, извршена промена пословног имена у Електродистрибуција Србије д.о.о. Београд. </w:t>
      </w:r>
    </w:p>
    <w:p w14:paraId="1604548E" w14:textId="299F9F6D"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Истовремено, Влада </w:t>
      </w:r>
      <w:r w:rsidR="003B758F">
        <w:rPr>
          <w:rFonts w:eastAsia="MS PGothic" w:cs="Times New Roman"/>
          <w:bCs/>
          <w:iCs/>
          <w:szCs w:val="24"/>
          <w:lang w:val="sr-Cyrl-RS" w:eastAsia="ja-JP"/>
        </w:rPr>
        <w:t>РС</w:t>
      </w:r>
      <w:r w:rsidRPr="00A0299F">
        <w:rPr>
          <w:rFonts w:eastAsia="MS PGothic" w:cs="Times New Roman"/>
          <w:bCs/>
          <w:iCs/>
          <w:szCs w:val="24"/>
          <w:lang w:val="sr-Cyrl-RS" w:eastAsia="ja-JP"/>
        </w:rPr>
        <w:t xml:space="preserve"> је именовала представнике у Скупштини Електродистрибуције Србије д.о.о. Београд, у својству овлашћених представника оснивача. </w:t>
      </w:r>
    </w:p>
    <w:p w14:paraId="3F2C7818" w14:textId="09975BBC"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На основу наведеног, у складу са Законом о енергетици, Агенција за енергетику Републике Србије је у априлу 2021. године донела решење којим се Електродистрибуциј</w:t>
      </w:r>
      <w:r w:rsidR="004C3A32">
        <w:rPr>
          <w:rFonts w:eastAsia="MS PGothic" w:cs="Times New Roman"/>
          <w:bCs/>
          <w:iCs/>
          <w:szCs w:val="24"/>
          <w:lang w:val="sr-Cyrl-RS" w:eastAsia="ja-JP"/>
        </w:rPr>
        <w:t>и</w:t>
      </w:r>
      <w:r w:rsidRPr="00A0299F">
        <w:rPr>
          <w:rFonts w:eastAsia="MS PGothic" w:cs="Times New Roman"/>
          <w:bCs/>
          <w:iCs/>
          <w:szCs w:val="24"/>
          <w:lang w:val="sr-Cyrl-RS" w:eastAsia="ja-JP"/>
        </w:rPr>
        <w:t xml:space="preserve"> Србије д.о.о. Београд издаје лиценца да као оператор дистрибутивног система електричне енергије обавља енергетску делатност дистрибуције и управљања дистрибутивним системом електричне енергије. </w:t>
      </w:r>
    </w:p>
    <w:p w14:paraId="28080683"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Такође, у складу са Законом о енергетици, крајем септембра 2021. године Електродистрибуција Србије д.о.о. Београд, доставила је Агенцији за енергетику на сагласност нови Програм за обезбеђивање недискриминаторског понашања, а крајем октобра 2021. године и предлог новог Лица за праћење тог програма. Поступци пред Агенцијом за енергетику, за добијање наведених сагласности су у току.</w:t>
      </w:r>
    </w:p>
    <w:p w14:paraId="56EEA89B" w14:textId="2B295E14"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Агенција за енергетику је у октобру 2021. године, поступајући сагласно Законом утврђеним надлежностима донела и Образложено ми</w:t>
      </w:r>
      <w:r w:rsidR="003B758F">
        <w:rPr>
          <w:rFonts w:eastAsia="MS PGothic" w:cs="Times New Roman"/>
          <w:bCs/>
          <w:iCs/>
          <w:szCs w:val="24"/>
          <w:lang w:val="sr-Cyrl-RS" w:eastAsia="ja-JP"/>
        </w:rPr>
        <w:t xml:space="preserve">шљење на Извештај о спровођењу </w:t>
      </w:r>
      <w:r w:rsidRPr="00A0299F">
        <w:rPr>
          <w:rFonts w:eastAsia="MS PGothic" w:cs="Times New Roman"/>
          <w:bCs/>
          <w:iCs/>
          <w:szCs w:val="24"/>
          <w:lang w:val="sr-Cyrl-RS" w:eastAsia="ja-JP"/>
        </w:rPr>
        <w:t>Програма за 2020. годину које је донело Лице надлежно за праћење тог Програма (ради се о Програму за обезбеђивање недискриминаторног понашања и Лицу за његово праћење на које је Агенција дала сагласност 2016. године, пре на</w:t>
      </w:r>
      <w:r w:rsidR="003B758F">
        <w:rPr>
          <w:rFonts w:eastAsia="MS PGothic" w:cs="Times New Roman"/>
          <w:bCs/>
          <w:iCs/>
          <w:szCs w:val="24"/>
          <w:lang w:val="sr-Cyrl-RS" w:eastAsia="ja-JP"/>
        </w:rPr>
        <w:t>ведених измена аката о оснивању</w:t>
      </w:r>
      <w:r w:rsidRPr="00A0299F">
        <w:rPr>
          <w:rFonts w:eastAsia="MS PGothic" w:cs="Times New Roman"/>
          <w:bCs/>
          <w:iCs/>
          <w:szCs w:val="24"/>
          <w:lang w:val="sr-Cyrl-RS" w:eastAsia="ja-JP"/>
        </w:rPr>
        <w:t xml:space="preserve"> ОДС-а.)</w:t>
      </w:r>
    </w:p>
    <w:p w14:paraId="1CC7140F"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наведени начин, у потпуности је испуњена законска обавеза правног и функционалног раздвајања оператора дистрибутивног система електричне енергије, овде Електродистрибуције Србије д.о.о. Београд, од вертикално – интегрисаног предузећа, овде ЈП ЕПС Београд“.  </w:t>
      </w:r>
    </w:p>
    <w:p w14:paraId="1C593D72" w14:textId="26D6DC63"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Влада</w:t>
      </w:r>
      <w:r w:rsidR="003B758F">
        <w:rPr>
          <w:rFonts w:eastAsia="MS PGothic" w:cs="Times New Roman"/>
          <w:bCs/>
          <w:iCs/>
          <w:szCs w:val="24"/>
          <w:lang w:val="sr-Cyrl-RS" w:eastAsia="ja-JP"/>
        </w:rPr>
        <w:t xml:space="preserve"> РС</w:t>
      </w:r>
      <w:r w:rsidRPr="00A0299F">
        <w:rPr>
          <w:rFonts w:eastAsia="MS PGothic" w:cs="Times New Roman"/>
          <w:bCs/>
          <w:iCs/>
          <w:szCs w:val="24"/>
          <w:lang w:val="sr-Cyrl-RS" w:eastAsia="ja-JP"/>
        </w:rPr>
        <w:t xml:space="preserve"> је 16. маја 2021. године Закључком усвојила Акциони план за спровођење активности у циљу реорганизације ЈП „Србијагас” Нови Сад. Након сагледавања питања имовине и могућих ризика везаних за решавања питања имовине и односа према повериоцима, предложен је модел раздвајања оператора транспортног система који у првој фази обухвата одвајање по ИСО (Independent System Operator) моделу у складу са чланом 227. Закона о енергетици, а након тога у каснијој фази власничко раздвајање у складу са чланом 224. Закона о енергетици. С тим у вези, неопходно је да ЈП „Србијагас” Нови Сад и привредно друштво „Транспортгас Србија” д.о.о. Нови Сад реализују припремљени План активности. </w:t>
      </w:r>
    </w:p>
    <w:p w14:paraId="26970885"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Дана 28. маја 2021. године закључен је Уговор о преносу удела између ЈП „Србијагас” и Владе Републике Србије у оператору транспортног система Транспортгас Србија” доо, а у јулу 2021. године измењен је оснивачки акт ЈП Србијагас.</w:t>
      </w:r>
    </w:p>
    <w:p w14:paraId="0B2EA272"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Одлука о изменама Одлуке о усклађивању пословања Јавног предузећа „Србијагас”, Нови Сад са Законом о јавним предузећима објављена је у "Службеном гласнику РС", бр. 75/2021 од 27.7.2021. године.</w:t>
      </w:r>
    </w:p>
    <w:p w14:paraId="171AB7DF" w14:textId="52DD2DAD"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седници Владе од 14.10.2021. године донета је одлука о изменама и допунама Одлуке о оснивању доо Транспортгас Србија. Одлука је објављена у </w:t>
      </w:r>
      <w:r w:rsidR="003B758F">
        <w:rPr>
          <w:rFonts w:eastAsia="MS PGothic" w:cs="Times New Roman"/>
          <w:bCs/>
          <w:iCs/>
          <w:szCs w:val="24"/>
          <w:lang w:val="sr-Cyrl-RS" w:eastAsia="ja-JP"/>
        </w:rPr>
        <w:t>„</w:t>
      </w:r>
      <w:r w:rsidRPr="00A0299F">
        <w:rPr>
          <w:rFonts w:eastAsia="MS PGothic" w:cs="Times New Roman"/>
          <w:bCs/>
          <w:iCs/>
          <w:szCs w:val="24"/>
          <w:lang w:val="sr-Cyrl-RS" w:eastAsia="ja-JP"/>
        </w:rPr>
        <w:t>Службеном гласнику РС</w:t>
      </w:r>
      <w:r w:rsidR="003B758F">
        <w:rPr>
          <w:rFonts w:eastAsia="MS PGothic" w:cs="Times New Roman"/>
          <w:bCs/>
          <w:iCs/>
          <w:szCs w:val="24"/>
          <w:lang w:val="sr-Cyrl-RS" w:eastAsia="ja-JP"/>
        </w:rPr>
        <w:t>“</w:t>
      </w:r>
      <w:r w:rsidRPr="00A0299F">
        <w:rPr>
          <w:rFonts w:eastAsia="MS PGothic" w:cs="Times New Roman"/>
          <w:bCs/>
          <w:iCs/>
          <w:szCs w:val="24"/>
          <w:lang w:val="sr-Cyrl-RS" w:eastAsia="ja-JP"/>
        </w:rPr>
        <w:t>, бр. 97/2021 од 15.10.2021. године.</w:t>
      </w:r>
    </w:p>
    <w:p w14:paraId="770CB249"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Одлуком 05 Бој : 111-10113/2021 од 3. новембра 2021. године  Влада је одлучила да се спроведе јавни конкурс за избор директора ЈП Србијагас и утврдила текст Огласа о јавном конкурсу. Очекује се објављивање јавног конкурса. </w:t>
      </w:r>
    </w:p>
    <w:p w14:paraId="3D209747" w14:textId="2D68190E"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lastRenderedPageBreak/>
        <w:t>Решењем Број: 119-973082021 од 27. октобра 2021. године именовани су чланови надзорног одбора ЈП Србијагас</w:t>
      </w:r>
      <w:r w:rsidR="003B758F">
        <w:rPr>
          <w:rFonts w:eastAsia="MS PGothic" w:cs="Times New Roman"/>
          <w:bCs/>
          <w:iCs/>
          <w:szCs w:val="24"/>
          <w:lang w:val="sr-Cyrl-RS" w:eastAsia="ja-JP"/>
        </w:rPr>
        <w:t>.</w:t>
      </w:r>
    </w:p>
    <w:p w14:paraId="265842E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Закључком 24 Број:119-9731/2021 од 27. октобра 2021. године одређени су представници Републике Србије у Скупштини Транспортгас Србија доо.</w:t>
      </w:r>
    </w:p>
    <w:p w14:paraId="230B760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Одлуком Надзорног одбора ЈП Србијагас Бр:01-04-27/154-1 од 12. октобра 2021. године образован је огранак ЈП Србијагас под називом ЈП „Србијагас“ Нови Сад  огранак Снабдевање. Извршена је  регистрацију огранка  у АПР.</w:t>
      </w:r>
    </w:p>
    <w:p w14:paraId="09BBC9C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У новембру 2021. године „Транспортгас Србија” д.о.о. је поднео Агенцији за енергетику захтев за сертификацију по ИСО моделу. Поступак за издавање сертификата је у току.</w:t>
      </w:r>
    </w:p>
    <w:p w14:paraId="0438ABF7"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У наредном периоду наставиће се са реализацијом активности у складу са Закључком Владе којим је усвојен Акциони план за спровођење активности у циљу реорганизације ЈП „Србијагас” Нови Сад.</w:t>
      </w:r>
    </w:p>
    <w:p w14:paraId="5C410B15" w14:textId="0D29DFF3" w:rsidR="00854598"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Овим планом предвиђено је да је рок за отварање тржишта кроз приступну тачку Хоргош 1. октобар 2022. године.</w:t>
      </w:r>
    </w:p>
    <w:p w14:paraId="166DE70B" w14:textId="2F3EA047" w:rsidR="00854598"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6. Смањити сиромаштво повећањем адекватности давања из шема новчане социјалне помоћи з</w:t>
      </w:r>
      <w:r>
        <w:rPr>
          <w:rFonts w:eastAsia="MS PGothic" w:cs="Times New Roman"/>
          <w:bCs/>
          <w:i/>
          <w:iCs/>
          <w:szCs w:val="24"/>
          <w:lang w:val="sr-Cyrl-RS" w:eastAsia="ja-JP"/>
        </w:rPr>
        <w:t>а појединце и породице са децом,</w:t>
      </w:r>
    </w:p>
    <w:p w14:paraId="460969E6"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Врло је важно приликом сагледавања система социјалне заштите у Републици Србији имати у виду чињеницу да је право на новчану социјалну помоћ улазница за остваривање неких других права која су у надлежности локалних самоуправа те да не представља једини приход за живот иако је реално веома ниског износа. Додатна права се разликују од једне до друге локалне самоуправе али већина ЈЛС за ове кориснике обезбеђује нпр. бенефиције у плаћању комуналних услуга, право на бесплатне уџбенике, право на стипендирање ученика, право на накнаду боравка у предшколској установи, право на бесплатан оброк у народној кухињи, право на бесплатну ужину за децу у школи, право на једнократну новчану помоћ, сталну новчану помоћ за поједине категорије корисника и сл.</w:t>
      </w:r>
    </w:p>
    <w:p w14:paraId="723063FD" w14:textId="5B3E8749"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Према последњим налазима истраживања „Мапирање услуга социјалне заштите и материјалне подршке у надлежности ЈЛС у Републици Србији“ које је објављено 2020. године а спроводи се у трогодишњем циклусу (Тим за социјално укључивање Владе РС, НВО Центар за социјалну политику, Републички завод за социјалну заштиту и Стална конференција градова и општина, уз финансијску подршку Владе Швајцарске), укупни расходи за материјалну подршку у надлежности ЈЛС у 2018. години износили су 7,3 милијарде динара тј. око 60 милиона евра. Ови расходи су двоструко већи од расхода за услуге социјалне заштите у надлежности ЈЛС (3,65 милијарди динара), а упола мањи од издвaјања републичког буџета за новчану социјалну помоћ (при</w:t>
      </w:r>
      <w:r>
        <w:rPr>
          <w:rFonts w:eastAsia="MS PGothic" w:cs="Times New Roman"/>
          <w:bCs/>
          <w:iCs/>
          <w:szCs w:val="24"/>
          <w:lang w:val="sr-Cyrl-RS" w:eastAsia="ja-JP"/>
        </w:rPr>
        <w:t>ближно 13,6 милијарди динара).</w:t>
      </w:r>
    </w:p>
    <w:p w14:paraId="4578DD24"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Повећање износа НСП захтева велики обим средстава. Очекују се резултати имплементације Регистра социјална карта који би требао да донесе неке уштеде па се планира повећање на рачун те уштеде. Имплементација Регистра треба да почне 1. марта 2022. године. Регистар социјална карта даје могућност укрштања података и ефикасан је механизам за смањење ,,грешке социјалне укључености’’ и ,,грешке социјалне искључености’’. </w:t>
      </w:r>
    </w:p>
    <w:p w14:paraId="6B50F40F" w14:textId="48C88E36"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Велики проблем представља то што половину прималаца НСП чине радно способна лица чије је запошљавање отежано због ниских квалификација. Запошљавањем ових лица (око 100.000) ослободио би се велики део средстава за увећање НСП радно неспособних лица (деце, старијих, лица са инвалидитетом и сл.).</w:t>
      </w:r>
    </w:p>
    <w:p w14:paraId="1CD49C54" w14:textId="44F2CDDD" w:rsidR="003B758F"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као и значајним повећањем неопорезиве основице зараде које је близу или на нивоу једнаком минималној заради за раднике.</w:t>
      </w:r>
    </w:p>
    <w:p w14:paraId="13DD6B6D"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lastRenderedPageBreak/>
        <w:t>Истичемо да је документима фискалне стратегије о циљевима фискалне политике који се односе на године од 2018. до 2023. опредељено смањење фискалног оптерећења рада кроз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w:t>
      </w:r>
    </w:p>
    <w:p w14:paraId="306EDD83"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Прогресивно опорезивање зарада остварује се тако што се порез не плаћа на зараде до висине прописаног неопорезивог износа. На овај начин ослобођене су од дела пореза најниже зараде тако што се порез не плаћа на прописани неопорезиви износ. У 2021. години не опорезује се део зараде у износу од 18.300 динара месечно. Истичемо да је планирано повећање неопорезивог износа зараде, за 2022. годину, на 19.300 динара месечно. Иначе, годишње се врши повећање неопорезивог износа зараде усклађивањем годишњим индексом потрошачких цена.</w:t>
      </w:r>
    </w:p>
    <w:p w14:paraId="2834A4D0"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Поред тога, прогресија се остварује и опорезивањем годишњим порезом на доходак грађана. Зараде (као и други приходи по основу рада) које физичка лица остваре у току календарске године, опорезују се и додатним годишњим порезом на доходак грађана по истеку календарске године. Предмет опорезивања годишњим порезом је доходак остварен у календарској години који је виши од прописаног неопорезивог износа (троструки износ просечне годишње зараде). Стопа годишњег пореза на доходак грађана је прогресивна и износи 10% за опорезиви доходак до износа шестоструке просечне годишње зараде и 15% за опорезиви доходак преко наведеног износа.</w:t>
      </w:r>
    </w:p>
    <w:p w14:paraId="4D18BA62" w14:textId="06A37836" w:rsid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Указујемо да су у оквиру мера фискалног растерећења зарада смањење стопе доприноса за обавезно социјално осигурање, и то стопе доприноса за осигурање за случај незапослености, са 1,5% на 0,75% (на начин да је послодавац ослобођен од плаћања дела доприноса који се обрачунава и плаћа на његов терет у висини од 0,75%, док се на терет запосленог плаћа допринос по стопи од 0,75%) са применом од 1. јануара 2019. године и стопе доприноса за обавезно пензијско и инвалидско осигурање, са 26% на 25,5%, са применом од 1. јануара 2020. године.</w:t>
      </w:r>
    </w:p>
    <w:p w14:paraId="5ABF2097" w14:textId="0501DE70" w:rsidR="003B758F"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Олакшати прелазак из школе на радно место појачавањем даљег стручног образовања, укључујући дуално стручно образовање, кроз ревидирани наставни план и програм и обезбеђивање инфраструктуре која омогућава стицање практичних вештина.</w:t>
      </w:r>
    </w:p>
    <w:p w14:paraId="1BBFD575" w14:textId="7DAC42EC" w:rsidR="003B758F" w:rsidRDefault="003B758F" w:rsidP="00D43588">
      <w:pPr>
        <w:spacing w:after="60"/>
        <w:rPr>
          <w:rFonts w:eastAsia="MS PGothic" w:cs="Times New Roman"/>
          <w:bCs/>
          <w:iCs/>
          <w:szCs w:val="24"/>
          <w:lang w:val="sr-Cyrl-RS" w:eastAsia="ja-JP"/>
        </w:rPr>
      </w:pPr>
      <w:r w:rsidRPr="003B758F">
        <w:rPr>
          <w:rFonts w:eastAsia="MS PGothic" w:cs="Times New Roman"/>
          <w:bCs/>
          <w:iCs/>
          <w:szCs w:val="24"/>
          <w:lang w:val="sr-Cyrl-RS" w:eastAsia="ja-JP"/>
        </w:rPr>
        <w:t>Креирани су нови стандарди квалификација и модернизовани постојећи образовни профили, који одговарају потребама привреде и тржишту рада, а у циљу повећања запошљивости младих и њихове лакше транзиције из света образовања у свет рада. У току је усвајање методологије за развој планова и програма наставе и учења за дуалне образовне профиле. У наредном периоду наставиће се са успостављањем регионалних тренинг центара као виду подршке како формалном дуалном, тако и неформалном образовању, у којима ће се спроводити обучавање, стручно оспособљавање, преквалификација и доквалификација различитих група становништва. Један од таквих тренинг центара је Ваздухопловни образовни центар Ваздухопловна академија, тренинг центар за средње и високо дуално образовање и обуке који укључује и аеродром Вршац са проширеним капацитетима где се по први пут формално образују пилоти, авиомеханичари, контролори летења, кабинско особље са поседовањем ЕАSA (</w:t>
      </w:r>
      <w:r w:rsidRPr="003B758F">
        <w:rPr>
          <w:rFonts w:eastAsia="MS PGothic" w:cs="Times New Roman"/>
          <w:bCs/>
          <w:i/>
          <w:iCs/>
          <w:szCs w:val="24"/>
          <w:lang w:val="sr-Cyrl-RS" w:eastAsia="ja-JP"/>
        </w:rPr>
        <w:t>European Union Aviation Safety Agency</w:t>
      </w:r>
      <w:r w:rsidRPr="003B758F">
        <w:rPr>
          <w:rFonts w:eastAsia="MS PGothic" w:cs="Times New Roman"/>
          <w:bCs/>
          <w:iCs/>
          <w:szCs w:val="24"/>
          <w:lang w:val="sr-Cyrl-RS" w:eastAsia="ja-JP"/>
        </w:rPr>
        <w:t>) стандарда.</w:t>
      </w:r>
    </w:p>
    <w:p w14:paraId="754801BD" w14:textId="003BCC41" w:rsidR="00854598"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Развити План примене гаранција за младе у сарадњи са свим релевантним министарствима, њиховим агенцијама и заинтересованим странама.</w:t>
      </w:r>
    </w:p>
    <w:p w14:paraId="5097AA02"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Активности које се односе на припрему за увођење и пилотирање Гаранције за младе у РС предвиђене су у оквиру Стратегије запошљавања у РС за период од 2021. до 2026. године и пратећег Акционог плана за први трогодишњи период спровођења Стратегије. </w:t>
      </w:r>
      <w:r w:rsidRPr="003B758F">
        <w:rPr>
          <w:rFonts w:eastAsia="MS PGothic" w:cs="Times New Roman"/>
          <w:bCs/>
          <w:iCs/>
          <w:szCs w:val="24"/>
          <w:lang w:val="sr-Cyrl-RS" w:eastAsia="ja-JP"/>
        </w:rPr>
        <w:lastRenderedPageBreak/>
        <w:t>Као партнери Министарства за рад, запошљавање, борачка и социјална питања и Националне службе за запошљавање, на спровођењу ових активности препознати су: Министарство просвете, науке и технолошког развоја, Министарство омладине и спорта, канцеларије за младе, организације цивилног друштва и други.</w:t>
      </w:r>
    </w:p>
    <w:p w14:paraId="6561FDFE" w14:textId="72273033" w:rsidR="003B758F" w:rsidRPr="003B758F" w:rsidRDefault="003B758F" w:rsidP="003B758F">
      <w:pPr>
        <w:spacing w:after="60"/>
        <w:rPr>
          <w:rFonts w:eastAsia="MS PGothic" w:cs="Times New Roman"/>
          <w:bCs/>
          <w:iCs/>
          <w:szCs w:val="24"/>
          <w:lang w:val="sr-Cyrl-RS" w:eastAsia="ja-JP"/>
        </w:rPr>
      </w:pPr>
      <w:r>
        <w:rPr>
          <w:rFonts w:eastAsia="MS PGothic" w:cs="Times New Roman"/>
          <w:bCs/>
          <w:iCs/>
          <w:szCs w:val="24"/>
          <w:lang w:val="sr-Cyrl-RS" w:eastAsia="ja-JP"/>
        </w:rPr>
        <w:t>Спроведене</w:t>
      </w:r>
      <w:r w:rsidR="004C3A32">
        <w:rPr>
          <w:rFonts w:eastAsia="MS PGothic" w:cs="Times New Roman"/>
          <w:bCs/>
          <w:iCs/>
          <w:szCs w:val="24"/>
          <w:lang w:val="sr-Cyrl-RS" w:eastAsia="ja-JP"/>
        </w:rPr>
        <w:t xml:space="preserve"> су следеће</w:t>
      </w:r>
      <w:r>
        <w:rPr>
          <w:rFonts w:eastAsia="MS PGothic" w:cs="Times New Roman"/>
          <w:bCs/>
          <w:iCs/>
          <w:szCs w:val="24"/>
          <w:lang w:val="sr-Cyrl-RS" w:eastAsia="ja-JP"/>
        </w:rPr>
        <w:t xml:space="preserve"> активности:</w:t>
      </w:r>
    </w:p>
    <w:p w14:paraId="7B59EF5B" w14:textId="776E16BA"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 xml:space="preserve">У циљу реализације Економско-инвестиционог плана за Западни Балкан, односно инвестиционог приоритета везаног за програм Гаранције за младе, Европска комисија је иницирала дијалог на ову тему. </w:t>
      </w:r>
    </w:p>
    <w:p w14:paraId="798CA87F" w14:textId="1664E8D5" w:rsidR="003B758F" w:rsidRPr="003B758F" w:rsidRDefault="004C3A32" w:rsidP="004D22FA">
      <w:pPr>
        <w:pStyle w:val="ListParagraph"/>
        <w:numPr>
          <w:ilvl w:val="0"/>
          <w:numId w:val="22"/>
        </w:numPr>
        <w:spacing w:after="60"/>
        <w:rPr>
          <w:rFonts w:cs="Times New Roman"/>
          <w:bCs/>
          <w:iCs/>
          <w:sz w:val="24"/>
          <w:szCs w:val="24"/>
          <w:lang w:val="sr-Cyrl-RS"/>
        </w:rPr>
      </w:pPr>
      <w:r>
        <w:rPr>
          <w:rFonts w:cs="Times New Roman"/>
          <w:bCs/>
          <w:iCs/>
          <w:sz w:val="24"/>
          <w:szCs w:val="24"/>
          <w:lang w:val="sr-Cyrl-RS"/>
        </w:rPr>
        <w:t xml:space="preserve">У том правцу, </w:t>
      </w:r>
      <w:r w:rsidR="003B758F" w:rsidRPr="003B758F">
        <w:rPr>
          <w:rFonts w:cs="Times New Roman"/>
          <w:bCs/>
          <w:iCs/>
          <w:sz w:val="24"/>
          <w:szCs w:val="24"/>
          <w:lang w:val="sr-Cyrl-RS"/>
        </w:rPr>
        <w:t>7. јуна 2021. године одржан је билатерални састанак са Европском комисијом на оперативном нивоу. Затим је 23. јуна 2021. године  одржана  TAIEX радионица у организацији Европске комисије,  Међународне организације рада и ЕТФ-а. На радионици су представници земаља чланица ЕУ и Северне Македоније изнели своје искуство и научене лекције у спровођењу Гаранције за младе.</w:t>
      </w:r>
    </w:p>
    <w:p w14:paraId="2428FF7B" w14:textId="7F2CE957"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Други министарски састанак на тему политике запошљавања и социјалне политике, са фокусом на запошљавању младих, укључујући и програм Гаранције за младе одржан је 8. јула 2021. године. На састанку је потврђена  Декларација Западног Балкана о осигурању одрживе интеграције младих на тржиште рада. Потврђивањем наведене декларације Република Србија је прихватила да ће радити на постепеном увођењу Гаранције за младе, определити потребне људске ресурсе и финансијска средства, израдити Имплементациони план Гаранције за младе до јуна 2022. године и користити Инструмент за претприступну помоћ (ИПА) тако да допринесе увођењу и постепеном успостављању Гаранције за младе.</w:t>
      </w:r>
    </w:p>
    <w:p w14:paraId="53DDE886" w14:textId="635CA93C"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Техничк</w:t>
      </w:r>
      <w:r w:rsidR="004C3A32">
        <w:rPr>
          <w:rFonts w:cs="Times New Roman"/>
          <w:bCs/>
          <w:iCs/>
          <w:sz w:val="24"/>
          <w:szCs w:val="24"/>
          <w:lang w:val="sr-Cyrl-RS"/>
        </w:rPr>
        <w:t>а</w:t>
      </w:r>
      <w:r w:rsidRPr="003B758F">
        <w:rPr>
          <w:rFonts w:cs="Times New Roman"/>
          <w:bCs/>
          <w:iCs/>
          <w:sz w:val="24"/>
          <w:szCs w:val="24"/>
          <w:lang w:val="sr-Cyrl-RS"/>
        </w:rPr>
        <w:t xml:space="preserve"> помоћ МОР за израду Плана имплементације Гаранције за младе одобрена је по захтеву МРЗБСП 19. августа 2021. године и започело се са спровођењем планираних активности. </w:t>
      </w:r>
    </w:p>
    <w:p w14:paraId="032E4A87" w14:textId="308E356F"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 xml:space="preserve">Састанак са ЕК, МОР и ЕТФ састанку поводом покретања прве фазе спровођења у успостављању Гаранције за младе која се односи на израду Плана имплементације Гаранције за младе, одржан је 14. октобра </w:t>
      </w:r>
    </w:p>
    <w:p w14:paraId="3D08FD1C"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Пројектом Техничке помоћи ИПА 19/20 предвиђено је припремање основа и оквира за пилотирање Гаранције за младе која ће даље бити имплементирана кроз Директни грант НСЗ. Активностима пројекта Техничке помоћи је планирано дизајнирање плана, процедура за имплементацију и модалитета као и управљачког механизма за спровођење активности на националном и локалном нивоу.</w:t>
      </w:r>
    </w:p>
    <w:p w14:paraId="53ACDE96"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Даље планиране активности:</w:t>
      </w:r>
    </w:p>
    <w:p w14:paraId="29E402BA" w14:textId="04B80DA0" w:rsidR="003B758F" w:rsidRPr="003B758F" w:rsidRDefault="003B758F" w:rsidP="004D22FA">
      <w:pPr>
        <w:pStyle w:val="ListParagraph"/>
        <w:numPr>
          <w:ilvl w:val="0"/>
          <w:numId w:val="23"/>
        </w:numPr>
        <w:spacing w:after="60"/>
        <w:rPr>
          <w:rFonts w:cs="Times New Roman"/>
          <w:bCs/>
          <w:iCs/>
          <w:sz w:val="24"/>
          <w:szCs w:val="24"/>
          <w:lang w:val="sr-Cyrl-RS"/>
        </w:rPr>
      </w:pPr>
      <w:r w:rsidRPr="003B758F">
        <w:rPr>
          <w:rFonts w:cs="Times New Roman"/>
          <w:bCs/>
          <w:iCs/>
          <w:sz w:val="24"/>
          <w:szCs w:val="24"/>
          <w:lang w:val="sr-Cyrl-RS"/>
        </w:rPr>
        <w:t>Формирање мултиресорних група за потребе успостављања и управљања Гаранцијом за младе,</w:t>
      </w:r>
    </w:p>
    <w:p w14:paraId="2B495211" w14:textId="43FEE0C5" w:rsidR="003B758F" w:rsidRPr="003B758F" w:rsidRDefault="003B758F" w:rsidP="004D22FA">
      <w:pPr>
        <w:pStyle w:val="ListParagraph"/>
        <w:numPr>
          <w:ilvl w:val="0"/>
          <w:numId w:val="23"/>
        </w:numPr>
        <w:spacing w:after="60"/>
        <w:rPr>
          <w:rFonts w:cs="Times New Roman"/>
          <w:bCs/>
          <w:iCs/>
          <w:sz w:val="24"/>
          <w:szCs w:val="24"/>
          <w:lang w:val="sr-Cyrl-RS"/>
        </w:rPr>
      </w:pPr>
      <w:r w:rsidRPr="003B758F">
        <w:rPr>
          <w:rFonts w:cs="Times New Roman"/>
          <w:bCs/>
          <w:iCs/>
          <w:sz w:val="24"/>
          <w:szCs w:val="24"/>
          <w:lang w:val="sr-Cyrl-RS"/>
        </w:rPr>
        <w:t>Израда Плана имплементације Гаранције за младе.</w:t>
      </w:r>
    </w:p>
    <w:p w14:paraId="36DE2E5E"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Национална служба за запошљавање ће у складу са дефинисаним стратешким циљевима политике запошљавања, односно Стратегијом запошљавања у Републици Србији за период од 2021. до 2026. године, као  и пратећим Акционим планом за период од 2021. до 2023. године за спровођење Стратегије запошљавања у Републици Србији за период од 2021 до 2026. године, у сарадњи са ресорним Министарством за рад, запошљавање, борачка и социјална питања, у дефинисаним роковима приступити спровођењу елемената Гаранције за младе.</w:t>
      </w:r>
    </w:p>
    <w:p w14:paraId="60AA1A6B"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Имајући у виду да је незапосленост један од највећих изазова младих на европском и националном нивоу, кључно је да Национална служба за запошљавање у спровођењу </w:t>
      </w:r>
      <w:r w:rsidRPr="003B758F">
        <w:rPr>
          <w:rFonts w:eastAsia="MS PGothic" w:cs="Times New Roman"/>
          <w:bCs/>
          <w:iCs/>
          <w:szCs w:val="24"/>
          <w:lang w:val="sr-Cyrl-RS" w:eastAsia="ja-JP"/>
        </w:rPr>
        <w:lastRenderedPageBreak/>
        <w:t xml:space="preserve">Гаранције располаже довољним средствима за мере активне политике запошљавања како би се на тај начин обезбедила њихова доступност и континуитет током целе године. Такође, Национална служба за запошљавање ће учинити све напоре да у интензивним активностима у раду са послодавцима у том периоду обезбеди слободне послове, како би млада особа у предвиђеним роковима добила одговарајућу понуду. Брза активација младих на тржишту рада осигураће већу мотивисаност oсобе у процесу тражења посла, као и брзу надоградњу знања и вештина стечених у систему образовања. </w:t>
      </w:r>
    </w:p>
    <w:p w14:paraId="21B89BD9"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Национална служба за запошљавање ће у сарадњи са другим заинтересованим актерима и институцијама који учествују у наведеном процесу испитати своје потенцијалне организационе и административне изазове, услед чега би уследило пилотирање одређених елемената Гаранције за младе у највише три филијале Националне службе за запошљавање, у делу предузимања конкретних мера досезања и активације младих који су пасивни, а у сарадњи са осталим партнерима и организацијама цивилног друштва. Млади који би се на овај начин пријавили на евиденцију незапослених лица, добили би у Националној служби за запошљавање понуду за посао или понуду за учешће у мери активне политике запошљавања. </w:t>
      </w:r>
    </w:p>
    <w:p w14:paraId="1C7D582F" w14:textId="77777777" w:rsid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Нацрт ЕРП 2022-2024 предвиђа нову структурну реформу која се односи на успостављање оквира за увођење гаранција за младе у Републици Србији. Ова мера је предвиђена у оквиру првог кључног ЕРП изазова који се односи на повећање запослености, посебно младих, и усклађивање квалификација са потребама тржишта рада.</w:t>
      </w:r>
    </w:p>
    <w:p w14:paraId="1E294BA5" w14:textId="676AC6FB" w:rsidR="009333E2" w:rsidRPr="000E0422" w:rsidRDefault="009807AD" w:rsidP="00433935">
      <w:pPr>
        <w:keepNext/>
        <w:keepLines/>
        <w:spacing w:before="240" w:after="240"/>
        <w:outlineLvl w:val="0"/>
        <w:rPr>
          <w:rFonts w:eastAsia="MS PGothic" w:cs="Times New Roman"/>
          <w:b/>
          <w:szCs w:val="24"/>
          <w:lang w:val="sr-Cyrl-RS" w:eastAsia="ja-JP"/>
        </w:rPr>
      </w:pPr>
      <w:bookmarkStart w:id="5" w:name="_Toc89375517"/>
      <w:r>
        <w:rPr>
          <w:rFonts w:eastAsia="MS PGothic" w:cs="Times New Roman"/>
          <w:b/>
          <w:szCs w:val="24"/>
          <w:lang w:eastAsia="ja-JP"/>
        </w:rPr>
        <w:t>3</w:t>
      </w:r>
      <w:r w:rsidR="009333E2" w:rsidRPr="000E0422">
        <w:rPr>
          <w:rFonts w:eastAsia="MS PGothic" w:cs="Times New Roman"/>
          <w:b/>
          <w:szCs w:val="24"/>
          <w:lang w:val="sr-Cyrl-RS" w:eastAsia="ja-JP"/>
        </w:rPr>
        <w:t>. МАКРОЕКОНОМСКИ ОКВИР</w:t>
      </w:r>
      <w:bookmarkEnd w:id="5"/>
    </w:p>
    <w:p w14:paraId="25525AAF" w14:textId="3FA5D7FE" w:rsidR="0047598D" w:rsidRPr="009807AD" w:rsidRDefault="009807AD" w:rsidP="00433935">
      <w:pPr>
        <w:keepNext/>
        <w:keepLines/>
        <w:spacing w:before="120"/>
        <w:outlineLvl w:val="1"/>
        <w:rPr>
          <w:rFonts w:eastAsia="Calibri" w:cs="Times New Roman"/>
          <w:b/>
          <w:szCs w:val="24"/>
          <w:lang w:val="sr-Cyrl-RS"/>
        </w:rPr>
      </w:pPr>
      <w:bookmarkStart w:id="6" w:name="_Toc89375518"/>
      <w:r w:rsidRPr="009807AD">
        <w:rPr>
          <w:rFonts w:eastAsia="Calibri" w:cs="Times New Roman"/>
          <w:b/>
          <w:szCs w:val="24"/>
        </w:rPr>
        <w:t xml:space="preserve">3.1. </w:t>
      </w:r>
      <w:r w:rsidR="00FF354A" w:rsidRPr="009807AD">
        <w:rPr>
          <w:rFonts w:eastAsia="Calibri" w:cs="Times New Roman"/>
          <w:b/>
          <w:szCs w:val="24"/>
          <w:lang w:val="sr-Cyrl-RS"/>
        </w:rPr>
        <w:t>ПРОЦЕНЕ МЕЂУНАРОДНОГ ЕКОНОМСКОГ ОКРУЖЕЊА</w:t>
      </w:r>
      <w:bookmarkEnd w:id="6"/>
    </w:p>
    <w:p w14:paraId="636DAF62"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Глобални економски опоравак се наставља и поред нових таласа вируса, уз очекивање да ће борба против пандемије ипак оставити негативне ефекте на економски раст у средњем року. Брзо ширење и опасност од нових варијанти вируса довело је до повећане неизвесности у вези са брзином превазилажења пандемије. Разлике у динамици економског опоравка међу земљама последица су различите доступности вакцина, као и разлика у обиму и дужини трајања економских пакета подршке. Правовремено доношење политика отежано је у условима ограниченог раста запослености, растуће инфлације, потенцијалног дугорочног утицаја пандемије на акумулацију људског капитала, као и борбе против климатских промена. Јаз у очекиваном опоравку међу економским групама земаља проширио се у односу на јулску прогнозу</w:t>
      </w:r>
      <w:r w:rsidR="0088400F" w:rsidRPr="0088400F">
        <w:t xml:space="preserve"> </w:t>
      </w:r>
      <w:r w:rsidR="0088400F" w:rsidRPr="0088400F">
        <w:rPr>
          <w:rFonts w:eastAsia="MS PGothic" w:cs="Times New Roman"/>
          <w:bCs/>
          <w:iCs/>
          <w:szCs w:val="24"/>
          <w:lang w:val="sr-Cyrl-RS" w:eastAsia="ja-JP"/>
        </w:rPr>
        <w:t>Међународног монетарног фонда (у даљем тексту: ММФ)</w:t>
      </w:r>
      <w:r w:rsidRPr="000E0422">
        <w:rPr>
          <w:rFonts w:eastAsia="MS PGothic" w:cs="Times New Roman"/>
          <w:bCs/>
          <w:iCs/>
          <w:szCs w:val="24"/>
          <w:lang w:val="sr-Cyrl-RS" w:eastAsia="ja-JP"/>
        </w:rPr>
        <w:t xml:space="preserve">. Очекује се да ће група развијених тржишних економија достићи своју предпандемијску путању раста у 2022. години, а да ће је премашити за 0,9% у 2024. години. Насупрот томе, за земље у развоју (искључујући Кину) се очекује да укупан ниво БДП у 2024. години и даље буде испод нивоа који је пројектован пре пандемије и то за 5,5%. Ублажавање епидемиолошких мера је утицало на снажан раст тражња за робом и сировинама, док су фактори на страни агрегатне понуде остали ограничени. Ово је довело до значајног раста цена добара, јачања инфлаторних притисака и неизвесности у погледу будућих економских кретања. Осим напора усмерених ка обуздавању здравствене кризе и процесу нормализације, будући изазови пред доносиоцима одлука ће бити изналажење нових извора раста продуктивности и БДП, имплементација зелене технологије и дигитализација, као и смањивање неједнакости. Да би се то остварило, неопходна је значајна међународна сарадња, као и усклађивање монетарне и фискалне политике у циљу сузбијања </w:t>
      </w:r>
      <w:r w:rsidRPr="000E0422">
        <w:rPr>
          <w:rFonts w:eastAsia="MS PGothic" w:cs="Times New Roman"/>
          <w:bCs/>
          <w:iCs/>
          <w:szCs w:val="24"/>
          <w:lang w:val="sr-Cyrl-RS" w:eastAsia="ja-JP"/>
        </w:rPr>
        <w:lastRenderedPageBreak/>
        <w:t>дугорочних последица кризе и евентуалних будућих здравствених криза као и решавање дугорочног проблема климатских промена.</w:t>
      </w:r>
    </w:p>
    <w:p w14:paraId="01EE2B35"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Према</w:t>
      </w:r>
      <w:r w:rsidR="00AB4F73">
        <w:rPr>
          <w:rFonts w:eastAsia="MS PGothic" w:cs="Times New Roman"/>
          <w:bCs/>
          <w:iCs/>
          <w:szCs w:val="24"/>
          <w:lang w:val="sr-Cyrl-RS" w:eastAsia="ja-JP"/>
        </w:rPr>
        <w:t xml:space="preserve"> октобарским</w:t>
      </w:r>
      <w:r w:rsidRPr="000E0422">
        <w:rPr>
          <w:rFonts w:eastAsia="MS PGothic" w:cs="Times New Roman"/>
          <w:bCs/>
          <w:iCs/>
          <w:szCs w:val="24"/>
          <w:lang w:val="sr-Cyrl-RS" w:eastAsia="ja-JP"/>
        </w:rPr>
        <w:t xml:space="preserve"> анализама ММФ, након глобалног шока изазваног „великим закључавањем” економски опоравак се наставља, али је изгубио на снази услед појаве нових сојева вируса који се брже преносе. То је довело и до дужих поремећаја у глобалним ланцима снабдевања у односу на првобитна очекивања, што је додатно подстак</w:t>
      </w:r>
      <w:r w:rsidR="00B86876" w:rsidRPr="000E0422">
        <w:rPr>
          <w:rFonts w:eastAsia="MS PGothic" w:cs="Times New Roman"/>
          <w:bCs/>
          <w:iCs/>
          <w:szCs w:val="24"/>
          <w:lang w:val="sr-Cyrl-RS" w:eastAsia="ja-JP"/>
        </w:rPr>
        <w:t xml:space="preserve">ло инфлацију у многим земљама. </w:t>
      </w:r>
      <w:r w:rsidRPr="000E0422">
        <w:rPr>
          <w:rFonts w:eastAsia="MS PGothic" w:cs="Times New Roman"/>
          <w:bCs/>
          <w:iCs/>
          <w:szCs w:val="24"/>
          <w:lang w:val="sr-Cyrl-RS" w:eastAsia="ja-JP"/>
        </w:rPr>
        <w:t>У складу са тим, раст глобалне економије у 2021. години благо је ревидиран наниже, са 6% на 5,9%, док су изгледи за 2022. годину остали непромењени уз очекивани раст од 4,9%. Благо погоршање изгледа раста последица је прекида у ланцима снабдевања у развијеним земљама, као и неповољног развоја ситуације у вези са пандемијом у земљама у успону. Ризици за остваривање пројекција и даље су велики, па је све теже правити компромисе у доношењу мера и њиховој примени. Неизвесност око будућег тока пандемије је највећи ризик по пројекцију раста ММФ. Главни извор забринутости је могућност појаве агресивније варијанте вируса пре завршетка масовне вакцинације већине становништва. Раст инфлације, скок цена сировина и енергената, представљају ризике чија је материјализација извесна уколико отклањање уских грла између понуде и тражње буде трајало предуго.</w:t>
      </w:r>
      <w:r w:rsidRPr="000E0422">
        <w:rPr>
          <w:lang w:val="sr-Cyrl-RS"/>
        </w:rPr>
        <w:t xml:space="preserve"> </w:t>
      </w:r>
      <w:r w:rsidRPr="000E0422">
        <w:rPr>
          <w:rFonts w:eastAsia="MS PGothic" w:cs="Times New Roman"/>
          <w:bCs/>
          <w:iCs/>
          <w:szCs w:val="24"/>
          <w:lang w:val="sr-Cyrl-RS" w:eastAsia="ja-JP"/>
        </w:rPr>
        <w:t>Са друге стране, бржа производња, дистрибуција и примена вакцина и нагли раст продуктивности услед већег степена аутоматизације радних места и ослањања на нове технологије, допринели би убрзању глобалног опоравка и нормализацији економске активности. Снажна међународна сарадња остаје кључни чинилац за опоравак, нарочито приликом производње и расподеле вакцина, али и код приступа глобалном финансијском тржишту и подршке у б</w:t>
      </w:r>
      <w:r w:rsidR="005F26DA" w:rsidRPr="000E0422">
        <w:rPr>
          <w:rFonts w:eastAsia="MS PGothic" w:cs="Times New Roman"/>
          <w:bCs/>
          <w:iCs/>
          <w:szCs w:val="24"/>
          <w:lang w:val="sr-Cyrl-RS" w:eastAsia="ja-JP"/>
        </w:rPr>
        <w:t>орби против климатских промена.</w:t>
      </w:r>
    </w:p>
    <w:p w14:paraId="28FC333F" w14:textId="77777777" w:rsidR="00766476" w:rsidRPr="000D5CE6" w:rsidRDefault="00766476" w:rsidP="00433935">
      <w:pPr>
        <w:spacing w:after="60"/>
        <w:rPr>
          <w:rFonts w:eastAsia="MS PGothic" w:cs="Times New Roman"/>
          <w:bCs/>
          <w:iCs/>
          <w:spacing w:val="-2"/>
          <w:szCs w:val="24"/>
          <w:lang w:val="sr-Cyrl-RS" w:eastAsia="ja-JP"/>
        </w:rPr>
      </w:pPr>
      <w:r w:rsidRPr="000D5CE6">
        <w:rPr>
          <w:rFonts w:eastAsia="MS PGothic" w:cs="Times New Roman"/>
          <w:bCs/>
          <w:iCs/>
          <w:spacing w:val="-2"/>
          <w:szCs w:val="24"/>
          <w:lang w:val="sr-Cyrl-RS" w:eastAsia="ja-JP"/>
        </w:rPr>
        <w:t>Раст групе развијених земаља за 2021. годину ревидиран је наниже за 0,4 п.п. у односу на прошлу пројекцију. Разлог томе су поремећаји у снабдевању сектора производње у САД и Немачкој, као и затварање привреде Јапана током трећег квартала због новог таласа пандемије. Најављене мере подршке у области инфраструктуре и животног стандарда у САД и очекивани план опоравка ЕУ, заједно са наставком процеса вакцинације становништва, благо су погурали навише пројекцију раста развијених земаља за 2022. годину на 4,5%. С друге стране, очекивани раст земаља у успону за 2021. годину је благо ревидиран навише, захваљујући бољим резултатима региона оријентисаних ка извозу добара (Латинска Америка, Блиски Исток и Централна Азија) који су надоместили последице изазване пандемијом. Међутим, поједине земље у успону попут Бразила, Мексика и Русије се суочавају са заоштравањем услова финансирања и већим ризиком од инфлаторних притисака, те сужавају простор за подршку у борби против пандемије. Изгледи за азијске земље у развоју су ревидирани наниже и за 2021. и за 2022. годину, услед пораста броја заражених. Такође, услед бржег смањења јавних инвестиција, благо је смањена и процена раста Кине за исти период. У средњем року се очекује стабилизација глобалног раста на око 3,3%, а раст ће зависити од брзине и броја вакцинисаних, као и од примене даљих мера подршке привреди</w:t>
      </w:r>
      <w:r w:rsidR="005F26DA" w:rsidRPr="000D5CE6">
        <w:rPr>
          <w:rFonts w:eastAsia="MS PGothic" w:cs="Times New Roman"/>
          <w:bCs/>
          <w:iCs/>
          <w:spacing w:val="-2"/>
          <w:szCs w:val="24"/>
          <w:lang w:val="sr-Cyrl-RS" w:eastAsia="ja-JP"/>
        </w:rPr>
        <w:t>.</w:t>
      </w:r>
    </w:p>
    <w:p w14:paraId="6E46CB0F"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Према јесењим проценама Европске комисије (у даљем тексту: ЕК) економска активност у еврозони се опоравља од рецесије изазване пандемијом брже него што је то очекивано. Након раста БДП у 2021. години од 5,0%, привредни раст ће у 2022. успорити на 4,3%, а затим на 2,</w:t>
      </w:r>
      <w:r w:rsidR="00697724">
        <w:rPr>
          <w:rFonts w:eastAsia="MS PGothic" w:cs="Times New Roman"/>
          <w:bCs/>
          <w:iCs/>
          <w:szCs w:val="24"/>
          <w:lang w:val="en-GB" w:eastAsia="ja-JP"/>
        </w:rPr>
        <w:t>4</w:t>
      </w:r>
      <w:r w:rsidRPr="000E0422">
        <w:rPr>
          <w:rFonts w:eastAsia="MS PGothic" w:cs="Times New Roman"/>
          <w:bCs/>
          <w:iCs/>
          <w:szCs w:val="24"/>
          <w:lang w:val="sr-Cyrl-RS" w:eastAsia="ja-JP"/>
        </w:rPr>
        <w:t>% у 202</w:t>
      </w:r>
      <w:r w:rsidR="00697724">
        <w:rPr>
          <w:rFonts w:eastAsia="MS PGothic" w:cs="Times New Roman"/>
          <w:bCs/>
          <w:iCs/>
          <w:szCs w:val="24"/>
          <w:lang w:val="en-GB" w:eastAsia="ja-JP"/>
        </w:rPr>
        <w:t>3</w:t>
      </w:r>
      <w:r w:rsidRPr="000E0422">
        <w:rPr>
          <w:rFonts w:eastAsia="MS PGothic" w:cs="Times New Roman"/>
          <w:bCs/>
          <w:iCs/>
          <w:szCs w:val="24"/>
          <w:lang w:val="sr-Cyrl-RS" w:eastAsia="ja-JP"/>
        </w:rPr>
        <w:t xml:space="preserve">. години, услед престанка ефеката повољних мера уведених због борбе против пандемије. Ризици по остварење пројекције су значајно </w:t>
      </w:r>
      <w:r w:rsidR="001C7B88">
        <w:rPr>
          <w:rFonts w:eastAsia="MS PGothic" w:cs="Times New Roman"/>
          <w:bCs/>
          <w:iCs/>
          <w:szCs w:val="24"/>
          <w:lang w:val="sr-Cyrl-RS" w:eastAsia="ja-JP"/>
        </w:rPr>
        <w:t xml:space="preserve">мањи </w:t>
      </w:r>
      <w:r w:rsidRPr="000E0422">
        <w:rPr>
          <w:rFonts w:eastAsia="MS PGothic" w:cs="Times New Roman"/>
          <w:bCs/>
          <w:iCs/>
          <w:szCs w:val="24"/>
          <w:lang w:val="sr-Cyrl-RS" w:eastAsia="ja-JP"/>
        </w:rPr>
        <w:t>него током пандемије, али и даље остају изнад преткризног нивоа. Поред ризика око даљег кретања пандемије, економски ризици се односе и на потенцијални продужени утицај тренутних потешкоћа у снабдевању и уских грла на страни понуде.</w:t>
      </w:r>
    </w:p>
    <w:p w14:paraId="2CE8E0C2"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lastRenderedPageBreak/>
        <w:t xml:space="preserve">Са побољшањем епидемиолошке ситуације и постепено попуштање мера ограничења током другог квартала, домаћинства су почела да реалоцирају средства из штедње у потрошњу, што је покренуло раст приватне потрошње у ЕУ. Економски показатељи указују на то да се опоравак наставио несмањеним темпом и током лета, поткрепљен растом путовања унутар ЕУ, које је погодовало одређеним државама чланицама. Са друге стране, пораст цена енергената, пре свега гаса и електричне енергије, заједно са константном борбом понуде да одржи корак са наглим променама у нивоу и саставу глобалне тражње </w:t>
      </w:r>
      <w:r w:rsidR="002C4928" w:rsidRPr="002C4928">
        <w:rPr>
          <w:rFonts w:eastAsia="MS PGothic" w:cs="Times New Roman"/>
          <w:bCs/>
          <w:iCs/>
          <w:szCs w:val="24"/>
          <w:lang w:val="sr-Cyrl-RS" w:eastAsia="ja-JP"/>
        </w:rPr>
        <w:t>ограничиће раст</w:t>
      </w:r>
      <w:r w:rsidR="002C4928" w:rsidRPr="002C4928" w:rsidDel="002C4928">
        <w:rPr>
          <w:rFonts w:eastAsia="MS PGothic" w:cs="Times New Roman"/>
          <w:bCs/>
          <w:iCs/>
          <w:szCs w:val="24"/>
          <w:lang w:val="sr-Cyrl-RS" w:eastAsia="ja-JP"/>
        </w:rPr>
        <w:t xml:space="preserve"> </w:t>
      </w:r>
      <w:r w:rsidRPr="000E0422">
        <w:rPr>
          <w:rFonts w:eastAsia="MS PGothic" w:cs="Times New Roman"/>
          <w:bCs/>
          <w:iCs/>
          <w:szCs w:val="24"/>
          <w:lang w:val="sr-Cyrl-RS" w:eastAsia="ja-JP"/>
        </w:rPr>
        <w:t>у кратком року. Иако се предвиђа да ће темпо раста остати неуједначен међу земљама и секторима, ЕУ је спремна да настави свој пут економског опоравка.</w:t>
      </w:r>
    </w:p>
    <w:p w14:paraId="7D0331F0"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Због деловања неповољних фактора попут уских грла на страни понуде и скока цена енергената, пројекција раста еврозоне за 2022. годину ревидирана је благо наниже у односу на мајску</w:t>
      </w:r>
      <w:r w:rsidR="00B425B2">
        <w:rPr>
          <w:rFonts w:eastAsia="MS PGothic" w:cs="Times New Roman"/>
          <w:bCs/>
          <w:iCs/>
          <w:szCs w:val="24"/>
          <w:lang w:val="sr-Cyrl-RS" w:eastAsia="ja-JP"/>
        </w:rPr>
        <w:t>,</w:t>
      </w:r>
      <w:r w:rsidR="00B425B2">
        <w:rPr>
          <w:rFonts w:eastAsia="MS PGothic" w:cs="Times New Roman"/>
          <w:bCs/>
          <w:iCs/>
          <w:szCs w:val="24"/>
          <w:lang w:val="sr-Latn-RS" w:eastAsia="ja-JP"/>
        </w:rPr>
        <w:t xml:space="preserve"> </w:t>
      </w:r>
      <w:r w:rsidR="00D15564">
        <w:rPr>
          <w:rFonts w:eastAsia="MS PGothic" w:cs="Times New Roman"/>
          <w:bCs/>
          <w:iCs/>
          <w:szCs w:val="24"/>
          <w:lang w:val="sr-Cyrl-RS" w:eastAsia="ja-JP"/>
        </w:rPr>
        <w:t>са 4,4% на 4,3%</w:t>
      </w:r>
      <w:r w:rsidRPr="000E0422">
        <w:rPr>
          <w:rFonts w:eastAsia="MS PGothic" w:cs="Times New Roman"/>
          <w:bCs/>
          <w:iCs/>
          <w:szCs w:val="24"/>
          <w:lang w:val="sr-Cyrl-RS" w:eastAsia="ja-JP"/>
        </w:rPr>
        <w:t>, али ће захваљујући побољшањима на тржишту радне снаге, повољним условима финансирања и спровођењу програма опоравка ЕУ раст и даље бити значајан. Ревизија пројекције раста БДП Немачке на 4,6% у 2022. години, (побољшање од 0,5 п.п. у поређењу са пролећним пројекцијама), може се објаснити значајним растом услужног сектора, док ће се производни сектор такође опоравити са постепеним отклањањем уских грла у снабдевању. Италијанска привреда ће у 2021. забележити снажан раст од преко 6%, док ће економска активност у 2022. години бити нешто спорија услед раста цена сировина и ограничене личне потрошње.</w:t>
      </w:r>
    </w:p>
    <w:p w14:paraId="7E9FBE9E"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У наредном периоду се очекује стагнација референтне каматне стопе и наставак акомодативне монетарне политике Европске централне банке (у даљем тексту: ЕЦБ), али да постоји могућност смањеног обима куповине хартија од вредности који је као хитна мера подршке током пандемије уведен прошле године.</w:t>
      </w:r>
    </w:p>
    <w:tbl>
      <w:tblPr>
        <w:tblW w:w="9357" w:type="dxa"/>
        <w:tblLayout w:type="fixed"/>
        <w:tblLook w:val="04A0" w:firstRow="1" w:lastRow="0" w:firstColumn="1" w:lastColumn="0" w:noHBand="0" w:noVBand="1"/>
      </w:tblPr>
      <w:tblGrid>
        <w:gridCol w:w="3962"/>
        <w:gridCol w:w="769"/>
        <w:gridCol w:w="770"/>
        <w:gridCol w:w="772"/>
        <w:gridCol w:w="770"/>
        <w:gridCol w:w="772"/>
        <w:gridCol w:w="770"/>
        <w:gridCol w:w="772"/>
      </w:tblGrid>
      <w:tr w:rsidR="00766476" w:rsidRPr="000E0422" w14:paraId="0DC1C598" w14:textId="77777777" w:rsidTr="002B1550">
        <w:trPr>
          <w:trHeight w:val="315"/>
        </w:trPr>
        <w:tc>
          <w:tcPr>
            <w:tcW w:w="9357" w:type="dxa"/>
            <w:gridSpan w:val="8"/>
            <w:tcBorders>
              <w:top w:val="nil"/>
              <w:left w:val="nil"/>
              <w:bottom w:val="single" w:sz="8" w:space="0" w:color="002060"/>
              <w:right w:val="nil"/>
            </w:tcBorders>
            <w:shd w:val="clear" w:color="auto" w:fill="auto"/>
            <w:noWrap/>
            <w:vAlign w:val="center"/>
          </w:tcPr>
          <w:p w14:paraId="04B779A1" w14:textId="77777777" w:rsidR="00766476" w:rsidRPr="000E0422" w:rsidRDefault="00766476" w:rsidP="00433935">
            <w:pPr>
              <w:spacing w:after="0"/>
              <w:rPr>
                <w:rFonts w:eastAsia="Times New Roman" w:cs="Times New Roman"/>
                <w:sz w:val="18"/>
                <w:szCs w:val="18"/>
                <w:lang w:val="sr-Cyrl-RS" w:eastAsia="en-GB"/>
              </w:rPr>
            </w:pPr>
            <w:r w:rsidRPr="000E0422">
              <w:rPr>
                <w:rFonts w:cs="Times New Roman"/>
                <w:szCs w:val="24"/>
                <w:lang w:val="sr-Cyrl-RS"/>
              </w:rPr>
              <w:t>Табела 1. Макроекономске пројекције за подручје еврозоне, промене у односу на претходну годину, %</w:t>
            </w:r>
          </w:p>
        </w:tc>
      </w:tr>
      <w:tr w:rsidR="00766476" w:rsidRPr="000E0422" w14:paraId="10B5917F" w14:textId="77777777" w:rsidTr="002B1550">
        <w:trPr>
          <w:trHeight w:val="315"/>
        </w:trPr>
        <w:tc>
          <w:tcPr>
            <w:tcW w:w="3962" w:type="dxa"/>
            <w:tcBorders>
              <w:top w:val="nil"/>
              <w:left w:val="nil"/>
              <w:bottom w:val="single" w:sz="8" w:space="0" w:color="002060"/>
              <w:right w:val="nil"/>
            </w:tcBorders>
            <w:shd w:val="clear" w:color="auto" w:fill="auto"/>
            <w:noWrap/>
            <w:vAlign w:val="center"/>
            <w:hideMark/>
          </w:tcPr>
          <w:p w14:paraId="5DC6233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 </w:t>
            </w:r>
          </w:p>
        </w:tc>
        <w:tc>
          <w:tcPr>
            <w:tcW w:w="769" w:type="dxa"/>
            <w:tcBorders>
              <w:top w:val="nil"/>
              <w:left w:val="nil"/>
              <w:bottom w:val="single" w:sz="8" w:space="0" w:color="002060"/>
              <w:right w:val="nil"/>
            </w:tcBorders>
            <w:shd w:val="clear" w:color="auto" w:fill="auto"/>
            <w:noWrap/>
            <w:vAlign w:val="center"/>
            <w:hideMark/>
          </w:tcPr>
          <w:p w14:paraId="154214BB"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 </w:t>
            </w:r>
          </w:p>
        </w:tc>
        <w:tc>
          <w:tcPr>
            <w:tcW w:w="1542" w:type="dxa"/>
            <w:gridSpan w:val="2"/>
            <w:tcBorders>
              <w:top w:val="single" w:sz="8" w:space="0" w:color="002060"/>
              <w:left w:val="nil"/>
              <w:bottom w:val="single" w:sz="8" w:space="0" w:color="002060"/>
              <w:right w:val="nil"/>
            </w:tcBorders>
            <w:shd w:val="clear" w:color="auto" w:fill="auto"/>
            <w:noWrap/>
            <w:vAlign w:val="center"/>
            <w:hideMark/>
          </w:tcPr>
          <w:p w14:paraId="2322074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Тренутна пројекција</w:t>
            </w:r>
          </w:p>
        </w:tc>
        <w:tc>
          <w:tcPr>
            <w:tcW w:w="1542" w:type="dxa"/>
            <w:gridSpan w:val="2"/>
            <w:tcBorders>
              <w:top w:val="single" w:sz="8" w:space="0" w:color="auto"/>
              <w:left w:val="single" w:sz="8" w:space="0" w:color="auto"/>
              <w:bottom w:val="single" w:sz="8" w:space="0" w:color="002060"/>
              <w:right w:val="single" w:sz="8" w:space="0" w:color="000000"/>
            </w:tcBorders>
            <w:shd w:val="clear" w:color="auto" w:fill="auto"/>
            <w:noWrap/>
            <w:vAlign w:val="center"/>
            <w:hideMark/>
          </w:tcPr>
          <w:p w14:paraId="6B7EE5BE"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Претходна (пролећна) пројекција</w:t>
            </w:r>
          </w:p>
        </w:tc>
        <w:tc>
          <w:tcPr>
            <w:tcW w:w="1542" w:type="dxa"/>
            <w:gridSpan w:val="2"/>
            <w:tcBorders>
              <w:top w:val="single" w:sz="8" w:space="0" w:color="002060"/>
              <w:left w:val="nil"/>
              <w:bottom w:val="single" w:sz="8" w:space="0" w:color="002060"/>
              <w:right w:val="nil"/>
            </w:tcBorders>
            <w:shd w:val="clear" w:color="auto" w:fill="auto"/>
            <w:noWrap/>
            <w:vAlign w:val="center"/>
            <w:hideMark/>
          </w:tcPr>
          <w:p w14:paraId="7E40A2E1"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Претходна (јесења) пројекција*</w:t>
            </w:r>
          </w:p>
        </w:tc>
      </w:tr>
      <w:tr w:rsidR="00766476" w:rsidRPr="000E0422" w14:paraId="468E3826" w14:textId="77777777" w:rsidTr="00905A9F">
        <w:trPr>
          <w:trHeight w:val="283"/>
        </w:trPr>
        <w:tc>
          <w:tcPr>
            <w:tcW w:w="3962" w:type="dxa"/>
            <w:tcBorders>
              <w:top w:val="nil"/>
              <w:left w:val="nil"/>
              <w:bottom w:val="nil"/>
              <w:right w:val="nil"/>
            </w:tcBorders>
            <w:shd w:val="clear" w:color="auto" w:fill="auto"/>
            <w:noWrap/>
            <w:vAlign w:val="center"/>
            <w:hideMark/>
          </w:tcPr>
          <w:p w14:paraId="209B5D13" w14:textId="77777777" w:rsidR="00766476" w:rsidRPr="000E0422" w:rsidRDefault="00766476" w:rsidP="002B1550">
            <w:pPr>
              <w:spacing w:after="0"/>
              <w:jc w:val="center"/>
              <w:rPr>
                <w:rFonts w:eastAsia="Times New Roman" w:cs="Times New Roman"/>
                <w:sz w:val="18"/>
                <w:szCs w:val="18"/>
                <w:lang w:val="sr-Cyrl-RS" w:eastAsia="en-GB"/>
              </w:rPr>
            </w:pPr>
          </w:p>
        </w:tc>
        <w:tc>
          <w:tcPr>
            <w:tcW w:w="769" w:type="dxa"/>
            <w:tcBorders>
              <w:top w:val="nil"/>
              <w:left w:val="nil"/>
              <w:bottom w:val="single" w:sz="8" w:space="0" w:color="002060"/>
              <w:right w:val="nil"/>
            </w:tcBorders>
            <w:shd w:val="clear" w:color="auto" w:fill="auto"/>
            <w:noWrap/>
            <w:vAlign w:val="center"/>
            <w:hideMark/>
          </w:tcPr>
          <w:p w14:paraId="034E74A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0" w:type="dxa"/>
            <w:tcBorders>
              <w:top w:val="nil"/>
              <w:left w:val="nil"/>
              <w:bottom w:val="single" w:sz="8" w:space="0" w:color="002060"/>
              <w:right w:val="nil"/>
            </w:tcBorders>
            <w:shd w:val="clear" w:color="auto" w:fill="auto"/>
            <w:noWrap/>
            <w:vAlign w:val="center"/>
            <w:hideMark/>
          </w:tcPr>
          <w:p w14:paraId="73DCE5F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c>
          <w:tcPr>
            <w:tcW w:w="772" w:type="dxa"/>
            <w:tcBorders>
              <w:top w:val="nil"/>
              <w:left w:val="nil"/>
              <w:bottom w:val="single" w:sz="8" w:space="0" w:color="002060"/>
              <w:right w:val="nil"/>
            </w:tcBorders>
            <w:shd w:val="clear" w:color="auto" w:fill="auto"/>
            <w:noWrap/>
            <w:vAlign w:val="center"/>
            <w:hideMark/>
          </w:tcPr>
          <w:p w14:paraId="7C6FAF7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2023</w:t>
            </w:r>
          </w:p>
        </w:tc>
        <w:tc>
          <w:tcPr>
            <w:tcW w:w="770" w:type="dxa"/>
            <w:tcBorders>
              <w:top w:val="nil"/>
              <w:left w:val="single" w:sz="8" w:space="0" w:color="auto"/>
              <w:bottom w:val="single" w:sz="8" w:space="0" w:color="002060"/>
              <w:right w:val="nil"/>
            </w:tcBorders>
            <w:shd w:val="clear" w:color="auto" w:fill="auto"/>
            <w:noWrap/>
            <w:vAlign w:val="center"/>
            <w:hideMark/>
          </w:tcPr>
          <w:p w14:paraId="63AA6A2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2" w:type="dxa"/>
            <w:tcBorders>
              <w:top w:val="nil"/>
              <w:left w:val="nil"/>
              <w:bottom w:val="single" w:sz="8" w:space="0" w:color="002060"/>
              <w:right w:val="single" w:sz="8" w:space="0" w:color="auto"/>
            </w:tcBorders>
            <w:shd w:val="clear" w:color="auto" w:fill="auto"/>
            <w:vAlign w:val="center"/>
            <w:hideMark/>
          </w:tcPr>
          <w:p w14:paraId="1BB6330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c>
          <w:tcPr>
            <w:tcW w:w="770" w:type="dxa"/>
            <w:tcBorders>
              <w:top w:val="nil"/>
              <w:left w:val="nil"/>
              <w:bottom w:val="single" w:sz="8" w:space="0" w:color="002060"/>
              <w:right w:val="nil"/>
            </w:tcBorders>
            <w:shd w:val="clear" w:color="auto" w:fill="auto"/>
            <w:noWrap/>
            <w:vAlign w:val="center"/>
            <w:hideMark/>
          </w:tcPr>
          <w:p w14:paraId="37CF7DFD"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2" w:type="dxa"/>
            <w:tcBorders>
              <w:top w:val="nil"/>
              <w:left w:val="nil"/>
              <w:bottom w:val="single" w:sz="8" w:space="0" w:color="002060"/>
              <w:right w:val="nil"/>
            </w:tcBorders>
            <w:shd w:val="clear" w:color="auto" w:fill="auto"/>
            <w:vAlign w:val="center"/>
            <w:hideMark/>
          </w:tcPr>
          <w:p w14:paraId="2E211779"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r>
      <w:tr w:rsidR="00766476" w:rsidRPr="000E0422" w14:paraId="1AC227D8" w14:textId="77777777" w:rsidTr="00905A9F">
        <w:trPr>
          <w:trHeight w:val="283"/>
        </w:trPr>
        <w:tc>
          <w:tcPr>
            <w:tcW w:w="3962" w:type="dxa"/>
            <w:tcBorders>
              <w:top w:val="nil"/>
              <w:left w:val="nil"/>
              <w:bottom w:val="nil"/>
              <w:right w:val="nil"/>
            </w:tcBorders>
            <w:shd w:val="clear" w:color="auto" w:fill="auto"/>
            <w:noWrap/>
            <w:vAlign w:val="center"/>
            <w:hideMark/>
          </w:tcPr>
          <w:p w14:paraId="590CF6AD"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БДП</w:t>
            </w:r>
          </w:p>
        </w:tc>
        <w:tc>
          <w:tcPr>
            <w:tcW w:w="769" w:type="dxa"/>
            <w:tcBorders>
              <w:top w:val="nil"/>
              <w:left w:val="nil"/>
              <w:bottom w:val="nil"/>
              <w:right w:val="nil"/>
            </w:tcBorders>
            <w:shd w:val="clear" w:color="auto" w:fill="auto"/>
            <w:noWrap/>
            <w:vAlign w:val="center"/>
            <w:hideMark/>
          </w:tcPr>
          <w:p w14:paraId="616021C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5,0</w:t>
            </w:r>
          </w:p>
        </w:tc>
        <w:tc>
          <w:tcPr>
            <w:tcW w:w="770" w:type="dxa"/>
            <w:tcBorders>
              <w:top w:val="nil"/>
              <w:left w:val="nil"/>
              <w:bottom w:val="nil"/>
              <w:right w:val="nil"/>
            </w:tcBorders>
            <w:shd w:val="clear" w:color="auto" w:fill="auto"/>
            <w:noWrap/>
            <w:vAlign w:val="center"/>
            <w:hideMark/>
          </w:tcPr>
          <w:p w14:paraId="3FFC2AA7"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4,3</w:t>
            </w:r>
          </w:p>
        </w:tc>
        <w:tc>
          <w:tcPr>
            <w:tcW w:w="772" w:type="dxa"/>
            <w:tcBorders>
              <w:top w:val="nil"/>
              <w:left w:val="nil"/>
              <w:bottom w:val="nil"/>
              <w:right w:val="nil"/>
            </w:tcBorders>
            <w:shd w:val="clear" w:color="auto" w:fill="auto"/>
            <w:noWrap/>
            <w:vAlign w:val="center"/>
            <w:hideMark/>
          </w:tcPr>
          <w:p w14:paraId="47FD2953"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2,4</w:t>
            </w:r>
          </w:p>
        </w:tc>
        <w:tc>
          <w:tcPr>
            <w:tcW w:w="770" w:type="dxa"/>
            <w:tcBorders>
              <w:top w:val="nil"/>
              <w:left w:val="single" w:sz="8" w:space="0" w:color="auto"/>
              <w:bottom w:val="nil"/>
              <w:right w:val="nil"/>
            </w:tcBorders>
            <w:shd w:val="clear" w:color="auto" w:fill="auto"/>
            <w:noWrap/>
            <w:vAlign w:val="center"/>
            <w:hideMark/>
          </w:tcPr>
          <w:p w14:paraId="56273B2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4,3</w:t>
            </w:r>
          </w:p>
        </w:tc>
        <w:tc>
          <w:tcPr>
            <w:tcW w:w="772" w:type="dxa"/>
            <w:tcBorders>
              <w:top w:val="nil"/>
              <w:left w:val="nil"/>
              <w:bottom w:val="nil"/>
              <w:right w:val="single" w:sz="8" w:space="0" w:color="auto"/>
            </w:tcBorders>
            <w:shd w:val="clear" w:color="auto" w:fill="auto"/>
            <w:vAlign w:val="center"/>
            <w:hideMark/>
          </w:tcPr>
          <w:p w14:paraId="3A1442FF"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4,4</w:t>
            </w:r>
          </w:p>
        </w:tc>
        <w:tc>
          <w:tcPr>
            <w:tcW w:w="770" w:type="dxa"/>
            <w:tcBorders>
              <w:top w:val="nil"/>
              <w:left w:val="nil"/>
              <w:bottom w:val="nil"/>
              <w:right w:val="nil"/>
            </w:tcBorders>
            <w:shd w:val="clear" w:color="auto" w:fill="auto"/>
            <w:noWrap/>
            <w:vAlign w:val="center"/>
            <w:hideMark/>
          </w:tcPr>
          <w:p w14:paraId="365AFA9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4,2</w:t>
            </w:r>
          </w:p>
        </w:tc>
        <w:tc>
          <w:tcPr>
            <w:tcW w:w="772" w:type="dxa"/>
            <w:tcBorders>
              <w:top w:val="nil"/>
              <w:left w:val="nil"/>
              <w:bottom w:val="nil"/>
              <w:right w:val="nil"/>
            </w:tcBorders>
            <w:shd w:val="clear" w:color="auto" w:fill="auto"/>
            <w:vAlign w:val="center"/>
            <w:hideMark/>
          </w:tcPr>
          <w:p w14:paraId="5B4C576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3,0</w:t>
            </w:r>
          </w:p>
        </w:tc>
      </w:tr>
      <w:tr w:rsidR="00766476" w:rsidRPr="000E0422" w14:paraId="691A6DB8" w14:textId="77777777" w:rsidTr="00905A9F">
        <w:trPr>
          <w:trHeight w:val="283"/>
        </w:trPr>
        <w:tc>
          <w:tcPr>
            <w:tcW w:w="3962" w:type="dxa"/>
            <w:tcBorders>
              <w:top w:val="nil"/>
              <w:left w:val="nil"/>
              <w:bottom w:val="nil"/>
              <w:right w:val="nil"/>
            </w:tcBorders>
            <w:shd w:val="clear" w:color="auto" w:fill="auto"/>
            <w:noWrap/>
            <w:vAlign w:val="center"/>
            <w:hideMark/>
          </w:tcPr>
          <w:p w14:paraId="257F5500"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Лична потрошња</w:t>
            </w:r>
          </w:p>
        </w:tc>
        <w:tc>
          <w:tcPr>
            <w:tcW w:w="769" w:type="dxa"/>
            <w:tcBorders>
              <w:top w:val="nil"/>
              <w:left w:val="nil"/>
              <w:bottom w:val="nil"/>
              <w:right w:val="nil"/>
            </w:tcBorders>
            <w:shd w:val="clear" w:color="auto" w:fill="auto"/>
            <w:noWrap/>
            <w:vAlign w:val="center"/>
            <w:hideMark/>
          </w:tcPr>
          <w:p w14:paraId="20EC981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3,2</w:t>
            </w:r>
          </w:p>
        </w:tc>
        <w:tc>
          <w:tcPr>
            <w:tcW w:w="770" w:type="dxa"/>
            <w:tcBorders>
              <w:top w:val="nil"/>
              <w:left w:val="nil"/>
              <w:bottom w:val="nil"/>
              <w:right w:val="nil"/>
            </w:tcBorders>
            <w:shd w:val="clear" w:color="auto" w:fill="auto"/>
            <w:noWrap/>
            <w:vAlign w:val="center"/>
            <w:hideMark/>
          </w:tcPr>
          <w:p w14:paraId="2F92D7C9"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5,5</w:t>
            </w:r>
          </w:p>
        </w:tc>
        <w:tc>
          <w:tcPr>
            <w:tcW w:w="772" w:type="dxa"/>
            <w:tcBorders>
              <w:top w:val="nil"/>
              <w:left w:val="nil"/>
              <w:bottom w:val="nil"/>
              <w:right w:val="nil"/>
            </w:tcBorders>
            <w:shd w:val="clear" w:color="auto" w:fill="auto"/>
            <w:noWrap/>
            <w:vAlign w:val="center"/>
            <w:hideMark/>
          </w:tcPr>
          <w:p w14:paraId="2F6D0D6B"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2,2</w:t>
            </w:r>
          </w:p>
        </w:tc>
        <w:tc>
          <w:tcPr>
            <w:tcW w:w="770" w:type="dxa"/>
            <w:tcBorders>
              <w:top w:val="nil"/>
              <w:left w:val="single" w:sz="8" w:space="0" w:color="auto"/>
              <w:bottom w:val="nil"/>
              <w:right w:val="nil"/>
            </w:tcBorders>
            <w:shd w:val="clear" w:color="auto" w:fill="auto"/>
            <w:noWrap/>
            <w:vAlign w:val="center"/>
            <w:hideMark/>
          </w:tcPr>
          <w:p w14:paraId="05A87BB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2,7</w:t>
            </w:r>
          </w:p>
        </w:tc>
        <w:tc>
          <w:tcPr>
            <w:tcW w:w="772" w:type="dxa"/>
            <w:tcBorders>
              <w:top w:val="nil"/>
              <w:left w:val="nil"/>
              <w:bottom w:val="nil"/>
              <w:right w:val="single" w:sz="8" w:space="0" w:color="auto"/>
            </w:tcBorders>
            <w:shd w:val="clear" w:color="auto" w:fill="auto"/>
            <w:vAlign w:val="center"/>
            <w:hideMark/>
          </w:tcPr>
          <w:p w14:paraId="2B9EFE0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6,0</w:t>
            </w:r>
          </w:p>
        </w:tc>
        <w:tc>
          <w:tcPr>
            <w:tcW w:w="770" w:type="dxa"/>
            <w:tcBorders>
              <w:top w:val="nil"/>
              <w:left w:val="nil"/>
              <w:bottom w:val="nil"/>
              <w:right w:val="nil"/>
            </w:tcBorders>
            <w:shd w:val="clear" w:color="auto" w:fill="auto"/>
            <w:noWrap/>
            <w:vAlign w:val="center"/>
            <w:hideMark/>
          </w:tcPr>
          <w:p w14:paraId="0D838D7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4,3</w:t>
            </w:r>
          </w:p>
        </w:tc>
        <w:tc>
          <w:tcPr>
            <w:tcW w:w="772" w:type="dxa"/>
            <w:tcBorders>
              <w:top w:val="nil"/>
              <w:left w:val="nil"/>
              <w:bottom w:val="nil"/>
              <w:right w:val="nil"/>
            </w:tcBorders>
            <w:shd w:val="clear" w:color="auto" w:fill="auto"/>
            <w:vAlign w:val="center"/>
            <w:hideMark/>
          </w:tcPr>
          <w:p w14:paraId="0AD6AF9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3,3</w:t>
            </w:r>
          </w:p>
        </w:tc>
      </w:tr>
      <w:tr w:rsidR="00766476" w:rsidRPr="000E0422" w14:paraId="00856998" w14:textId="77777777" w:rsidTr="00905A9F">
        <w:trPr>
          <w:trHeight w:val="283"/>
        </w:trPr>
        <w:tc>
          <w:tcPr>
            <w:tcW w:w="3962" w:type="dxa"/>
            <w:tcBorders>
              <w:top w:val="nil"/>
              <w:left w:val="nil"/>
              <w:bottom w:val="nil"/>
              <w:right w:val="nil"/>
            </w:tcBorders>
            <w:shd w:val="clear" w:color="auto" w:fill="auto"/>
            <w:noWrap/>
            <w:vAlign w:val="center"/>
            <w:hideMark/>
          </w:tcPr>
          <w:p w14:paraId="35F02B73"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Државна потрошња</w:t>
            </w:r>
          </w:p>
        </w:tc>
        <w:tc>
          <w:tcPr>
            <w:tcW w:w="769" w:type="dxa"/>
            <w:tcBorders>
              <w:top w:val="nil"/>
              <w:left w:val="nil"/>
              <w:bottom w:val="nil"/>
              <w:right w:val="nil"/>
            </w:tcBorders>
            <w:shd w:val="clear" w:color="auto" w:fill="auto"/>
            <w:noWrap/>
            <w:vAlign w:val="center"/>
            <w:hideMark/>
          </w:tcPr>
          <w:p w14:paraId="59BF9B1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3,6</w:t>
            </w:r>
          </w:p>
        </w:tc>
        <w:tc>
          <w:tcPr>
            <w:tcW w:w="770" w:type="dxa"/>
            <w:tcBorders>
              <w:top w:val="nil"/>
              <w:left w:val="nil"/>
              <w:bottom w:val="nil"/>
              <w:right w:val="nil"/>
            </w:tcBorders>
            <w:shd w:val="clear" w:color="auto" w:fill="auto"/>
            <w:noWrap/>
            <w:vAlign w:val="center"/>
            <w:hideMark/>
          </w:tcPr>
          <w:p w14:paraId="26ACAF2C"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0,9</w:t>
            </w:r>
          </w:p>
        </w:tc>
        <w:tc>
          <w:tcPr>
            <w:tcW w:w="772" w:type="dxa"/>
            <w:tcBorders>
              <w:top w:val="nil"/>
              <w:left w:val="nil"/>
              <w:bottom w:val="nil"/>
              <w:right w:val="nil"/>
            </w:tcBorders>
            <w:shd w:val="clear" w:color="auto" w:fill="auto"/>
            <w:noWrap/>
            <w:vAlign w:val="center"/>
            <w:hideMark/>
          </w:tcPr>
          <w:p w14:paraId="49C8F636"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0,8</w:t>
            </w:r>
          </w:p>
        </w:tc>
        <w:tc>
          <w:tcPr>
            <w:tcW w:w="770" w:type="dxa"/>
            <w:tcBorders>
              <w:top w:val="nil"/>
              <w:left w:val="single" w:sz="8" w:space="0" w:color="auto"/>
              <w:bottom w:val="nil"/>
              <w:right w:val="nil"/>
            </w:tcBorders>
            <w:shd w:val="clear" w:color="auto" w:fill="auto"/>
            <w:noWrap/>
            <w:vAlign w:val="center"/>
            <w:hideMark/>
          </w:tcPr>
          <w:p w14:paraId="3D9A5D8B"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3,8</w:t>
            </w:r>
          </w:p>
        </w:tc>
        <w:tc>
          <w:tcPr>
            <w:tcW w:w="772" w:type="dxa"/>
            <w:tcBorders>
              <w:top w:val="nil"/>
              <w:left w:val="nil"/>
              <w:bottom w:val="nil"/>
              <w:right w:val="single" w:sz="8" w:space="0" w:color="auto"/>
            </w:tcBorders>
            <w:shd w:val="clear" w:color="auto" w:fill="auto"/>
            <w:vAlign w:val="center"/>
            <w:hideMark/>
          </w:tcPr>
          <w:p w14:paraId="660374D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0,6</w:t>
            </w:r>
          </w:p>
        </w:tc>
        <w:tc>
          <w:tcPr>
            <w:tcW w:w="770" w:type="dxa"/>
            <w:tcBorders>
              <w:top w:val="nil"/>
              <w:left w:val="nil"/>
              <w:bottom w:val="nil"/>
              <w:right w:val="nil"/>
            </w:tcBorders>
            <w:shd w:val="clear" w:color="auto" w:fill="auto"/>
            <w:noWrap/>
            <w:vAlign w:val="center"/>
            <w:hideMark/>
          </w:tcPr>
          <w:p w14:paraId="2DA7142F"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2,3</w:t>
            </w:r>
          </w:p>
        </w:tc>
        <w:tc>
          <w:tcPr>
            <w:tcW w:w="772" w:type="dxa"/>
            <w:tcBorders>
              <w:top w:val="nil"/>
              <w:left w:val="nil"/>
              <w:bottom w:val="nil"/>
              <w:right w:val="nil"/>
            </w:tcBorders>
            <w:shd w:val="clear" w:color="auto" w:fill="auto"/>
            <w:vAlign w:val="center"/>
            <w:hideMark/>
          </w:tcPr>
          <w:p w14:paraId="7DBE170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w:t>
            </w:r>
          </w:p>
        </w:tc>
      </w:tr>
      <w:tr w:rsidR="00766476" w:rsidRPr="000E0422" w14:paraId="28A60441" w14:textId="77777777" w:rsidTr="00905A9F">
        <w:trPr>
          <w:trHeight w:val="283"/>
        </w:trPr>
        <w:tc>
          <w:tcPr>
            <w:tcW w:w="3962" w:type="dxa"/>
            <w:tcBorders>
              <w:top w:val="nil"/>
              <w:left w:val="nil"/>
              <w:bottom w:val="nil"/>
              <w:right w:val="nil"/>
            </w:tcBorders>
            <w:shd w:val="clear" w:color="auto" w:fill="auto"/>
            <w:noWrap/>
            <w:vAlign w:val="center"/>
            <w:hideMark/>
          </w:tcPr>
          <w:p w14:paraId="193092CF" w14:textId="77777777" w:rsidR="00766476" w:rsidRPr="000E0422" w:rsidRDefault="00766476" w:rsidP="005823F8">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Бруто инвестиције у основн</w:t>
            </w:r>
            <w:r w:rsidR="005823F8">
              <w:rPr>
                <w:rFonts w:eastAsia="Times New Roman" w:cs="Times New Roman"/>
                <w:color w:val="000000"/>
                <w:sz w:val="18"/>
                <w:szCs w:val="18"/>
                <w:lang w:val="sr-Cyrl-RS" w:eastAsia="en-GB"/>
              </w:rPr>
              <w:t>а</w:t>
            </w:r>
            <w:r w:rsidRPr="000E0422">
              <w:rPr>
                <w:rFonts w:eastAsia="Times New Roman" w:cs="Times New Roman"/>
                <w:color w:val="000000"/>
                <w:sz w:val="18"/>
                <w:szCs w:val="18"/>
                <w:lang w:val="sr-Cyrl-RS" w:eastAsia="en-GB"/>
              </w:rPr>
              <w:t xml:space="preserve"> </w:t>
            </w:r>
            <w:r w:rsidR="005823F8" w:rsidRPr="005823F8">
              <w:rPr>
                <w:rFonts w:eastAsia="Times New Roman" w:cs="Times New Roman"/>
                <w:color w:val="000000"/>
                <w:sz w:val="18"/>
                <w:szCs w:val="18"/>
                <w:lang w:val="sr-Cyrl-RS" w:eastAsia="en-GB"/>
              </w:rPr>
              <w:t>средства</w:t>
            </w:r>
          </w:p>
        </w:tc>
        <w:tc>
          <w:tcPr>
            <w:tcW w:w="769" w:type="dxa"/>
            <w:tcBorders>
              <w:top w:val="nil"/>
              <w:left w:val="nil"/>
              <w:bottom w:val="nil"/>
              <w:right w:val="nil"/>
            </w:tcBorders>
            <w:shd w:val="clear" w:color="auto" w:fill="auto"/>
            <w:noWrap/>
            <w:vAlign w:val="center"/>
            <w:hideMark/>
          </w:tcPr>
          <w:p w14:paraId="777CD79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5,2</w:t>
            </w:r>
          </w:p>
        </w:tc>
        <w:tc>
          <w:tcPr>
            <w:tcW w:w="770" w:type="dxa"/>
            <w:tcBorders>
              <w:top w:val="nil"/>
              <w:left w:val="nil"/>
              <w:bottom w:val="nil"/>
              <w:right w:val="nil"/>
            </w:tcBorders>
            <w:shd w:val="clear" w:color="auto" w:fill="auto"/>
            <w:noWrap/>
            <w:vAlign w:val="center"/>
            <w:hideMark/>
          </w:tcPr>
          <w:p w14:paraId="0B673FF1"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4,4</w:t>
            </w:r>
          </w:p>
        </w:tc>
        <w:tc>
          <w:tcPr>
            <w:tcW w:w="772" w:type="dxa"/>
            <w:tcBorders>
              <w:top w:val="nil"/>
              <w:left w:val="nil"/>
              <w:bottom w:val="nil"/>
              <w:right w:val="nil"/>
            </w:tcBorders>
            <w:shd w:val="clear" w:color="auto" w:fill="auto"/>
            <w:noWrap/>
            <w:vAlign w:val="center"/>
            <w:hideMark/>
          </w:tcPr>
          <w:p w14:paraId="130CC377"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3,9</w:t>
            </w:r>
          </w:p>
        </w:tc>
        <w:tc>
          <w:tcPr>
            <w:tcW w:w="770" w:type="dxa"/>
            <w:tcBorders>
              <w:top w:val="nil"/>
              <w:left w:val="single" w:sz="8" w:space="0" w:color="auto"/>
              <w:bottom w:val="nil"/>
              <w:right w:val="nil"/>
            </w:tcBorders>
            <w:shd w:val="clear" w:color="auto" w:fill="auto"/>
            <w:noWrap/>
            <w:vAlign w:val="center"/>
            <w:hideMark/>
          </w:tcPr>
          <w:p w14:paraId="6BB3679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6,7</w:t>
            </w:r>
          </w:p>
        </w:tc>
        <w:tc>
          <w:tcPr>
            <w:tcW w:w="772" w:type="dxa"/>
            <w:tcBorders>
              <w:top w:val="nil"/>
              <w:left w:val="nil"/>
              <w:bottom w:val="nil"/>
              <w:right w:val="single" w:sz="8" w:space="0" w:color="auto"/>
            </w:tcBorders>
            <w:shd w:val="clear" w:color="auto" w:fill="auto"/>
            <w:vAlign w:val="center"/>
            <w:hideMark/>
          </w:tcPr>
          <w:p w14:paraId="5C9946D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5,3</w:t>
            </w:r>
          </w:p>
        </w:tc>
        <w:tc>
          <w:tcPr>
            <w:tcW w:w="770" w:type="dxa"/>
            <w:tcBorders>
              <w:top w:val="nil"/>
              <w:left w:val="nil"/>
              <w:bottom w:val="nil"/>
              <w:right w:val="nil"/>
            </w:tcBorders>
            <w:shd w:val="clear" w:color="auto" w:fill="auto"/>
            <w:noWrap/>
            <w:vAlign w:val="center"/>
            <w:hideMark/>
          </w:tcPr>
          <w:p w14:paraId="7F3FC19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6,1</w:t>
            </w:r>
          </w:p>
        </w:tc>
        <w:tc>
          <w:tcPr>
            <w:tcW w:w="772" w:type="dxa"/>
            <w:tcBorders>
              <w:top w:val="nil"/>
              <w:left w:val="nil"/>
              <w:bottom w:val="nil"/>
              <w:right w:val="nil"/>
            </w:tcBorders>
            <w:shd w:val="clear" w:color="auto" w:fill="auto"/>
            <w:vAlign w:val="center"/>
            <w:hideMark/>
          </w:tcPr>
          <w:p w14:paraId="4BF2474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4,2</w:t>
            </w:r>
          </w:p>
        </w:tc>
      </w:tr>
      <w:tr w:rsidR="00766476" w:rsidRPr="000E0422" w14:paraId="18F1D994" w14:textId="77777777" w:rsidTr="00905A9F">
        <w:trPr>
          <w:trHeight w:val="283"/>
        </w:trPr>
        <w:tc>
          <w:tcPr>
            <w:tcW w:w="3962" w:type="dxa"/>
            <w:tcBorders>
              <w:top w:val="nil"/>
              <w:left w:val="nil"/>
              <w:bottom w:val="nil"/>
              <w:right w:val="nil"/>
            </w:tcBorders>
            <w:shd w:val="clear" w:color="auto" w:fill="auto"/>
            <w:noWrap/>
            <w:vAlign w:val="center"/>
            <w:hideMark/>
          </w:tcPr>
          <w:p w14:paraId="03FDFCB2"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Извоз</w:t>
            </w:r>
          </w:p>
        </w:tc>
        <w:tc>
          <w:tcPr>
            <w:tcW w:w="769" w:type="dxa"/>
            <w:tcBorders>
              <w:top w:val="nil"/>
              <w:left w:val="nil"/>
              <w:bottom w:val="nil"/>
              <w:right w:val="nil"/>
            </w:tcBorders>
            <w:shd w:val="clear" w:color="auto" w:fill="auto"/>
            <w:noWrap/>
            <w:vAlign w:val="center"/>
            <w:hideMark/>
          </w:tcPr>
          <w:p w14:paraId="41D3EC4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9,7</w:t>
            </w:r>
          </w:p>
        </w:tc>
        <w:tc>
          <w:tcPr>
            <w:tcW w:w="770" w:type="dxa"/>
            <w:tcBorders>
              <w:top w:val="nil"/>
              <w:left w:val="nil"/>
              <w:bottom w:val="nil"/>
              <w:right w:val="nil"/>
            </w:tcBorders>
            <w:shd w:val="clear" w:color="auto" w:fill="auto"/>
            <w:noWrap/>
            <w:vAlign w:val="center"/>
            <w:hideMark/>
          </w:tcPr>
          <w:p w14:paraId="7A1CB27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7,3</w:t>
            </w:r>
          </w:p>
        </w:tc>
        <w:tc>
          <w:tcPr>
            <w:tcW w:w="772" w:type="dxa"/>
            <w:tcBorders>
              <w:top w:val="nil"/>
              <w:left w:val="nil"/>
              <w:bottom w:val="nil"/>
              <w:right w:val="nil"/>
            </w:tcBorders>
            <w:shd w:val="clear" w:color="auto" w:fill="auto"/>
            <w:noWrap/>
            <w:vAlign w:val="center"/>
            <w:hideMark/>
          </w:tcPr>
          <w:p w14:paraId="39F85CEC"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5,2</w:t>
            </w:r>
          </w:p>
        </w:tc>
        <w:tc>
          <w:tcPr>
            <w:tcW w:w="770" w:type="dxa"/>
            <w:tcBorders>
              <w:top w:val="nil"/>
              <w:left w:val="single" w:sz="8" w:space="0" w:color="auto"/>
              <w:bottom w:val="nil"/>
              <w:right w:val="nil"/>
            </w:tcBorders>
            <w:shd w:val="clear" w:color="auto" w:fill="auto"/>
            <w:noWrap/>
            <w:vAlign w:val="center"/>
            <w:hideMark/>
          </w:tcPr>
          <w:p w14:paraId="081198C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8,7</w:t>
            </w:r>
          </w:p>
        </w:tc>
        <w:tc>
          <w:tcPr>
            <w:tcW w:w="772" w:type="dxa"/>
            <w:tcBorders>
              <w:top w:val="nil"/>
              <w:left w:val="nil"/>
              <w:bottom w:val="nil"/>
              <w:right w:val="single" w:sz="8" w:space="0" w:color="auto"/>
            </w:tcBorders>
            <w:shd w:val="clear" w:color="auto" w:fill="auto"/>
            <w:vAlign w:val="center"/>
            <w:hideMark/>
          </w:tcPr>
          <w:p w14:paraId="261F22B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6,5</w:t>
            </w:r>
          </w:p>
        </w:tc>
        <w:tc>
          <w:tcPr>
            <w:tcW w:w="770" w:type="dxa"/>
            <w:tcBorders>
              <w:top w:val="nil"/>
              <w:left w:val="nil"/>
              <w:bottom w:val="nil"/>
              <w:right w:val="nil"/>
            </w:tcBorders>
            <w:shd w:val="clear" w:color="auto" w:fill="auto"/>
            <w:noWrap/>
            <w:vAlign w:val="center"/>
            <w:hideMark/>
          </w:tcPr>
          <w:p w14:paraId="1382F20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6,2</w:t>
            </w:r>
          </w:p>
        </w:tc>
        <w:tc>
          <w:tcPr>
            <w:tcW w:w="772" w:type="dxa"/>
            <w:tcBorders>
              <w:top w:val="nil"/>
              <w:left w:val="nil"/>
              <w:bottom w:val="nil"/>
              <w:right w:val="nil"/>
            </w:tcBorders>
            <w:shd w:val="clear" w:color="auto" w:fill="auto"/>
            <w:vAlign w:val="center"/>
            <w:hideMark/>
          </w:tcPr>
          <w:p w14:paraId="218C284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14:paraId="3C3F9D50" w14:textId="77777777" w:rsidTr="00905A9F">
        <w:trPr>
          <w:trHeight w:val="283"/>
        </w:trPr>
        <w:tc>
          <w:tcPr>
            <w:tcW w:w="3962" w:type="dxa"/>
            <w:tcBorders>
              <w:top w:val="nil"/>
              <w:left w:val="nil"/>
              <w:bottom w:val="nil"/>
              <w:right w:val="nil"/>
            </w:tcBorders>
            <w:shd w:val="clear" w:color="auto" w:fill="auto"/>
            <w:noWrap/>
            <w:vAlign w:val="center"/>
            <w:hideMark/>
          </w:tcPr>
          <w:p w14:paraId="1134B592"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Увоз</w:t>
            </w:r>
          </w:p>
        </w:tc>
        <w:tc>
          <w:tcPr>
            <w:tcW w:w="769" w:type="dxa"/>
            <w:tcBorders>
              <w:top w:val="nil"/>
              <w:left w:val="nil"/>
              <w:bottom w:val="nil"/>
              <w:right w:val="nil"/>
            </w:tcBorders>
            <w:shd w:val="clear" w:color="auto" w:fill="auto"/>
            <w:noWrap/>
            <w:vAlign w:val="center"/>
            <w:hideMark/>
          </w:tcPr>
          <w:p w14:paraId="2E265B5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8,2</w:t>
            </w:r>
          </w:p>
        </w:tc>
        <w:tc>
          <w:tcPr>
            <w:tcW w:w="770" w:type="dxa"/>
            <w:tcBorders>
              <w:top w:val="nil"/>
              <w:left w:val="nil"/>
              <w:bottom w:val="nil"/>
              <w:right w:val="nil"/>
            </w:tcBorders>
            <w:shd w:val="clear" w:color="auto" w:fill="auto"/>
            <w:noWrap/>
            <w:vAlign w:val="center"/>
            <w:hideMark/>
          </w:tcPr>
          <w:p w14:paraId="108BB08A"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7,2</w:t>
            </w:r>
          </w:p>
        </w:tc>
        <w:tc>
          <w:tcPr>
            <w:tcW w:w="772" w:type="dxa"/>
            <w:tcBorders>
              <w:top w:val="nil"/>
              <w:left w:val="nil"/>
              <w:bottom w:val="nil"/>
              <w:right w:val="nil"/>
            </w:tcBorders>
            <w:shd w:val="clear" w:color="auto" w:fill="auto"/>
            <w:noWrap/>
            <w:vAlign w:val="center"/>
            <w:hideMark/>
          </w:tcPr>
          <w:p w14:paraId="5A0068FC"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5,1</w:t>
            </w:r>
          </w:p>
        </w:tc>
        <w:tc>
          <w:tcPr>
            <w:tcW w:w="770" w:type="dxa"/>
            <w:tcBorders>
              <w:top w:val="nil"/>
              <w:left w:val="single" w:sz="8" w:space="0" w:color="auto"/>
              <w:bottom w:val="nil"/>
              <w:right w:val="nil"/>
            </w:tcBorders>
            <w:shd w:val="clear" w:color="auto" w:fill="auto"/>
            <w:noWrap/>
            <w:vAlign w:val="center"/>
            <w:hideMark/>
          </w:tcPr>
          <w:p w14:paraId="5CC876FE"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8,0</w:t>
            </w:r>
          </w:p>
        </w:tc>
        <w:tc>
          <w:tcPr>
            <w:tcW w:w="772" w:type="dxa"/>
            <w:tcBorders>
              <w:top w:val="nil"/>
              <w:left w:val="nil"/>
              <w:bottom w:val="nil"/>
              <w:right w:val="single" w:sz="8" w:space="0" w:color="auto"/>
            </w:tcBorders>
            <w:shd w:val="clear" w:color="auto" w:fill="auto"/>
            <w:vAlign w:val="center"/>
            <w:hideMark/>
          </w:tcPr>
          <w:p w14:paraId="1189DA4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6,9</w:t>
            </w:r>
          </w:p>
        </w:tc>
        <w:tc>
          <w:tcPr>
            <w:tcW w:w="770" w:type="dxa"/>
            <w:tcBorders>
              <w:top w:val="nil"/>
              <w:left w:val="nil"/>
              <w:bottom w:val="nil"/>
              <w:right w:val="nil"/>
            </w:tcBorders>
            <w:shd w:val="clear" w:color="auto" w:fill="auto"/>
            <w:noWrap/>
            <w:vAlign w:val="center"/>
            <w:hideMark/>
          </w:tcPr>
          <w:p w14:paraId="708672E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6,0</w:t>
            </w:r>
          </w:p>
        </w:tc>
        <w:tc>
          <w:tcPr>
            <w:tcW w:w="772" w:type="dxa"/>
            <w:tcBorders>
              <w:top w:val="nil"/>
              <w:left w:val="nil"/>
              <w:bottom w:val="nil"/>
              <w:right w:val="nil"/>
            </w:tcBorders>
            <w:shd w:val="clear" w:color="auto" w:fill="auto"/>
            <w:vAlign w:val="center"/>
            <w:hideMark/>
          </w:tcPr>
          <w:p w14:paraId="70F32E2E"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14:paraId="2F11916B" w14:textId="77777777" w:rsidTr="00905A9F">
        <w:trPr>
          <w:trHeight w:val="283"/>
        </w:trPr>
        <w:tc>
          <w:tcPr>
            <w:tcW w:w="3962" w:type="dxa"/>
            <w:tcBorders>
              <w:top w:val="nil"/>
              <w:left w:val="nil"/>
              <w:bottom w:val="nil"/>
              <w:right w:val="nil"/>
            </w:tcBorders>
            <w:shd w:val="clear" w:color="auto" w:fill="auto"/>
            <w:noWrap/>
            <w:vAlign w:val="center"/>
            <w:hideMark/>
          </w:tcPr>
          <w:p w14:paraId="6F82D09D"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Запосленост</w:t>
            </w:r>
          </w:p>
        </w:tc>
        <w:tc>
          <w:tcPr>
            <w:tcW w:w="769" w:type="dxa"/>
            <w:tcBorders>
              <w:top w:val="nil"/>
              <w:left w:val="nil"/>
              <w:bottom w:val="nil"/>
              <w:right w:val="nil"/>
            </w:tcBorders>
            <w:shd w:val="clear" w:color="auto" w:fill="auto"/>
            <w:noWrap/>
            <w:vAlign w:val="center"/>
            <w:hideMark/>
          </w:tcPr>
          <w:p w14:paraId="088A0CF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0,8</w:t>
            </w:r>
          </w:p>
        </w:tc>
        <w:tc>
          <w:tcPr>
            <w:tcW w:w="770" w:type="dxa"/>
            <w:tcBorders>
              <w:top w:val="nil"/>
              <w:left w:val="nil"/>
              <w:bottom w:val="nil"/>
              <w:right w:val="nil"/>
            </w:tcBorders>
            <w:shd w:val="clear" w:color="auto" w:fill="auto"/>
            <w:noWrap/>
            <w:vAlign w:val="center"/>
            <w:hideMark/>
          </w:tcPr>
          <w:p w14:paraId="332082B3"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1,0</w:t>
            </w:r>
          </w:p>
        </w:tc>
        <w:tc>
          <w:tcPr>
            <w:tcW w:w="772" w:type="dxa"/>
            <w:tcBorders>
              <w:top w:val="nil"/>
              <w:left w:val="nil"/>
              <w:bottom w:val="nil"/>
              <w:right w:val="nil"/>
            </w:tcBorders>
            <w:shd w:val="clear" w:color="auto" w:fill="auto"/>
            <w:noWrap/>
            <w:vAlign w:val="center"/>
            <w:hideMark/>
          </w:tcPr>
          <w:p w14:paraId="0142E97E"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0,7</w:t>
            </w:r>
          </w:p>
        </w:tc>
        <w:tc>
          <w:tcPr>
            <w:tcW w:w="770" w:type="dxa"/>
            <w:tcBorders>
              <w:top w:val="nil"/>
              <w:left w:val="single" w:sz="8" w:space="0" w:color="auto"/>
              <w:bottom w:val="nil"/>
              <w:right w:val="nil"/>
            </w:tcBorders>
            <w:shd w:val="clear" w:color="auto" w:fill="auto"/>
            <w:noWrap/>
            <w:vAlign w:val="center"/>
            <w:hideMark/>
          </w:tcPr>
          <w:p w14:paraId="7F043FC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0,0</w:t>
            </w:r>
          </w:p>
        </w:tc>
        <w:tc>
          <w:tcPr>
            <w:tcW w:w="772" w:type="dxa"/>
            <w:tcBorders>
              <w:top w:val="nil"/>
              <w:left w:val="nil"/>
              <w:bottom w:val="nil"/>
              <w:right w:val="single" w:sz="8" w:space="0" w:color="auto"/>
            </w:tcBorders>
            <w:shd w:val="clear" w:color="auto" w:fill="auto"/>
            <w:vAlign w:val="center"/>
            <w:hideMark/>
          </w:tcPr>
          <w:p w14:paraId="6110315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1,2</w:t>
            </w:r>
          </w:p>
        </w:tc>
        <w:tc>
          <w:tcPr>
            <w:tcW w:w="770" w:type="dxa"/>
            <w:tcBorders>
              <w:top w:val="nil"/>
              <w:left w:val="nil"/>
              <w:bottom w:val="nil"/>
              <w:right w:val="nil"/>
            </w:tcBorders>
            <w:shd w:val="clear" w:color="auto" w:fill="auto"/>
            <w:noWrap/>
            <w:vAlign w:val="center"/>
            <w:hideMark/>
          </w:tcPr>
          <w:p w14:paraId="4542309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2,5</w:t>
            </w:r>
          </w:p>
        </w:tc>
        <w:tc>
          <w:tcPr>
            <w:tcW w:w="772" w:type="dxa"/>
            <w:tcBorders>
              <w:top w:val="nil"/>
              <w:left w:val="nil"/>
              <w:bottom w:val="nil"/>
              <w:right w:val="nil"/>
            </w:tcBorders>
            <w:shd w:val="clear" w:color="auto" w:fill="auto"/>
            <w:vAlign w:val="center"/>
            <w:hideMark/>
          </w:tcPr>
          <w:p w14:paraId="174E39F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1,6</w:t>
            </w:r>
          </w:p>
        </w:tc>
      </w:tr>
      <w:tr w:rsidR="00766476" w:rsidRPr="000E0422" w14:paraId="38E7F6C3" w14:textId="77777777" w:rsidTr="00905A9F">
        <w:trPr>
          <w:trHeight w:val="283"/>
        </w:trPr>
        <w:tc>
          <w:tcPr>
            <w:tcW w:w="3962" w:type="dxa"/>
            <w:tcBorders>
              <w:top w:val="nil"/>
              <w:left w:val="nil"/>
              <w:bottom w:val="nil"/>
              <w:right w:val="nil"/>
            </w:tcBorders>
            <w:shd w:val="clear" w:color="auto" w:fill="auto"/>
            <w:noWrap/>
            <w:vAlign w:val="center"/>
            <w:hideMark/>
          </w:tcPr>
          <w:p w14:paraId="5004788E"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Стопа незапослености, проценат радне снаге</w:t>
            </w:r>
          </w:p>
        </w:tc>
        <w:tc>
          <w:tcPr>
            <w:tcW w:w="769" w:type="dxa"/>
            <w:tcBorders>
              <w:top w:val="nil"/>
              <w:left w:val="nil"/>
              <w:bottom w:val="nil"/>
              <w:right w:val="nil"/>
            </w:tcBorders>
            <w:shd w:val="clear" w:color="auto" w:fill="auto"/>
            <w:noWrap/>
            <w:vAlign w:val="center"/>
            <w:hideMark/>
          </w:tcPr>
          <w:p w14:paraId="5691D2C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7,9</w:t>
            </w:r>
          </w:p>
        </w:tc>
        <w:tc>
          <w:tcPr>
            <w:tcW w:w="770" w:type="dxa"/>
            <w:tcBorders>
              <w:top w:val="nil"/>
              <w:left w:val="nil"/>
              <w:bottom w:val="nil"/>
              <w:right w:val="nil"/>
            </w:tcBorders>
            <w:shd w:val="clear" w:color="auto" w:fill="auto"/>
            <w:noWrap/>
            <w:vAlign w:val="center"/>
            <w:hideMark/>
          </w:tcPr>
          <w:p w14:paraId="334EF08F"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7,5</w:t>
            </w:r>
          </w:p>
        </w:tc>
        <w:tc>
          <w:tcPr>
            <w:tcW w:w="772" w:type="dxa"/>
            <w:tcBorders>
              <w:top w:val="nil"/>
              <w:left w:val="nil"/>
              <w:bottom w:val="nil"/>
              <w:right w:val="nil"/>
            </w:tcBorders>
            <w:shd w:val="clear" w:color="auto" w:fill="auto"/>
            <w:noWrap/>
            <w:vAlign w:val="center"/>
            <w:hideMark/>
          </w:tcPr>
          <w:p w14:paraId="766F6B7F"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7,3</w:t>
            </w:r>
          </w:p>
        </w:tc>
        <w:tc>
          <w:tcPr>
            <w:tcW w:w="770" w:type="dxa"/>
            <w:tcBorders>
              <w:top w:val="nil"/>
              <w:left w:val="single" w:sz="8" w:space="0" w:color="auto"/>
              <w:bottom w:val="nil"/>
              <w:right w:val="nil"/>
            </w:tcBorders>
            <w:shd w:val="clear" w:color="auto" w:fill="auto"/>
            <w:noWrap/>
            <w:vAlign w:val="center"/>
            <w:hideMark/>
          </w:tcPr>
          <w:p w14:paraId="2B7BE74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8,4</w:t>
            </w:r>
          </w:p>
        </w:tc>
        <w:tc>
          <w:tcPr>
            <w:tcW w:w="772" w:type="dxa"/>
            <w:tcBorders>
              <w:top w:val="nil"/>
              <w:left w:val="nil"/>
              <w:bottom w:val="nil"/>
              <w:right w:val="single" w:sz="8" w:space="0" w:color="auto"/>
            </w:tcBorders>
            <w:shd w:val="clear" w:color="auto" w:fill="auto"/>
            <w:vAlign w:val="center"/>
            <w:hideMark/>
          </w:tcPr>
          <w:p w14:paraId="4B63E68E"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7,8</w:t>
            </w:r>
          </w:p>
        </w:tc>
        <w:tc>
          <w:tcPr>
            <w:tcW w:w="770" w:type="dxa"/>
            <w:tcBorders>
              <w:top w:val="nil"/>
              <w:left w:val="nil"/>
              <w:bottom w:val="nil"/>
              <w:right w:val="nil"/>
            </w:tcBorders>
            <w:shd w:val="clear" w:color="auto" w:fill="auto"/>
            <w:noWrap/>
            <w:vAlign w:val="center"/>
            <w:hideMark/>
          </w:tcPr>
          <w:p w14:paraId="5290C10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9,4</w:t>
            </w:r>
          </w:p>
        </w:tc>
        <w:tc>
          <w:tcPr>
            <w:tcW w:w="772" w:type="dxa"/>
            <w:tcBorders>
              <w:top w:val="nil"/>
              <w:left w:val="nil"/>
              <w:bottom w:val="nil"/>
              <w:right w:val="nil"/>
            </w:tcBorders>
            <w:shd w:val="clear" w:color="auto" w:fill="auto"/>
            <w:vAlign w:val="center"/>
            <w:hideMark/>
          </w:tcPr>
          <w:p w14:paraId="164A3BE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8,9</w:t>
            </w:r>
          </w:p>
        </w:tc>
      </w:tr>
      <w:tr w:rsidR="00766476" w:rsidRPr="000E0422" w14:paraId="47A3BA88" w14:textId="77777777" w:rsidTr="00905A9F">
        <w:trPr>
          <w:trHeight w:val="283"/>
        </w:trPr>
        <w:tc>
          <w:tcPr>
            <w:tcW w:w="3962" w:type="dxa"/>
            <w:tcBorders>
              <w:top w:val="nil"/>
              <w:left w:val="nil"/>
              <w:bottom w:val="nil"/>
              <w:right w:val="nil"/>
            </w:tcBorders>
            <w:shd w:val="clear" w:color="auto" w:fill="auto"/>
            <w:noWrap/>
            <w:vAlign w:val="center"/>
            <w:hideMark/>
          </w:tcPr>
          <w:p w14:paraId="35F27061"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Инфлација</w:t>
            </w:r>
          </w:p>
        </w:tc>
        <w:tc>
          <w:tcPr>
            <w:tcW w:w="769" w:type="dxa"/>
            <w:tcBorders>
              <w:top w:val="nil"/>
              <w:left w:val="nil"/>
              <w:bottom w:val="nil"/>
              <w:right w:val="nil"/>
            </w:tcBorders>
            <w:shd w:val="clear" w:color="auto" w:fill="auto"/>
            <w:noWrap/>
            <w:vAlign w:val="center"/>
            <w:hideMark/>
          </w:tcPr>
          <w:p w14:paraId="30CE156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2,4</w:t>
            </w:r>
          </w:p>
        </w:tc>
        <w:tc>
          <w:tcPr>
            <w:tcW w:w="770" w:type="dxa"/>
            <w:tcBorders>
              <w:top w:val="nil"/>
              <w:left w:val="nil"/>
              <w:bottom w:val="nil"/>
              <w:right w:val="nil"/>
            </w:tcBorders>
            <w:shd w:val="clear" w:color="auto" w:fill="auto"/>
            <w:noWrap/>
            <w:vAlign w:val="center"/>
            <w:hideMark/>
          </w:tcPr>
          <w:p w14:paraId="6D17D3E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2,2</w:t>
            </w:r>
          </w:p>
        </w:tc>
        <w:tc>
          <w:tcPr>
            <w:tcW w:w="772" w:type="dxa"/>
            <w:tcBorders>
              <w:top w:val="nil"/>
              <w:left w:val="nil"/>
              <w:bottom w:val="nil"/>
              <w:right w:val="nil"/>
            </w:tcBorders>
            <w:shd w:val="clear" w:color="auto" w:fill="auto"/>
            <w:noWrap/>
            <w:vAlign w:val="center"/>
            <w:hideMark/>
          </w:tcPr>
          <w:p w14:paraId="462A1E30"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1,4</w:t>
            </w:r>
          </w:p>
        </w:tc>
        <w:tc>
          <w:tcPr>
            <w:tcW w:w="770" w:type="dxa"/>
            <w:tcBorders>
              <w:top w:val="nil"/>
              <w:left w:val="single" w:sz="8" w:space="0" w:color="auto"/>
              <w:bottom w:val="nil"/>
              <w:right w:val="nil"/>
            </w:tcBorders>
            <w:shd w:val="clear" w:color="auto" w:fill="auto"/>
            <w:noWrap/>
            <w:vAlign w:val="center"/>
            <w:hideMark/>
          </w:tcPr>
          <w:p w14:paraId="58D4F14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1,7</w:t>
            </w:r>
          </w:p>
        </w:tc>
        <w:tc>
          <w:tcPr>
            <w:tcW w:w="772" w:type="dxa"/>
            <w:tcBorders>
              <w:top w:val="nil"/>
              <w:left w:val="nil"/>
              <w:bottom w:val="nil"/>
              <w:right w:val="single" w:sz="8" w:space="0" w:color="auto"/>
            </w:tcBorders>
            <w:shd w:val="clear" w:color="auto" w:fill="auto"/>
            <w:vAlign w:val="center"/>
            <w:hideMark/>
          </w:tcPr>
          <w:p w14:paraId="7C39027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1,3</w:t>
            </w:r>
          </w:p>
        </w:tc>
        <w:tc>
          <w:tcPr>
            <w:tcW w:w="770" w:type="dxa"/>
            <w:tcBorders>
              <w:top w:val="nil"/>
              <w:left w:val="nil"/>
              <w:bottom w:val="nil"/>
              <w:right w:val="nil"/>
            </w:tcBorders>
            <w:shd w:val="clear" w:color="auto" w:fill="auto"/>
            <w:noWrap/>
            <w:vAlign w:val="center"/>
            <w:hideMark/>
          </w:tcPr>
          <w:p w14:paraId="3220689F"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1,1</w:t>
            </w:r>
          </w:p>
        </w:tc>
        <w:tc>
          <w:tcPr>
            <w:tcW w:w="772" w:type="dxa"/>
            <w:tcBorders>
              <w:top w:val="nil"/>
              <w:left w:val="nil"/>
              <w:bottom w:val="nil"/>
              <w:right w:val="nil"/>
            </w:tcBorders>
            <w:shd w:val="clear" w:color="auto" w:fill="auto"/>
            <w:vAlign w:val="center"/>
            <w:hideMark/>
          </w:tcPr>
          <w:p w14:paraId="205A6A1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1,3</w:t>
            </w:r>
          </w:p>
        </w:tc>
      </w:tr>
      <w:tr w:rsidR="00766476" w:rsidRPr="000E0422" w14:paraId="4A14AA5D" w14:textId="77777777" w:rsidTr="00905A9F">
        <w:trPr>
          <w:trHeight w:val="283"/>
        </w:trPr>
        <w:tc>
          <w:tcPr>
            <w:tcW w:w="3962" w:type="dxa"/>
            <w:tcBorders>
              <w:top w:val="nil"/>
              <w:left w:val="nil"/>
              <w:bottom w:val="nil"/>
              <w:right w:val="nil"/>
            </w:tcBorders>
            <w:shd w:val="clear" w:color="auto" w:fill="auto"/>
            <w:noWrap/>
            <w:vAlign w:val="center"/>
            <w:hideMark/>
          </w:tcPr>
          <w:p w14:paraId="6F37E1A0"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Јединични трошкови рада</w:t>
            </w:r>
          </w:p>
        </w:tc>
        <w:tc>
          <w:tcPr>
            <w:tcW w:w="769" w:type="dxa"/>
            <w:tcBorders>
              <w:top w:val="nil"/>
              <w:left w:val="nil"/>
              <w:bottom w:val="nil"/>
              <w:right w:val="nil"/>
            </w:tcBorders>
            <w:shd w:val="clear" w:color="auto" w:fill="auto"/>
            <w:noWrap/>
            <w:vAlign w:val="center"/>
            <w:hideMark/>
          </w:tcPr>
          <w:p w14:paraId="4DD7986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-0,4</w:t>
            </w:r>
          </w:p>
        </w:tc>
        <w:tc>
          <w:tcPr>
            <w:tcW w:w="770" w:type="dxa"/>
            <w:tcBorders>
              <w:top w:val="nil"/>
              <w:left w:val="nil"/>
              <w:bottom w:val="nil"/>
              <w:right w:val="nil"/>
            </w:tcBorders>
            <w:shd w:val="clear" w:color="auto" w:fill="auto"/>
            <w:noWrap/>
            <w:vAlign w:val="center"/>
            <w:hideMark/>
          </w:tcPr>
          <w:p w14:paraId="62FDB8BF"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0,2</w:t>
            </w:r>
          </w:p>
        </w:tc>
        <w:tc>
          <w:tcPr>
            <w:tcW w:w="772" w:type="dxa"/>
            <w:tcBorders>
              <w:top w:val="nil"/>
              <w:left w:val="nil"/>
              <w:bottom w:val="nil"/>
              <w:right w:val="nil"/>
            </w:tcBorders>
            <w:shd w:val="clear" w:color="auto" w:fill="auto"/>
            <w:noWrap/>
            <w:vAlign w:val="center"/>
            <w:hideMark/>
          </w:tcPr>
          <w:p w14:paraId="3AA56CBA"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1,0</w:t>
            </w:r>
          </w:p>
        </w:tc>
        <w:tc>
          <w:tcPr>
            <w:tcW w:w="770" w:type="dxa"/>
            <w:tcBorders>
              <w:top w:val="nil"/>
              <w:left w:val="single" w:sz="8" w:space="0" w:color="auto"/>
              <w:bottom w:val="nil"/>
              <w:right w:val="nil"/>
            </w:tcBorders>
            <w:shd w:val="clear" w:color="auto" w:fill="auto"/>
            <w:noWrap/>
            <w:vAlign w:val="center"/>
            <w:hideMark/>
          </w:tcPr>
          <w:p w14:paraId="7748E04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-0,7</w:t>
            </w:r>
          </w:p>
        </w:tc>
        <w:tc>
          <w:tcPr>
            <w:tcW w:w="772" w:type="dxa"/>
            <w:tcBorders>
              <w:top w:val="nil"/>
              <w:left w:val="nil"/>
              <w:bottom w:val="nil"/>
              <w:right w:val="single" w:sz="8" w:space="0" w:color="auto"/>
            </w:tcBorders>
            <w:shd w:val="clear" w:color="auto" w:fill="auto"/>
            <w:vAlign w:val="center"/>
            <w:hideMark/>
          </w:tcPr>
          <w:p w14:paraId="41D0F349"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-0,6</w:t>
            </w:r>
          </w:p>
        </w:tc>
        <w:tc>
          <w:tcPr>
            <w:tcW w:w="770" w:type="dxa"/>
            <w:tcBorders>
              <w:top w:val="nil"/>
              <w:left w:val="nil"/>
              <w:bottom w:val="nil"/>
              <w:right w:val="nil"/>
            </w:tcBorders>
            <w:shd w:val="clear" w:color="auto" w:fill="auto"/>
            <w:noWrap/>
            <w:vAlign w:val="center"/>
            <w:hideMark/>
          </w:tcPr>
          <w:p w14:paraId="08121C2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-0,5</w:t>
            </w:r>
          </w:p>
        </w:tc>
        <w:tc>
          <w:tcPr>
            <w:tcW w:w="772" w:type="dxa"/>
            <w:tcBorders>
              <w:top w:val="nil"/>
              <w:left w:val="nil"/>
              <w:bottom w:val="nil"/>
              <w:right w:val="nil"/>
            </w:tcBorders>
            <w:shd w:val="clear" w:color="auto" w:fill="auto"/>
            <w:vAlign w:val="center"/>
            <w:hideMark/>
          </w:tcPr>
          <w:p w14:paraId="39CEB579"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0,0</w:t>
            </w:r>
          </w:p>
        </w:tc>
      </w:tr>
      <w:tr w:rsidR="00766476" w:rsidRPr="000E0422" w14:paraId="5D85FEB4" w14:textId="77777777" w:rsidTr="00905A9F">
        <w:trPr>
          <w:trHeight w:val="283"/>
        </w:trPr>
        <w:tc>
          <w:tcPr>
            <w:tcW w:w="3962" w:type="dxa"/>
            <w:tcBorders>
              <w:top w:val="nil"/>
              <w:left w:val="nil"/>
              <w:bottom w:val="nil"/>
              <w:right w:val="nil"/>
            </w:tcBorders>
            <w:shd w:val="clear" w:color="auto" w:fill="auto"/>
            <w:noWrap/>
            <w:vAlign w:val="center"/>
            <w:hideMark/>
          </w:tcPr>
          <w:p w14:paraId="15D88F99"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Фискални резултат опште државе, % БДП</w:t>
            </w:r>
          </w:p>
        </w:tc>
        <w:tc>
          <w:tcPr>
            <w:tcW w:w="769" w:type="dxa"/>
            <w:tcBorders>
              <w:top w:val="nil"/>
              <w:left w:val="nil"/>
              <w:bottom w:val="nil"/>
              <w:right w:val="nil"/>
            </w:tcBorders>
            <w:shd w:val="clear" w:color="auto" w:fill="auto"/>
            <w:noWrap/>
            <w:vAlign w:val="center"/>
            <w:hideMark/>
          </w:tcPr>
          <w:p w14:paraId="3009A3F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-7,1</w:t>
            </w:r>
          </w:p>
        </w:tc>
        <w:tc>
          <w:tcPr>
            <w:tcW w:w="770" w:type="dxa"/>
            <w:tcBorders>
              <w:top w:val="nil"/>
              <w:left w:val="nil"/>
              <w:bottom w:val="nil"/>
              <w:right w:val="nil"/>
            </w:tcBorders>
            <w:shd w:val="clear" w:color="auto" w:fill="auto"/>
            <w:noWrap/>
            <w:vAlign w:val="center"/>
            <w:hideMark/>
          </w:tcPr>
          <w:p w14:paraId="7CE339B3"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-3,9</w:t>
            </w:r>
          </w:p>
        </w:tc>
        <w:tc>
          <w:tcPr>
            <w:tcW w:w="772" w:type="dxa"/>
            <w:tcBorders>
              <w:top w:val="nil"/>
              <w:left w:val="nil"/>
              <w:bottom w:val="nil"/>
              <w:right w:val="nil"/>
            </w:tcBorders>
            <w:shd w:val="clear" w:color="auto" w:fill="auto"/>
            <w:noWrap/>
            <w:vAlign w:val="center"/>
            <w:hideMark/>
          </w:tcPr>
          <w:p w14:paraId="34299079"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-2,4</w:t>
            </w:r>
          </w:p>
        </w:tc>
        <w:tc>
          <w:tcPr>
            <w:tcW w:w="770" w:type="dxa"/>
            <w:tcBorders>
              <w:top w:val="nil"/>
              <w:left w:val="single" w:sz="8" w:space="0" w:color="auto"/>
              <w:bottom w:val="nil"/>
              <w:right w:val="nil"/>
            </w:tcBorders>
            <w:shd w:val="clear" w:color="auto" w:fill="auto"/>
            <w:noWrap/>
            <w:vAlign w:val="center"/>
            <w:hideMark/>
          </w:tcPr>
          <w:p w14:paraId="399842F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-8,0</w:t>
            </w:r>
          </w:p>
        </w:tc>
        <w:tc>
          <w:tcPr>
            <w:tcW w:w="772" w:type="dxa"/>
            <w:tcBorders>
              <w:top w:val="nil"/>
              <w:left w:val="nil"/>
              <w:bottom w:val="nil"/>
              <w:right w:val="single" w:sz="8" w:space="0" w:color="auto"/>
            </w:tcBorders>
            <w:shd w:val="clear" w:color="auto" w:fill="auto"/>
            <w:vAlign w:val="center"/>
            <w:hideMark/>
          </w:tcPr>
          <w:p w14:paraId="214D720B"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-3,8</w:t>
            </w:r>
          </w:p>
        </w:tc>
        <w:tc>
          <w:tcPr>
            <w:tcW w:w="770" w:type="dxa"/>
            <w:tcBorders>
              <w:top w:val="nil"/>
              <w:left w:val="nil"/>
              <w:bottom w:val="nil"/>
              <w:right w:val="nil"/>
            </w:tcBorders>
            <w:shd w:val="clear" w:color="auto" w:fill="auto"/>
            <w:noWrap/>
            <w:vAlign w:val="center"/>
            <w:hideMark/>
          </w:tcPr>
          <w:p w14:paraId="331CDCF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-6,4</w:t>
            </w:r>
          </w:p>
        </w:tc>
        <w:tc>
          <w:tcPr>
            <w:tcW w:w="772" w:type="dxa"/>
            <w:tcBorders>
              <w:top w:val="nil"/>
              <w:left w:val="nil"/>
              <w:bottom w:val="nil"/>
              <w:right w:val="nil"/>
            </w:tcBorders>
            <w:shd w:val="clear" w:color="auto" w:fill="auto"/>
            <w:vAlign w:val="center"/>
            <w:hideMark/>
          </w:tcPr>
          <w:p w14:paraId="75551EA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14:paraId="583F6373" w14:textId="77777777" w:rsidTr="00905A9F">
        <w:trPr>
          <w:trHeight w:val="283"/>
        </w:trPr>
        <w:tc>
          <w:tcPr>
            <w:tcW w:w="3962" w:type="dxa"/>
            <w:tcBorders>
              <w:top w:val="nil"/>
              <w:left w:val="nil"/>
              <w:bottom w:val="nil"/>
              <w:right w:val="nil"/>
            </w:tcBorders>
            <w:shd w:val="clear" w:color="auto" w:fill="auto"/>
            <w:noWrap/>
            <w:vAlign w:val="center"/>
            <w:hideMark/>
          </w:tcPr>
          <w:p w14:paraId="788919FA"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Бруто дуг опште државе, % БДП</w:t>
            </w:r>
          </w:p>
        </w:tc>
        <w:tc>
          <w:tcPr>
            <w:tcW w:w="769" w:type="dxa"/>
            <w:tcBorders>
              <w:top w:val="nil"/>
              <w:left w:val="nil"/>
              <w:bottom w:val="nil"/>
              <w:right w:val="nil"/>
            </w:tcBorders>
            <w:shd w:val="clear" w:color="auto" w:fill="auto"/>
            <w:noWrap/>
            <w:vAlign w:val="center"/>
            <w:hideMark/>
          </w:tcPr>
          <w:p w14:paraId="3EB67CD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100,0</w:t>
            </w:r>
          </w:p>
        </w:tc>
        <w:tc>
          <w:tcPr>
            <w:tcW w:w="770" w:type="dxa"/>
            <w:tcBorders>
              <w:top w:val="nil"/>
              <w:left w:val="nil"/>
              <w:bottom w:val="nil"/>
              <w:right w:val="nil"/>
            </w:tcBorders>
            <w:shd w:val="clear" w:color="auto" w:fill="auto"/>
            <w:noWrap/>
            <w:vAlign w:val="center"/>
            <w:hideMark/>
          </w:tcPr>
          <w:p w14:paraId="79DF0E1A"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97,9</w:t>
            </w:r>
          </w:p>
        </w:tc>
        <w:tc>
          <w:tcPr>
            <w:tcW w:w="772" w:type="dxa"/>
            <w:tcBorders>
              <w:top w:val="nil"/>
              <w:left w:val="nil"/>
              <w:bottom w:val="nil"/>
              <w:right w:val="nil"/>
            </w:tcBorders>
            <w:shd w:val="clear" w:color="auto" w:fill="auto"/>
            <w:noWrap/>
            <w:vAlign w:val="center"/>
            <w:hideMark/>
          </w:tcPr>
          <w:p w14:paraId="7D2CF3C7"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97,0</w:t>
            </w:r>
          </w:p>
        </w:tc>
        <w:tc>
          <w:tcPr>
            <w:tcW w:w="770" w:type="dxa"/>
            <w:tcBorders>
              <w:top w:val="nil"/>
              <w:left w:val="single" w:sz="8" w:space="0" w:color="auto"/>
              <w:bottom w:val="nil"/>
              <w:right w:val="nil"/>
            </w:tcBorders>
            <w:shd w:val="clear" w:color="auto" w:fill="auto"/>
            <w:noWrap/>
            <w:vAlign w:val="center"/>
            <w:hideMark/>
          </w:tcPr>
          <w:p w14:paraId="40910EB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102,4</w:t>
            </w:r>
          </w:p>
        </w:tc>
        <w:tc>
          <w:tcPr>
            <w:tcW w:w="772" w:type="dxa"/>
            <w:tcBorders>
              <w:top w:val="nil"/>
              <w:left w:val="nil"/>
              <w:bottom w:val="nil"/>
              <w:right w:val="single" w:sz="8" w:space="0" w:color="auto"/>
            </w:tcBorders>
            <w:shd w:val="clear" w:color="auto" w:fill="auto"/>
            <w:vAlign w:val="center"/>
            <w:hideMark/>
          </w:tcPr>
          <w:p w14:paraId="17EE018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100,8</w:t>
            </w:r>
          </w:p>
        </w:tc>
        <w:tc>
          <w:tcPr>
            <w:tcW w:w="770" w:type="dxa"/>
            <w:tcBorders>
              <w:top w:val="nil"/>
              <w:left w:val="nil"/>
              <w:bottom w:val="nil"/>
              <w:right w:val="nil"/>
            </w:tcBorders>
            <w:shd w:val="clear" w:color="auto" w:fill="auto"/>
            <w:noWrap/>
            <w:vAlign w:val="center"/>
            <w:hideMark/>
          </w:tcPr>
          <w:p w14:paraId="20BCA43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102,3</w:t>
            </w:r>
          </w:p>
        </w:tc>
        <w:tc>
          <w:tcPr>
            <w:tcW w:w="772" w:type="dxa"/>
            <w:tcBorders>
              <w:top w:val="nil"/>
              <w:left w:val="nil"/>
              <w:bottom w:val="nil"/>
              <w:right w:val="nil"/>
            </w:tcBorders>
            <w:shd w:val="clear" w:color="auto" w:fill="auto"/>
            <w:vAlign w:val="center"/>
            <w:hideMark/>
          </w:tcPr>
          <w:p w14:paraId="7FF43FC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102,6</w:t>
            </w:r>
          </w:p>
        </w:tc>
      </w:tr>
      <w:tr w:rsidR="00766476" w:rsidRPr="000E0422" w14:paraId="6A8ABF1C" w14:textId="77777777" w:rsidTr="00905A9F">
        <w:trPr>
          <w:trHeight w:val="283"/>
        </w:trPr>
        <w:tc>
          <w:tcPr>
            <w:tcW w:w="3962" w:type="dxa"/>
            <w:tcBorders>
              <w:top w:val="nil"/>
              <w:left w:val="nil"/>
              <w:bottom w:val="single" w:sz="8" w:space="0" w:color="002060"/>
              <w:right w:val="nil"/>
            </w:tcBorders>
            <w:shd w:val="clear" w:color="auto" w:fill="auto"/>
            <w:noWrap/>
            <w:vAlign w:val="center"/>
            <w:hideMark/>
          </w:tcPr>
          <w:p w14:paraId="12D7086C"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Салдо текућег рачуна, % БДП</w:t>
            </w:r>
          </w:p>
        </w:tc>
        <w:tc>
          <w:tcPr>
            <w:tcW w:w="769" w:type="dxa"/>
            <w:tcBorders>
              <w:top w:val="nil"/>
              <w:left w:val="nil"/>
              <w:bottom w:val="single" w:sz="8" w:space="0" w:color="002060"/>
              <w:right w:val="nil"/>
            </w:tcBorders>
            <w:shd w:val="clear" w:color="auto" w:fill="auto"/>
            <w:noWrap/>
            <w:vAlign w:val="center"/>
            <w:hideMark/>
          </w:tcPr>
          <w:p w14:paraId="5E6AE25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0" w:type="dxa"/>
            <w:tcBorders>
              <w:top w:val="nil"/>
              <w:left w:val="nil"/>
              <w:bottom w:val="single" w:sz="8" w:space="0" w:color="002060"/>
              <w:right w:val="nil"/>
            </w:tcBorders>
            <w:shd w:val="clear" w:color="auto" w:fill="auto"/>
            <w:noWrap/>
            <w:vAlign w:val="center"/>
            <w:hideMark/>
          </w:tcPr>
          <w:p w14:paraId="4578F10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3,2</w:t>
            </w:r>
          </w:p>
        </w:tc>
        <w:tc>
          <w:tcPr>
            <w:tcW w:w="772" w:type="dxa"/>
            <w:tcBorders>
              <w:top w:val="nil"/>
              <w:left w:val="nil"/>
              <w:bottom w:val="single" w:sz="8" w:space="0" w:color="002060"/>
              <w:right w:val="nil"/>
            </w:tcBorders>
            <w:shd w:val="clear" w:color="auto" w:fill="auto"/>
            <w:noWrap/>
            <w:vAlign w:val="center"/>
            <w:hideMark/>
          </w:tcPr>
          <w:p w14:paraId="4BC45F55"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3,4</w:t>
            </w:r>
          </w:p>
        </w:tc>
        <w:tc>
          <w:tcPr>
            <w:tcW w:w="770" w:type="dxa"/>
            <w:tcBorders>
              <w:top w:val="nil"/>
              <w:left w:val="single" w:sz="8" w:space="0" w:color="auto"/>
              <w:bottom w:val="single" w:sz="8" w:space="0" w:color="auto"/>
              <w:right w:val="nil"/>
            </w:tcBorders>
            <w:shd w:val="clear" w:color="auto" w:fill="auto"/>
            <w:noWrap/>
            <w:vAlign w:val="center"/>
            <w:hideMark/>
          </w:tcPr>
          <w:p w14:paraId="478A110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2" w:type="dxa"/>
            <w:tcBorders>
              <w:top w:val="nil"/>
              <w:left w:val="nil"/>
              <w:bottom w:val="single" w:sz="8" w:space="0" w:color="auto"/>
              <w:right w:val="single" w:sz="8" w:space="0" w:color="auto"/>
            </w:tcBorders>
            <w:shd w:val="clear" w:color="auto" w:fill="auto"/>
            <w:vAlign w:val="center"/>
            <w:hideMark/>
          </w:tcPr>
          <w:p w14:paraId="16BC088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0" w:type="dxa"/>
            <w:tcBorders>
              <w:top w:val="nil"/>
              <w:left w:val="nil"/>
              <w:bottom w:val="single" w:sz="8" w:space="0" w:color="002060"/>
              <w:right w:val="nil"/>
            </w:tcBorders>
            <w:shd w:val="clear" w:color="auto" w:fill="auto"/>
            <w:noWrap/>
            <w:vAlign w:val="center"/>
            <w:hideMark/>
          </w:tcPr>
          <w:p w14:paraId="469F9B0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2,6</w:t>
            </w:r>
          </w:p>
        </w:tc>
        <w:tc>
          <w:tcPr>
            <w:tcW w:w="772" w:type="dxa"/>
            <w:tcBorders>
              <w:top w:val="nil"/>
              <w:left w:val="nil"/>
              <w:bottom w:val="single" w:sz="8" w:space="0" w:color="002060"/>
              <w:right w:val="nil"/>
            </w:tcBorders>
            <w:shd w:val="clear" w:color="auto" w:fill="auto"/>
            <w:vAlign w:val="center"/>
            <w:hideMark/>
          </w:tcPr>
          <w:p w14:paraId="740B24A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2,8</w:t>
            </w:r>
          </w:p>
        </w:tc>
      </w:tr>
    </w:tbl>
    <w:p w14:paraId="67D29346" w14:textId="77777777" w:rsidR="00766476" w:rsidRPr="000E0422" w:rsidRDefault="00766476" w:rsidP="00937854">
      <w:pPr>
        <w:spacing w:before="40" w:after="0"/>
        <w:rPr>
          <w:rFonts w:eastAsiaTheme="minorEastAsia" w:cs="Times New Roman"/>
          <w:sz w:val="16"/>
          <w:szCs w:val="16"/>
          <w:lang w:val="sr-Cyrl-RS" w:eastAsia="ja-JP"/>
        </w:rPr>
      </w:pPr>
      <w:r w:rsidRPr="000E0422">
        <w:rPr>
          <w:rFonts w:eastAsiaTheme="minorEastAsia" w:cs="Times New Roman"/>
          <w:sz w:val="16"/>
          <w:szCs w:val="16"/>
          <w:lang w:val="sr-Cyrl-RS" w:eastAsia="ja-JP"/>
        </w:rPr>
        <w:t>Извор: ЕК, Јесење пројекције, новембар 2021. године</w:t>
      </w:r>
    </w:p>
    <w:p w14:paraId="1468D92C" w14:textId="77777777" w:rsidR="00766476" w:rsidRPr="000E0422" w:rsidRDefault="00766476" w:rsidP="00937854">
      <w:pPr>
        <w:spacing w:after="0"/>
        <w:rPr>
          <w:rFonts w:eastAsiaTheme="minorEastAsia" w:cs="Times New Roman"/>
          <w:sz w:val="16"/>
          <w:szCs w:val="16"/>
          <w:lang w:val="sr-Cyrl-RS" w:eastAsia="ja-JP"/>
        </w:rPr>
      </w:pPr>
      <w:r w:rsidRPr="000E0422">
        <w:rPr>
          <w:rFonts w:eastAsiaTheme="minorEastAsia" w:cs="Times New Roman"/>
          <w:sz w:val="16"/>
          <w:szCs w:val="16"/>
          <w:lang w:val="sr-Cyrl-RS" w:eastAsia="ja-JP"/>
        </w:rPr>
        <w:t>* ЕК, Јесење пројекције, новембар 2020. године</w:t>
      </w:r>
    </w:p>
    <w:p w14:paraId="15602050" w14:textId="77777777" w:rsidR="00766476" w:rsidRPr="000E0422" w:rsidRDefault="00766476" w:rsidP="00766476">
      <w:pPr>
        <w:spacing w:after="0"/>
        <w:ind w:firstLine="720"/>
        <w:rPr>
          <w:rFonts w:eastAsia="MS PGothic" w:cs="Times New Roman"/>
          <w:bCs/>
          <w:iCs/>
          <w:szCs w:val="24"/>
          <w:lang w:val="sr-Cyrl-RS" w:eastAsia="ja-JP"/>
        </w:rPr>
      </w:pPr>
    </w:p>
    <w:p w14:paraId="23C460CD" w14:textId="77777777" w:rsidR="00766476" w:rsidRPr="000E0422" w:rsidRDefault="00766476" w:rsidP="00433935">
      <w:pPr>
        <w:spacing w:after="60"/>
        <w:rPr>
          <w:rFonts w:eastAsiaTheme="minorEastAsia" w:cs="Times New Roman"/>
          <w:bCs/>
          <w:szCs w:val="24"/>
          <w:lang w:val="sr-Cyrl-RS" w:eastAsia="ja-JP"/>
        </w:rPr>
      </w:pPr>
      <w:r w:rsidRPr="000E0422">
        <w:rPr>
          <w:rFonts w:eastAsiaTheme="minorEastAsia" w:cs="Times New Roman"/>
          <w:bCs/>
          <w:szCs w:val="24"/>
          <w:lang w:val="sr-Cyrl-RS" w:eastAsia="ja-JP"/>
        </w:rPr>
        <w:t xml:space="preserve">Услови на тржишту рада у ЕУ су значајно побољшани: забележен је раст како запослених, тако и радних сати, а истовремено је смањен број радника у систему шема скраћеног радног времена. Очекује се да ће даљим опоравком економске активности услови на тржишту рада наставити у позитивном смеру, па се предвиђа раст </w:t>
      </w:r>
      <w:r w:rsidRPr="000E0422">
        <w:rPr>
          <w:rFonts w:eastAsiaTheme="minorEastAsia" w:cs="Times New Roman"/>
          <w:bCs/>
          <w:szCs w:val="24"/>
          <w:lang w:val="sr-Cyrl-RS" w:eastAsia="ja-JP"/>
        </w:rPr>
        <w:lastRenderedPageBreak/>
        <w:t>запослености од 1,0% у 2022. години, као и раст продуктивности и јединичних трошкова ра</w:t>
      </w:r>
      <w:r w:rsidR="005823F8">
        <w:rPr>
          <w:rFonts w:eastAsiaTheme="minorEastAsia" w:cs="Times New Roman"/>
          <w:bCs/>
          <w:szCs w:val="24"/>
          <w:lang w:val="sr-Cyrl-RS" w:eastAsia="ja-JP"/>
        </w:rPr>
        <w:t>д</w:t>
      </w:r>
      <w:r w:rsidRPr="000E0422">
        <w:rPr>
          <w:rFonts w:eastAsiaTheme="minorEastAsia" w:cs="Times New Roman"/>
          <w:bCs/>
          <w:szCs w:val="24"/>
          <w:lang w:val="sr-Cyrl-RS" w:eastAsia="ja-JP"/>
        </w:rPr>
        <w:t>а. Очекивано креирање нових раних места ће довести до постепеног смањења стопе незапослености у еврозони у наредном периоду са 7,9% у 2021.</w:t>
      </w:r>
      <w:r w:rsidR="00E27977">
        <w:rPr>
          <w:rFonts w:eastAsiaTheme="minorEastAsia" w:cs="Times New Roman"/>
          <w:bCs/>
          <w:szCs w:val="24"/>
          <w:lang w:val="sr-Cyrl-RS" w:eastAsia="ja-JP"/>
        </w:rPr>
        <w:t xml:space="preserve"> години на 7,3% у 2023. години.</w:t>
      </w:r>
    </w:p>
    <w:p w14:paraId="3FC253BE" w14:textId="77777777" w:rsidR="00766476" w:rsidRPr="000E0422" w:rsidRDefault="00766476" w:rsidP="00433935">
      <w:pPr>
        <w:spacing w:after="60"/>
        <w:rPr>
          <w:rFonts w:eastAsiaTheme="minorEastAsia" w:cs="Times New Roman"/>
          <w:bCs/>
          <w:szCs w:val="24"/>
          <w:lang w:val="sr-Cyrl-RS" w:eastAsia="ja-JP"/>
        </w:rPr>
      </w:pPr>
      <w:r w:rsidRPr="000E0422">
        <w:rPr>
          <w:rFonts w:eastAsiaTheme="minorEastAsia" w:cs="Times New Roman"/>
          <w:bCs/>
          <w:szCs w:val="24"/>
          <w:lang w:val="sr-Cyrl-RS" w:eastAsia="ja-JP"/>
        </w:rPr>
        <w:t xml:space="preserve">Након неколико година ниске инфлације, снажан опоравак привредне активности праћен је јачањем инфлаторних притисака, који су премашили очекивања. Тако је годишња инфлација у еврозони достигла десетогодишњи максимум са 3,4% у септембру, док је базна инфлација износила 1,9%, што је највећа стопа од 2012. године. </w:t>
      </w:r>
      <w:r w:rsidR="000137AC">
        <w:rPr>
          <w:rFonts w:eastAsiaTheme="minorEastAsia" w:cs="Times New Roman"/>
          <w:bCs/>
          <w:szCs w:val="24"/>
          <w:lang w:val="sr-Cyrl-RS" w:eastAsia="ja-JP"/>
        </w:rPr>
        <w:t>Убрзање инфлације</w:t>
      </w:r>
      <w:r w:rsidRPr="000E0422">
        <w:rPr>
          <w:rFonts w:eastAsiaTheme="minorEastAsia" w:cs="Times New Roman"/>
          <w:bCs/>
          <w:szCs w:val="24"/>
          <w:lang w:val="sr-Cyrl-RS" w:eastAsia="ja-JP"/>
        </w:rPr>
        <w:t xml:space="preserve"> у великој мери је резултат снажних базних ефеката, будући да фактори који су ограничавали цене током пандемије 2020. године, ишчезавају током ове године. Међутим, будући да су у питању углавном </w:t>
      </w:r>
      <w:r w:rsidR="000137AC">
        <w:rPr>
          <w:rFonts w:eastAsiaTheme="minorEastAsia" w:cs="Times New Roman"/>
          <w:bCs/>
          <w:szCs w:val="24"/>
          <w:lang w:val="sr-Cyrl-RS" w:eastAsia="ja-JP"/>
        </w:rPr>
        <w:t>привремени фактори</w:t>
      </w:r>
      <w:r w:rsidRPr="000E0422">
        <w:rPr>
          <w:rFonts w:eastAsiaTheme="minorEastAsia" w:cs="Times New Roman"/>
          <w:bCs/>
          <w:szCs w:val="24"/>
          <w:lang w:val="sr-Cyrl-RS" w:eastAsia="ja-JP"/>
        </w:rPr>
        <w:t xml:space="preserve">, очекује се </w:t>
      </w:r>
      <w:r w:rsidR="000137AC">
        <w:rPr>
          <w:rFonts w:eastAsiaTheme="minorEastAsia" w:cs="Times New Roman"/>
          <w:bCs/>
          <w:szCs w:val="24"/>
          <w:lang w:val="sr-Cyrl-RS" w:eastAsia="ja-JP"/>
        </w:rPr>
        <w:t>стабилизација инфлаторних притисака</w:t>
      </w:r>
      <w:r w:rsidRPr="000E0422">
        <w:rPr>
          <w:rFonts w:eastAsiaTheme="minorEastAsia" w:cs="Times New Roman"/>
          <w:bCs/>
          <w:szCs w:val="24"/>
          <w:lang w:val="sr-Cyrl-RS" w:eastAsia="ja-JP"/>
        </w:rPr>
        <w:t xml:space="preserve"> (са 2,4% у 2021. години на 1,4% у 2023. години).</w:t>
      </w:r>
    </w:p>
    <w:p w14:paraId="1D136D80" w14:textId="77777777" w:rsidR="00766476" w:rsidRPr="000E0422" w:rsidRDefault="002E248F" w:rsidP="00433935">
      <w:pPr>
        <w:spacing w:after="60"/>
        <w:rPr>
          <w:rFonts w:eastAsiaTheme="minorEastAsia" w:cs="Times New Roman"/>
          <w:bCs/>
          <w:szCs w:val="24"/>
          <w:lang w:val="sr-Cyrl-RS" w:eastAsia="ja-JP"/>
        </w:rPr>
      </w:pPr>
      <w:r w:rsidRPr="002E248F">
        <w:rPr>
          <w:rFonts w:eastAsiaTheme="minorEastAsia" w:cs="Times New Roman"/>
          <w:bCs/>
          <w:szCs w:val="24"/>
          <w:lang w:val="sr-Cyrl-RS" w:eastAsia="ja-JP"/>
        </w:rPr>
        <w:t xml:space="preserve">Са бржим економским опоравком од претходно очекиваног, у 2021. години се предвиђа благо смањење фискалног дефицита у односу на мајску пројекцију, упркос наставку примене фискалних мера подршке против коронавируса. Поред тога, очекује се да ће фискални дефицит ЕУ бити готово преполовљен у 2022. години, због укидања ванредних мера подршке привреди и повећања прихода. </w:t>
      </w:r>
      <w:r w:rsidR="00766476" w:rsidRPr="000E0422">
        <w:rPr>
          <w:rFonts w:eastAsiaTheme="minorEastAsia" w:cs="Times New Roman"/>
          <w:bCs/>
          <w:szCs w:val="24"/>
          <w:lang w:val="sr-Cyrl-RS" w:eastAsia="ja-JP"/>
        </w:rPr>
        <w:t xml:space="preserve">Предвиђа се значајно смањење фискалног дефицита еврозоне са 7,1% у 2021. години на 2,4% у 2023. години, услед позитивних кретања у глобалној трговини и побољшању извоза. Учешће укупног дуга у БДП ће након достизања 100% у 2021. години, започети са постепеним смањивањем у већини земаља чланица у </w:t>
      </w:r>
      <w:r w:rsidR="00CF1796">
        <w:rPr>
          <w:rFonts w:eastAsiaTheme="minorEastAsia" w:cs="Times New Roman"/>
          <w:bCs/>
          <w:szCs w:val="24"/>
          <w:lang w:val="sr-Cyrl-RS" w:eastAsia="ja-JP"/>
        </w:rPr>
        <w:t>средњорочном</w:t>
      </w:r>
      <w:r w:rsidR="00766476" w:rsidRPr="000E0422">
        <w:rPr>
          <w:rFonts w:eastAsiaTheme="minorEastAsia" w:cs="Times New Roman"/>
          <w:bCs/>
          <w:szCs w:val="24"/>
          <w:lang w:val="sr-Cyrl-RS" w:eastAsia="ja-JP"/>
        </w:rPr>
        <w:t xml:space="preserve"> периоду.</w:t>
      </w:r>
    </w:p>
    <w:p w14:paraId="0D5C9A4D" w14:textId="77777777" w:rsidR="00766476" w:rsidRPr="000E0422" w:rsidRDefault="00766476" w:rsidP="00433935">
      <w:pPr>
        <w:spacing w:after="60"/>
        <w:rPr>
          <w:lang w:val="sr-Cyrl-RS" w:eastAsia="ja-JP"/>
        </w:rPr>
      </w:pPr>
      <w:r w:rsidRPr="000E0422">
        <w:rPr>
          <w:lang w:val="sr-Cyrl-RS" w:eastAsia="ja-JP"/>
        </w:rPr>
        <w:t xml:space="preserve">Значајни ризици и неизвесност који се тичу остварења пројекције су и даље присутни, а главни ризик </w:t>
      </w:r>
      <w:r w:rsidR="00CF1796">
        <w:rPr>
          <w:lang w:val="sr-Cyrl-RS" w:eastAsia="ja-JP"/>
        </w:rPr>
        <w:t>се односи на</w:t>
      </w:r>
      <w:r w:rsidRPr="000E0422">
        <w:rPr>
          <w:lang w:val="sr-Cyrl-RS" w:eastAsia="ja-JP"/>
        </w:rPr>
        <w:t xml:space="preserve"> ток кретања пандемије. Иако су вакцинација и мере у борби против пандемије дали добре резултате, и даље је присутан ризик од настанка здравствене кризе услед појаве нових сојева вируса и ниског броја вакцинисаних у појединим</w:t>
      </w:r>
      <w:r w:rsidR="00CF1796">
        <w:rPr>
          <w:lang w:val="sr-Cyrl-RS" w:eastAsia="ja-JP"/>
        </w:rPr>
        <w:t xml:space="preserve"> државама. Негативни ризици се односе и на</w:t>
      </w:r>
      <w:r w:rsidRPr="000E0422">
        <w:rPr>
          <w:lang w:val="sr-Cyrl-RS" w:eastAsia="ja-JP"/>
        </w:rPr>
        <w:t xml:space="preserve"> могућност продуженог трајања по</w:t>
      </w:r>
      <w:r w:rsidR="00CF1796">
        <w:rPr>
          <w:lang w:val="sr-Cyrl-RS" w:eastAsia="ja-JP"/>
        </w:rPr>
        <w:t>ремећаја у снабдевању, раст цена</w:t>
      </w:r>
      <w:r w:rsidRPr="000E0422">
        <w:rPr>
          <w:lang w:val="sr-Cyrl-RS" w:eastAsia="ja-JP"/>
        </w:rPr>
        <w:t xml:space="preserve"> енергената изван очекивања и њиховог утицаја н</w:t>
      </w:r>
      <w:r w:rsidR="00CF1796">
        <w:rPr>
          <w:lang w:val="sr-Cyrl-RS" w:eastAsia="ja-JP"/>
        </w:rPr>
        <w:t>а инфлацију, мањак радне снаге, као</w:t>
      </w:r>
      <w:r w:rsidRPr="000E0422">
        <w:rPr>
          <w:lang w:val="sr-Cyrl-RS" w:eastAsia="ja-JP"/>
        </w:rPr>
        <w:t xml:space="preserve"> и </w:t>
      </w:r>
      <w:r w:rsidR="00CF1796">
        <w:rPr>
          <w:lang w:val="sr-Cyrl-RS" w:eastAsia="ja-JP"/>
        </w:rPr>
        <w:t xml:space="preserve">на </w:t>
      </w:r>
      <w:r w:rsidRPr="000E0422">
        <w:rPr>
          <w:lang w:val="sr-Cyrl-RS" w:eastAsia="ja-JP"/>
        </w:rPr>
        <w:t>екстерне ризике попут кризе у сектору некретнина у Кини. Са друге стране, повећана тражња би могла позитивно утицати на раст, уколико би домаћинства преусмерила своју акумулирану штедњу у потрошњу. Такође, структурне промене и иновације у</w:t>
      </w:r>
      <w:r w:rsidR="00CF1796">
        <w:rPr>
          <w:lang w:val="sr-Cyrl-RS" w:eastAsia="ja-JP"/>
        </w:rPr>
        <w:t xml:space="preserve"> иновативне технологије</w:t>
      </w:r>
      <w:r w:rsidRPr="000E0422">
        <w:rPr>
          <w:lang w:val="sr-Cyrl-RS" w:eastAsia="ja-JP"/>
        </w:rPr>
        <w:t xml:space="preserve"> </w:t>
      </w:r>
      <w:r w:rsidR="00CF1796">
        <w:rPr>
          <w:lang w:val="sr-Cyrl-RS" w:eastAsia="ja-JP"/>
        </w:rPr>
        <w:t xml:space="preserve">утицале би на </w:t>
      </w:r>
      <w:r w:rsidRPr="000E0422">
        <w:rPr>
          <w:lang w:val="sr-Cyrl-RS" w:eastAsia="ja-JP"/>
        </w:rPr>
        <w:t>побољшањ</w:t>
      </w:r>
      <w:r w:rsidR="00CF1796">
        <w:rPr>
          <w:lang w:val="sr-Cyrl-RS" w:eastAsia="ja-JP"/>
        </w:rPr>
        <w:t>е</w:t>
      </w:r>
      <w:r w:rsidRPr="000E0422">
        <w:rPr>
          <w:lang w:val="sr-Cyrl-RS" w:eastAsia="ja-JP"/>
        </w:rPr>
        <w:t xml:space="preserve"> продуктивности и повећања ефикасности рада.</w:t>
      </w:r>
    </w:p>
    <w:p w14:paraId="4BBA9376" w14:textId="32FFCAF3" w:rsidR="00AA1BAE" w:rsidRPr="009807AD" w:rsidRDefault="009807AD" w:rsidP="00433935">
      <w:pPr>
        <w:keepNext/>
        <w:keepLines/>
        <w:spacing w:before="120"/>
        <w:outlineLvl w:val="1"/>
        <w:rPr>
          <w:rFonts w:eastAsia="Calibri" w:cs="Times New Roman"/>
          <w:b/>
          <w:szCs w:val="24"/>
          <w:lang w:val="sr-Cyrl-RS"/>
        </w:rPr>
      </w:pPr>
      <w:bookmarkStart w:id="7" w:name="_Toc373932747"/>
      <w:bookmarkStart w:id="8" w:name="_Toc444605529"/>
      <w:bookmarkStart w:id="9" w:name="_Toc89375519"/>
      <w:r w:rsidRPr="009807AD">
        <w:rPr>
          <w:rFonts w:eastAsia="Calibri" w:cs="Times New Roman"/>
          <w:b/>
          <w:szCs w:val="24"/>
        </w:rPr>
        <w:t>3.2.</w:t>
      </w:r>
      <w:r w:rsidR="00AA1BAE" w:rsidRPr="009807AD">
        <w:rPr>
          <w:rFonts w:eastAsia="Calibri" w:cs="Times New Roman"/>
          <w:b/>
          <w:szCs w:val="24"/>
          <w:lang w:val="sr-Cyrl-RS"/>
        </w:rPr>
        <w:t xml:space="preserve"> </w:t>
      </w:r>
      <w:bookmarkEnd w:id="7"/>
      <w:bookmarkEnd w:id="8"/>
      <w:r w:rsidR="001A3EE1" w:rsidRPr="009807AD">
        <w:rPr>
          <w:rFonts w:eastAsia="Calibri" w:cs="Times New Roman"/>
          <w:b/>
          <w:szCs w:val="24"/>
          <w:lang w:val="sr-Cyrl-RS"/>
        </w:rPr>
        <w:t xml:space="preserve">НОВИЈА </w:t>
      </w:r>
      <w:r w:rsidR="0047017C" w:rsidRPr="009807AD">
        <w:rPr>
          <w:rFonts w:eastAsia="Calibri" w:cs="Times New Roman"/>
          <w:b/>
          <w:szCs w:val="24"/>
          <w:lang w:val="sr-Cyrl-RS"/>
        </w:rPr>
        <w:t>ЕКОНОМСКА КРЕТАЊА</w:t>
      </w:r>
      <w:bookmarkEnd w:id="9"/>
      <w:r w:rsidR="0047017C" w:rsidRPr="009807AD">
        <w:rPr>
          <w:rFonts w:eastAsia="Calibri" w:cs="Times New Roman"/>
          <w:b/>
          <w:szCs w:val="24"/>
          <w:lang w:val="sr-Cyrl-RS"/>
        </w:rPr>
        <w:t xml:space="preserve"> </w:t>
      </w:r>
    </w:p>
    <w:p w14:paraId="4FB7E73D" w14:textId="77777777" w:rsidR="008F1F0C" w:rsidRPr="000E0422" w:rsidRDefault="009B0814" w:rsidP="00433935">
      <w:pPr>
        <w:spacing w:after="60"/>
        <w:rPr>
          <w:rFonts w:eastAsia="Constantia" w:cs="Times New Roman"/>
          <w:bCs/>
          <w:szCs w:val="24"/>
          <w:lang w:val="sr-Cyrl-RS"/>
        </w:rPr>
      </w:pPr>
      <w:bookmarkStart w:id="10" w:name="_Toc373932748"/>
      <w:r w:rsidRPr="000E0422">
        <w:rPr>
          <w:rFonts w:eastAsia="Constantia" w:cs="Times New Roman"/>
          <w:b/>
          <w:szCs w:val="24"/>
          <w:lang w:val="sr-Cyrl-RS"/>
        </w:rPr>
        <w:t>Реални сектор</w:t>
      </w:r>
      <w:r w:rsidRPr="000E0422">
        <w:rPr>
          <w:rFonts w:eastAsia="Constantia" w:cs="Times New Roman"/>
          <w:szCs w:val="24"/>
          <w:lang w:val="sr-Cyrl-RS"/>
        </w:rPr>
        <w:t xml:space="preserve">. </w:t>
      </w:r>
      <w:r w:rsidR="00C36E49" w:rsidRPr="000E0422">
        <w:rPr>
          <w:rFonts w:eastAsia="Constantia" w:cs="Times New Roman"/>
          <w:szCs w:val="24"/>
          <w:lang w:val="sr-Cyrl-RS"/>
        </w:rPr>
        <w:t>Економска активност је у 2020. години забележила смањење од свега 0,9%, што је у потпуности је последица примене здравствених мера за спречавање ширења коронавируса али и значајног смањења спољне тражње изазване рецесијом пр</w:t>
      </w:r>
      <w:r w:rsidR="007D322B">
        <w:rPr>
          <w:rFonts w:eastAsia="Constantia" w:cs="Times New Roman"/>
          <w:szCs w:val="24"/>
          <w:lang w:val="sr-Cyrl-RS"/>
        </w:rPr>
        <w:t>ивреда наших најважнијих спољно</w:t>
      </w:r>
      <w:r w:rsidR="00C36E49" w:rsidRPr="000E0422">
        <w:rPr>
          <w:rFonts w:eastAsia="Constantia" w:cs="Times New Roman"/>
          <w:szCs w:val="24"/>
          <w:lang w:val="sr-Cyrl-RS"/>
        </w:rPr>
        <w:t>трговинских партнера. У циљу ублажавања ових шокова, Влада и НБС су донели свеобухватан економски програм подршке привреди и становништву, чиме је спречен значајно већи пад економске активности, као и омогућен динамичнан опоравак привреде у другој половини 2020. године.</w:t>
      </w:r>
    </w:p>
    <w:p w14:paraId="5D2EF30A" w14:textId="77777777" w:rsidR="00643C8D" w:rsidRPr="000E0422" w:rsidRDefault="00C36E49" w:rsidP="00433935">
      <w:pPr>
        <w:spacing w:after="60"/>
        <w:rPr>
          <w:rFonts w:eastAsia="Constantia" w:cs="Times New Roman"/>
          <w:bCs/>
          <w:szCs w:val="24"/>
          <w:lang w:val="sr-Cyrl-RS"/>
        </w:rPr>
      </w:pPr>
      <w:r w:rsidRPr="000E0422">
        <w:rPr>
          <w:rFonts w:eastAsia="Constantia" w:cs="Times New Roman"/>
          <w:bCs/>
          <w:szCs w:val="24"/>
          <w:lang w:val="sr-Cyrl-RS"/>
        </w:rPr>
        <w:t xml:space="preserve">Повољна економска кретања настављена су и током 2021. године. Према подацима РЗС раст БДП у првом кварталу 2021. године износио је 1,8% мг, чиме је домаћа привреда већ у првом тромесечју премашила ниво економске активности из предпандемијског периода. Посматрано са производне стране, раст БДП у овом периоду био је вођен грађевинарством и индустријском производњом који су дали позитиван допринос од по 0,8 п.п. Опоравак приватне грађевинске оперативе уз наставак реализације инфраструктурних радова резултирали су растом грађевине од 17,8%, док је индустрија наставила са повољним кретањима и забележила раст од 4,0%. Први пут од избијања </w:t>
      </w:r>
      <w:r w:rsidRPr="000E0422">
        <w:rPr>
          <w:rFonts w:eastAsia="Constantia" w:cs="Times New Roman"/>
          <w:bCs/>
          <w:szCs w:val="24"/>
          <w:lang w:val="sr-Cyrl-RS"/>
        </w:rPr>
        <w:lastRenderedPageBreak/>
        <w:t>епидемије и сектор услуга забележио је позитиван допринос који је износио 0,6 п.п. пре свега услед раста у делатностима трговине, ИКТ и финансијских услуга. Посматрано по агрегатима употребе БДП, ефекти епидемије и током првог квартала 2021. године највише су се одразили на личну потрошњу, и поред раста реалног дохотка становништва, услед присутних ограничења и примене здравствених мера и последично мањег коришћења туристичких, угоститељских и саобраћајних услуга. Инвестиције су забележиле повећање у првом кварталу од 9,0% мг. и допринеле расту БДП са 1,8 п.п. Активирање нових извозно оријентисаних капацитета, као и повећање извоза пољопривредних производа утицали су на снажан раст реалног извоза током првог квартала 2021. године, док је, увозна активност забележила благо смањење, тако да је нето извоз са доприносом од 4,8 п.п. био главни генератор привредног раста у првом тромесечју 2021. године.</w:t>
      </w:r>
    </w:p>
    <w:p w14:paraId="6D2EA557" w14:textId="77777777" w:rsidR="00C36E49" w:rsidRPr="000E0422" w:rsidRDefault="00C36E49" w:rsidP="00433935">
      <w:pPr>
        <w:spacing w:after="60"/>
        <w:rPr>
          <w:rFonts w:eastAsia="Constantia" w:cs="Times New Roman"/>
          <w:bCs/>
          <w:szCs w:val="24"/>
          <w:lang w:val="sr-Cyrl-RS"/>
        </w:rPr>
      </w:pPr>
      <w:r w:rsidRPr="000E0422">
        <w:rPr>
          <w:rFonts w:eastAsia="Constantia" w:cs="Times New Roman"/>
          <w:bCs/>
          <w:szCs w:val="24"/>
          <w:lang w:val="sr-Cyrl-RS"/>
        </w:rPr>
        <w:t>Према подацима РЗС, раст БДП у другом кварталу износио је 13,7% мг. Посматрано са производне стране, раст БДП у овом периоду био је вођен сектором услуга, пре свега услед раста у делатностима трговине, туризма, саобраћаја, стручних и техничких услуга. Иако је услужни сектор током другог квартала претходне године био под најјачим утицајем пандемије, тако да је висок раст од око 15% једним делом последица и базног ефекта, значајан број услужних делатности премашио је предпандемијске нивое. Индустрија је наставила са добрим кретањима и забележила је допринос расту БДП од 2,6 п.п, док је опоравак приватне грађевинске оперативе уз наставак реализације инфраструктурних радова резултирао растом грађевине од 17,7%. Неповољни агрометеоролошки услови одразили су се на пољопривредну производњу која је према првим проценама РЗС у другом кварталу забележила пад од око 2%. Посматрано по агрегатима употребе раст БДП у другом тромесечју у потпуности је вођен домаћом тражњом као резултат раста приватне потрошње и инвестиција, док је допринос нето извоза био негативан. Раст реалних зарада и запослености уз повећану склоност становништва ка потрошњи, услед бољих епидемиолошких услова у поређењу са другим кварталом претходне године, одразио се на снажно повећање приватне потрошње и њен допринос расту БДП од 11,9 п.п. Убрзање приватних инвестиција уз наставак реализацијa инфраструктурних радова резултирали су растом инвестиционе активности од 22,5%. Бржи реални раст увоза од извоза, пре свега увоза репроматеријала за потребе привреде, имао је за последицу негативан допринос нето извоза расту БДП од 5,9 п.п.</w:t>
      </w:r>
    </w:p>
    <w:p w14:paraId="3189EB39" w14:textId="77777777" w:rsidR="009D04A6" w:rsidRPr="000E0422" w:rsidRDefault="00A044A7" w:rsidP="00433935">
      <w:pPr>
        <w:spacing w:after="60"/>
        <w:rPr>
          <w:rFonts w:eastAsia="Constantia" w:cs="Times New Roman"/>
          <w:bCs/>
          <w:szCs w:val="24"/>
          <w:lang w:val="sr-Cyrl-RS"/>
        </w:rPr>
      </w:pPr>
      <w:r w:rsidRPr="000E0422">
        <w:rPr>
          <w:rFonts w:eastAsia="Constantia" w:cs="Times New Roman"/>
          <w:bCs/>
          <w:szCs w:val="24"/>
          <w:lang w:val="sr-Cyrl-RS"/>
        </w:rPr>
        <w:t>Према флеш процени РЗС, у трећем кварталу 2021. године остварен је међугодишњи раст БДП од 7,4%. Посматрано са производне стране раст БДП у трећем кварталу, према процени Министарства финансија, вођен је сектором услуга, пре свега услед раста у делатностима трговине, туризма, саобраћаја, стручних и техничких услуга, као и делатностима са доминантно државним учешћем (Државна управа, Образовање и Здравство). Опоравак приватне грађевинске оперативе уз наставак реализације инфраструктурних радова резултирао је повећањем грађевине од око 16%. Економска активност у сектору индустрије је успорила током трећег квартала што је имало за последицу скроман до</w:t>
      </w:r>
      <w:r w:rsidR="000A4EC1">
        <w:rPr>
          <w:rFonts w:eastAsia="Constantia" w:cs="Times New Roman"/>
          <w:bCs/>
          <w:szCs w:val="24"/>
          <w:lang w:val="sr-Cyrl-RS"/>
        </w:rPr>
        <w:t>п</w:t>
      </w:r>
      <w:r w:rsidRPr="000E0422">
        <w:rPr>
          <w:rFonts w:eastAsia="Constantia" w:cs="Times New Roman"/>
          <w:bCs/>
          <w:szCs w:val="24"/>
          <w:lang w:val="sr-Cyrl-RS"/>
        </w:rPr>
        <w:t xml:space="preserve">ринос расту БДП од 0,5 п.п. Сушни период током лета одразио се на пољопривредну производњу која је у овом периоду забележила пад од око 5%. Посматрано по агрегатима употребе раст БДП у трећем тромесечју у потпуности је вођен домаћом тражњом као резултат раста приватне потрошње и инвестиција, док је допринос нето извоза био негативан. Раст реалних зарада и запослености уз повећану склоност становништва ка потрошњи, одразио се на повећање приватне потрошње и њен допринос расту БДП од 5,5 п.п. Убрзање приватних инвестиција уз наставак реализације инфраструктурних радова резултирали су растом инвестиционе активности од око 11%. Извозна и увозна активност су забележиле раст готово по идентичној стопи, али је због </w:t>
      </w:r>
      <w:r w:rsidRPr="000E0422">
        <w:rPr>
          <w:rFonts w:eastAsia="Constantia" w:cs="Times New Roman"/>
          <w:bCs/>
          <w:szCs w:val="24"/>
          <w:lang w:val="sr-Cyrl-RS"/>
        </w:rPr>
        <w:lastRenderedPageBreak/>
        <w:t>већег учешћа увоза у БДП до</w:t>
      </w:r>
      <w:r w:rsidR="000A4EC1">
        <w:rPr>
          <w:rFonts w:eastAsia="Constantia" w:cs="Times New Roman"/>
          <w:bCs/>
          <w:szCs w:val="24"/>
          <w:lang w:val="sr-Cyrl-RS"/>
        </w:rPr>
        <w:t>п</w:t>
      </w:r>
      <w:r w:rsidRPr="000E0422">
        <w:rPr>
          <w:rFonts w:eastAsia="Constantia" w:cs="Times New Roman"/>
          <w:bCs/>
          <w:szCs w:val="24"/>
          <w:lang w:val="sr-Cyrl-RS"/>
        </w:rPr>
        <w:t>ринос расту нето извоза био негативан. Узимајући у обзир динамику економске активности у прва три квартала, остварен је реални раст БДП од 7,5% мг.</w:t>
      </w:r>
    </w:p>
    <w:p w14:paraId="1311C3D9" w14:textId="77777777" w:rsidR="00234522" w:rsidRPr="000E0422" w:rsidRDefault="00C36E49" w:rsidP="00433935">
      <w:pPr>
        <w:spacing w:after="60"/>
        <w:rPr>
          <w:rFonts w:eastAsia="Constantia" w:cs="Times New Roman"/>
          <w:spacing w:val="-2"/>
          <w:szCs w:val="24"/>
          <w:lang w:val="sr-Cyrl-RS"/>
        </w:rPr>
      </w:pPr>
      <w:r w:rsidRPr="000E0422">
        <w:rPr>
          <w:rFonts w:eastAsia="Constantia" w:cs="Times New Roman"/>
          <w:szCs w:val="24"/>
          <w:lang w:val="sr-Cyrl-RS"/>
        </w:rPr>
        <w:t>Високофреквентни индикатори економске активности такође указују на позитивна макроекономска кретања током 2021. године. Физички обим укупне индустријске производње у првих девет месеци 2021. године био је већи за 7,3% мг. праћен растом у сва три сектора, уз доминантан утицај прерађивачке индустрије која је забележила повећање од 6,4% мг, док је обим производње рударства и струје био већи за 21,9% и 4,4% мг, респективно.</w:t>
      </w:r>
      <w:r w:rsidR="009D04A6" w:rsidRPr="000E0422">
        <w:rPr>
          <w:rFonts w:eastAsia="Constantia" w:cs="Times New Roman"/>
          <w:szCs w:val="24"/>
          <w:lang w:val="sr-Cyrl-RS"/>
        </w:rPr>
        <w:t xml:space="preserve"> </w:t>
      </w:r>
      <w:r w:rsidR="009C38FE" w:rsidRPr="000E0422">
        <w:rPr>
          <w:rFonts w:eastAsia="Constantia" w:cs="Times New Roman"/>
          <w:szCs w:val="24"/>
          <w:lang w:val="sr-Cyrl-RS"/>
        </w:rPr>
        <w:t xml:space="preserve">Добра динамика производње остварена у прерађивачкој индустрији у највећој мери је резултат активирања нових производних капацитета, пре свега кроз ефектуирање страних директних инвестиција (у даљем тексту: СДИ) из претходног периода, али и због постепеног опоравака спољне тражње. Захваљујући томе дошло је до релативно брзог опоравка индустријске производње у условима изразито негативних утицаја пандемије већ у другој половини претходне године, као и наставка повољних кретања током 2021. године. </w:t>
      </w:r>
      <w:r w:rsidR="00234522" w:rsidRPr="000E0422">
        <w:rPr>
          <w:rFonts w:eastAsia="Constantia" w:cs="Times New Roman"/>
          <w:szCs w:val="24"/>
          <w:lang w:val="sr-Cyrl-RS"/>
        </w:rPr>
        <w:t xml:space="preserve">У првих девет месеци 2021. године, две трећине раста индустрије опредељено је већом прерађивачком индустријом, уз диверзификован раст у 17 од укупно 24 делатности. Најзначајнији позитиван допринос на кретање прерађивачке индустрије имале су делатности производње електричне опреме (раст од 24,9%, мг), нафтне индустрије (10,3%), производња осталих саобраћајних средстава (160,1%), гумарске индустрије (8,3%) и машинске индустрије (14,6%), уз такође значајан допринос металске индустрије (раст од 7,2%, мг). Нешто успоренија динамика индекса физичког обима индустријске производње приметна је од средине другог квартала 2021, при чему је септембарски раст износио 1,4% мг. И поред тога охрабрују добра кретања других индикатора у индустрији који указују на значајно боље перформансе овог сектора. Тако је промет у индустрији, односно приход од продаје који остварују произвођачи индустријских производа, наставио да бележи </w:t>
      </w:r>
      <w:r w:rsidR="00234522" w:rsidRPr="000E0422">
        <w:rPr>
          <w:rFonts w:eastAsia="Constantia" w:cs="Times New Roman"/>
          <w:spacing w:val="-2"/>
          <w:szCs w:val="24"/>
          <w:lang w:val="sr-Cyrl-RS"/>
        </w:rPr>
        <w:t>снажан реални међугодишњи раст и који је током августа и септембра био већи за 20,3% и 12,8%, респективно, уз раст извоза индустријских производа за око 33% и 26% мг.</w:t>
      </w:r>
    </w:p>
    <w:p w14:paraId="2B932304" w14:textId="77777777" w:rsidR="00234522" w:rsidRPr="000E0422" w:rsidRDefault="00234522" w:rsidP="00433935">
      <w:pPr>
        <w:spacing w:after="60"/>
        <w:rPr>
          <w:rFonts w:eastAsia="Constantia" w:cs="Times New Roman"/>
          <w:spacing w:val="-2"/>
          <w:szCs w:val="24"/>
          <w:lang w:val="sr-Cyrl-RS"/>
        </w:rPr>
      </w:pPr>
      <w:r w:rsidRPr="000E0422">
        <w:rPr>
          <w:rFonts w:eastAsia="Constantia" w:cs="Times New Roman"/>
          <w:spacing w:val="-2"/>
          <w:szCs w:val="24"/>
          <w:lang w:val="sr-Cyrl-RS"/>
        </w:rPr>
        <w:t xml:space="preserve">Услужни сектор је део привреде који је због своје структуре био највише погођен епидемијом коронавируса, како у погледу јачине тог утицаја тако и по дужини трајања. Иницијалном пројекцијом потпуни опоравак овог сектора од шока изазваног епидемијом био је очекиван тек крајем другог квартала 2021. године. Међутим, услужни сектор је премашио предпандемијски ниво економске активности већ у првом кварталу, а снажан раст је настављен и током другог и трећег квартала. Поједине услужне делатности које су упркос пандемији бележиле раст и претходне године, попут трговине, ИКТ и финансијских услуга, наставиле су са позитивним кретањима и током 2021. године. Већи расположиви доходак становништва резултирао је реалним растом промета у трговини на мало од 10,5% мг. у првих девет месеци, док је промет у трговини на велико у првих шест месеци био номинално већи за 21,7%. Физички обим телекомуникационих услуга у првој половини 2021. године био је већи за 2,3% праћен растом извоза ИКТ услуга од 27,2% у првих девет месеци. Раст економске активности привредних субјеката и повећан превоз путника и робе одразили су се на повећање физичког обима саобраћаја од 23,7% у првој половини године, уз раст извоза транспортних услуга од 29,6% у првих девет месеци. Делатности попут туризма, уметности, забаве и рекреације, које су забележиле драматичан пад, нарочито у другом кварталу претходне године и чије кретање је посебно осетљиво на развој епидемиолошке ситуације, и даље нису достигле преткризни ниво активности, док су стручне, научне, иновационе и техничке делатности веома близу свог предпандемијског нивоа. И поред тога, у овим делатностима приметан је значајан опоравак. Извоз туристичких услуга у периоду јануар–септембар 2021. године повећан је за 52,2% у односу на исти период претходне године. Истовремено број ноћења домаћих </w:t>
      </w:r>
      <w:r w:rsidRPr="000E0422">
        <w:rPr>
          <w:rFonts w:eastAsia="Constantia" w:cs="Times New Roman"/>
          <w:spacing w:val="-2"/>
          <w:szCs w:val="24"/>
          <w:lang w:val="sr-Cyrl-RS"/>
        </w:rPr>
        <w:lastRenderedPageBreak/>
        <w:t>туриста већи је за 14,6% мг. у односу на првих девет месеци претходне године и нижи је за само 3,8% у односу на исти период преткризне 2019. године. Број ноћења страних туриста снажно расте током 2021. године, пре свега под утицајем изразито ниске базе из истог периода претходне године, али је у првих девет месеци и даље нижи за 41,3% у односу на првих девет месеци преткризне 2019. године. Угоститељство бележи снажан раст током 2021. године, при чему је реални ниво промета у првих осам месеци већи за око 67% у односу на исти период претходне године, односно за чак 27% у односу на првих осам месеци преткризне 2019. године.</w:t>
      </w:r>
    </w:p>
    <w:p w14:paraId="46B3195C" w14:textId="77777777" w:rsidR="0015261E" w:rsidRPr="0015261E" w:rsidRDefault="0015261E" w:rsidP="00433935">
      <w:pPr>
        <w:spacing w:after="60"/>
        <w:rPr>
          <w:lang w:val="sr-Cyrl-RS"/>
        </w:rPr>
      </w:pPr>
      <w:r w:rsidRPr="0015261E">
        <w:rPr>
          <w:b/>
          <w:lang w:val="sr-Cyrl-RS"/>
        </w:rPr>
        <w:t>Тржиште рада.</w:t>
      </w:r>
      <w:r>
        <w:rPr>
          <w:lang w:val="sr-Cyrl-RS"/>
        </w:rPr>
        <w:t xml:space="preserve"> </w:t>
      </w:r>
      <w:r w:rsidRPr="0015261E">
        <w:rPr>
          <w:lang w:val="sr-Cyrl-RS"/>
        </w:rPr>
        <w:t>Као резултат враћања на путању снажног привредног раста и опште стабилности економије, а подржано процесом вакцинације становништва и отварањем економије, 2021. годину карактеришу боља од очекиваних кретања на тржишту рада, нарочито код зарада. Успех економског пакета мера верификован је изостанком значајнијих негативних ефеката пандемије на тржиште рада, те су у значајној мери очувана радна места и зараде, како у приватном тако и у јавном сектору, а сценарио осетнијег повећања незапослености је избегнут. Према подацима Централног регистра обавезног социјалног осигурања, у периоду јануар–септембар, просечан број запослених био је већи за 3,3% у поређењу са истим периодом претходне године, што је било, пре свега резултат раста запослености у приватном сектору (4,4%), док је у јавном сектору раст износио 0,5%. Истовремено, најснажнији секторски допринос расту запослености долази од прерађивачке индустрије, трговине и ИКТ. Према подацима Националне службе за запошљавање, у истом периоду, број лица која активно траже запослење повећан је за 1,8%, али је то, пре свега било последица привременог повећања у марту и априлу, узрокованог једнократним факторима, те је тако већ у августу</w:t>
      </w:r>
      <w:r w:rsidR="00FB7C1C">
        <w:rPr>
          <w:lang w:val="sr-Cyrl-RS"/>
        </w:rPr>
        <w:t xml:space="preserve"> и септембру</w:t>
      </w:r>
      <w:r w:rsidRPr="0015261E">
        <w:rPr>
          <w:lang w:val="sr-Cyrl-RS"/>
        </w:rPr>
        <w:t xml:space="preserve"> забележено међугодишње смањење броја незапослених за 0,4%</w:t>
      </w:r>
      <w:r w:rsidR="00FB7C1C">
        <w:rPr>
          <w:lang w:val="sr-Cyrl-RS"/>
        </w:rPr>
        <w:t xml:space="preserve"> и 1,3%, респективно</w:t>
      </w:r>
      <w:r w:rsidRPr="0015261E">
        <w:rPr>
          <w:lang w:val="sr-Cyrl-RS"/>
        </w:rPr>
        <w:t>. Према подацима Анкете о радној снази након стопе незапослености од 12,8% у првом кварталу, током другог тромесечја 2021. године стопа незапослености је смањена на 11,1%. Међутим, посматрано у односу на исти период претходне године била је већа за 3,2 п.п. Овакав раст стопе незапослености био је, пре свега, последица околности присутних у 2020. години. Наиме, услед мера против пандемије добар део становништва био је спречен да ради или је долазило до одустајања од тражења посла. Тако је тај део популације, према методологији међународне организације рада (МОР), сврставан у контингент становништва ван радне снаге, дакле они нису сматрани незапосленима. Као последица овога, стопа становништва ван радне снаге је у другом кварталу 2020. године била на изразито високом нивоу од 49,8%, док је стопа незапослености износила ниских 7,9%. У другом кварталу 2021. године стопа становништва ван радне снаге била је значајно смањена за чак 4,1 п.п, и износила је 45,7%. Ово је показатељ опоравка на тржишту рада, услед враћања на ниво пре кризе изазване пандемијом и поред повећања стопе незапослености. Смањењем становништва ван радне снаге у Q2 2021. године, у поређењу са истим периодом 2020. године, дошло је до приближно једнаког повећања незапослености и запослености, те је тако стопа незапослености повећана са 7,9% на 11,1%, а стопа запослености са 46,3% на 48,3%. Изразито позитивно кретање се бележи код младог становништва, где је повећана стопа запослености за 7,8 п.п, на 25,9%. Истовремено је смањена стопа становништва ван радне снаге за 10,1 п.п, док је стопа незапослености благо повећана за 0,5 п.п. на 22,2%.</w:t>
      </w:r>
    </w:p>
    <w:p w14:paraId="5FE0AE25" w14:textId="77777777" w:rsidR="0052577F" w:rsidRPr="0015261E" w:rsidRDefault="0015261E" w:rsidP="00433935">
      <w:pPr>
        <w:spacing w:after="60"/>
        <w:rPr>
          <w:lang w:val="sr-Cyrl-RS"/>
        </w:rPr>
      </w:pPr>
      <w:r w:rsidRPr="0015261E">
        <w:rPr>
          <w:lang w:val="sr-Cyrl-RS"/>
        </w:rPr>
        <w:t>У периоду јануар–</w:t>
      </w:r>
      <w:r w:rsidR="00FB7C1C">
        <w:rPr>
          <w:lang w:val="sr-Cyrl-RS"/>
        </w:rPr>
        <w:t>септембар</w:t>
      </w:r>
      <w:r w:rsidRPr="0015261E">
        <w:rPr>
          <w:lang w:val="sr-Cyrl-RS"/>
        </w:rPr>
        <w:t xml:space="preserve"> просечна нето зарада је реално повећана за </w:t>
      </w:r>
      <w:r w:rsidR="00FB7C1C">
        <w:rPr>
          <w:lang w:val="sr-Cyrl-RS"/>
        </w:rPr>
        <w:t>5,6%, мг. и износила је 64.487</w:t>
      </w:r>
      <w:r w:rsidRPr="0015261E">
        <w:rPr>
          <w:lang w:val="sr-Cyrl-RS"/>
        </w:rPr>
        <w:t xml:space="preserve"> динара, при чему је око четири петине раста потекло од приватног сектора. Посматрано по делатностима, више од половине укупног раста зарада било је опредељено растом зарада у прерађивачкој индустрији, трговини</w:t>
      </w:r>
      <w:r w:rsidR="00410DEF">
        <w:t>,</w:t>
      </w:r>
      <w:r w:rsidRPr="0015261E">
        <w:rPr>
          <w:lang w:val="sr-Cyrl-RS"/>
        </w:rPr>
        <w:t xml:space="preserve"> здравству</w:t>
      </w:r>
      <w:r w:rsidR="00410DEF">
        <w:t xml:space="preserve"> </w:t>
      </w:r>
      <w:r w:rsidR="00410DEF">
        <w:rPr>
          <w:lang w:val="sr-Cyrl-RS"/>
        </w:rPr>
        <w:t>и ИКТ</w:t>
      </w:r>
      <w:r w:rsidRPr="0015261E">
        <w:rPr>
          <w:lang w:val="sr-Cyrl-RS"/>
        </w:rPr>
        <w:t>.</w:t>
      </w:r>
    </w:p>
    <w:p w14:paraId="4985A578" w14:textId="77777777" w:rsidR="004B3ED5" w:rsidRPr="000E0422" w:rsidRDefault="007C3538" w:rsidP="00433935">
      <w:pPr>
        <w:spacing w:after="60"/>
        <w:rPr>
          <w:b/>
          <w:i/>
          <w:lang w:val="sr-Cyrl-RS"/>
        </w:rPr>
      </w:pPr>
      <w:r w:rsidRPr="000E0422">
        <w:rPr>
          <w:b/>
          <w:lang w:val="sr-Cyrl-RS"/>
        </w:rPr>
        <w:lastRenderedPageBreak/>
        <w:t>Екстерни сектор.</w:t>
      </w:r>
      <w:r w:rsidRPr="000E0422">
        <w:rPr>
          <w:lang w:val="sr-Cyrl-RS"/>
        </w:rPr>
        <w:t xml:space="preserve"> </w:t>
      </w:r>
      <w:r w:rsidR="004B3ED5" w:rsidRPr="000E0422">
        <w:rPr>
          <w:lang w:val="sr-Cyrl-RS"/>
        </w:rPr>
        <w:t>Србија је у последњих осам година знатно смањила дефицит текућег рачуна платног биланса – са 10,9% БДП у 2012. на 4,2% БДП-а у 2020. години, а за 2021. је пројектовано да ће он износити око 4,1% БДП-а. Тиме ће дефицит текућег рачуна девету годину за редом бити испод границе која обезбеђује његову средњорочну одрживост, а седму годину за редом ће бити у потпуности покривен нето приливом стран</w:t>
      </w:r>
      <w:r w:rsidR="00F87974">
        <w:rPr>
          <w:lang w:val="sr-Cyrl-RS"/>
        </w:rPr>
        <w:t>их директних инвестиција (СДИ).</w:t>
      </w:r>
    </w:p>
    <w:p w14:paraId="2729D93E" w14:textId="77777777" w:rsidR="004B3ED5" w:rsidRPr="000E0422" w:rsidRDefault="004B3ED5" w:rsidP="00433935">
      <w:pPr>
        <w:spacing w:after="60"/>
        <w:rPr>
          <w:lang w:val="sr-Cyrl-RS"/>
        </w:rPr>
      </w:pPr>
      <w:r w:rsidRPr="000E0422">
        <w:rPr>
          <w:lang w:val="sr-Cyrl-RS"/>
        </w:rPr>
        <w:t>Током девет месеци 2021. текући дефицит је износио око 1,3 млрд евра (3,5% БДП-а) и у односу на исти период претходне године нижи је за 23,4% (401,2 млн евра), при чему је раст суфицита секундарног дохотка (за 544,1 млн евра) и услуга (за 290,6 млн евра) у потпуности надоместио раст робног дефицита (за 282,3 млн евра) и дефицита примарног дохотка (за 151,2 млн евра).</w:t>
      </w:r>
    </w:p>
    <w:p w14:paraId="0B7FE18A" w14:textId="77777777" w:rsidR="004B3ED5" w:rsidRPr="000D5CE6" w:rsidRDefault="004B3ED5" w:rsidP="00433935">
      <w:pPr>
        <w:spacing w:after="60"/>
        <w:rPr>
          <w:spacing w:val="-2"/>
          <w:lang w:val="sr-Cyrl-RS"/>
        </w:rPr>
      </w:pPr>
      <w:r w:rsidRPr="000D5CE6">
        <w:rPr>
          <w:spacing w:val="-2"/>
          <w:lang w:val="sr-Cyrl-RS"/>
        </w:rPr>
        <w:t>Робни извоз је у девет месеци 2021. забележио раст од 30,2% мг., а највећи допринос је потекао од раста извоза прерађивачке индустрије (25,3% мг., допринос 22,8 п.п.), где је раст извоза забележен код 20 од 23 области прерађивачке индустрије. Посматрано по тржиштима, на оп</w:t>
      </w:r>
      <w:r w:rsidR="00F87974" w:rsidRPr="000D5CE6">
        <w:rPr>
          <w:spacing w:val="-2"/>
          <w:lang w:val="sr-Cyrl-RS"/>
        </w:rPr>
        <w:t>о</w:t>
      </w:r>
      <w:r w:rsidRPr="000D5CE6">
        <w:rPr>
          <w:spacing w:val="-2"/>
          <w:lang w:val="sr-Cyrl-RS"/>
        </w:rPr>
        <w:t>равак робног извоза највећи утицај је имао раст извоза у земље Европске уније (30,1% мг., допринос 19,4 п.п.), затим у припаднице ЦЕФТА споразума (22,3% мг., допринос 3,6 п.п), као и у Кину (157,3% мг., допринос 3,1 п.п). Носиоци извозне активности посматрано по областима били су основни метали (допринос 3,6 п.п.), електрична опрема (допринос 3,4 п.п.), руде метала (допринос 3,3 п.п.), хемикалије и хемијски производи (допринос 2,7 п.п.), моторна возила и приколице (допринос 2,7 п.п.), прехрамб</w:t>
      </w:r>
      <w:r w:rsidR="00F87974" w:rsidRPr="000D5CE6">
        <w:rPr>
          <w:spacing w:val="-2"/>
          <w:lang w:val="sr-Cyrl-RS"/>
        </w:rPr>
        <w:t>е</w:t>
      </w:r>
      <w:r w:rsidRPr="000D5CE6">
        <w:rPr>
          <w:spacing w:val="-2"/>
          <w:lang w:val="sr-Cyrl-RS"/>
        </w:rPr>
        <w:t>ни производи (допринос 2,3 п.п.), као и производи од гуме и пластике (допринос 2,2 п.п.). С друге стране током овог периода највећи негативан допринос извозу потекао је од извоза дуванских производа (допринос –0,3 п.п.).</w:t>
      </w:r>
    </w:p>
    <w:p w14:paraId="43FC1F95" w14:textId="77777777" w:rsidR="004B3ED5" w:rsidRPr="000E0422" w:rsidRDefault="004B3ED5" w:rsidP="00433935">
      <w:pPr>
        <w:spacing w:after="60"/>
        <w:rPr>
          <w:lang w:val="sr-Cyrl-RS"/>
        </w:rPr>
      </w:pPr>
      <w:r w:rsidRPr="000E0422">
        <w:rPr>
          <w:lang w:val="sr-Cyrl-RS"/>
        </w:rPr>
        <w:t>Увоз робе у девет месеци повећан за 24,5% мг., као резултат раста увоза средстава за репродукцију који је допринео са 15,7 п.п., на шта је делом утицало и повећање светске цене енергената. Највећи допринос расту увоза у току девет месеци 2021. године, потекао је од раста увоза основних метала (допринос 2,9 п.п.), електричне опреме (допринос 2,3 п.п.), разних машина и опреме (допринос 1,8 п.п.), хемикалија и хемијских производа (допринос 1,7 п.п.) и сирове нафте и природног гаса (допринос 1,6 п.п.).</w:t>
      </w:r>
    </w:p>
    <w:p w14:paraId="3A5476AA" w14:textId="77777777" w:rsidR="004B3ED5" w:rsidRPr="000E0422" w:rsidRDefault="004B3ED5" w:rsidP="00433935">
      <w:pPr>
        <w:spacing w:after="60"/>
        <w:rPr>
          <w:lang w:val="sr-Cyrl-RS"/>
        </w:rPr>
      </w:pPr>
      <w:r w:rsidRPr="000E0422">
        <w:rPr>
          <w:lang w:val="sr-Cyrl-RS"/>
        </w:rPr>
        <w:t>Суфицит услуга током девет месеци 2021. повећан је за 39,6% мг., а вођен је пре свега растом нето извоза ИКТ услуга, туризма и осталих пословних услуга. Дефицит на рачуну примарног дохотка је повећан за 13,9% мг., пре свега услед већих одлива по основу дохотка од директних инвестиција (за 9,4% мг.) у условима раста СДИ. На повећање суфицита секундарног дохотка (за 22,2% мг.) највише је утицао раст прилива дознака у Србију, као и донација јавном сектору.</w:t>
      </w:r>
    </w:p>
    <w:p w14:paraId="555921F0" w14:textId="77777777" w:rsidR="004B3ED5" w:rsidRPr="000E0422" w:rsidRDefault="004B3ED5" w:rsidP="00433935">
      <w:pPr>
        <w:spacing w:after="60"/>
        <w:rPr>
          <w:lang w:val="sr-Cyrl-RS"/>
        </w:rPr>
      </w:pPr>
      <w:r w:rsidRPr="000E0422">
        <w:rPr>
          <w:lang w:val="sr-Cyrl-RS"/>
        </w:rPr>
        <w:t>На рачуну финансијских трансакција (без промене девизних резерви) у периоду јануар–септембар 2021. забележен је нето прилив од 4,1 млрд евра, а највећи део овог прилива односио се на СДИ и портфолио инвестиције. Нето прилив по основу СДИ у девет месеци 2021. износио је 2,7 млрд евра (прилив у Србију је износио 2,9 млрд евра) и у потпуности је покрио дефицит текућег рачуна (207,2%). У поређењу са истим периодом 2020. године нето прилив СДИ је већи за 58,4%, док је у односу на исти период преткризне 2019. године већи за 5,2%, при чему треба имати у виду да је 2019. година била рекордна по приливима СДИ. За девет месеци 2021. прилив по основу СДИ је остао пројектно диверсификован, а највише је био усмерен у разменљиве секторе (преко 60%), а посматрано по делатнос</w:t>
      </w:r>
      <w:r w:rsidR="005B70AB">
        <w:rPr>
          <w:lang w:val="sr-Cyrl-RS"/>
        </w:rPr>
        <w:t>т</w:t>
      </w:r>
      <w:r w:rsidRPr="000E0422">
        <w:rPr>
          <w:lang w:val="sr-Cyrl-RS"/>
        </w:rPr>
        <w:t xml:space="preserve">има највише је уложено у прерађивачку индустрију (око 25%), грађевинарство (око 18%), саобраћај (око 16%) и рударство (око 10%). Посматрано по земљама, највећи део СДИ потицао је из земаља ЕУ (око 60%), азијских земаља (око 25%) и ЕФТА (око 10%). </w:t>
      </w:r>
    </w:p>
    <w:p w14:paraId="5777C748" w14:textId="7B93B3D8" w:rsidR="004B3ED5" w:rsidRPr="000E0422" w:rsidRDefault="004B3ED5" w:rsidP="00433935">
      <w:pPr>
        <w:spacing w:after="60"/>
        <w:rPr>
          <w:lang w:val="sr-Cyrl-RS"/>
        </w:rPr>
      </w:pPr>
      <w:r w:rsidRPr="000E0422">
        <w:rPr>
          <w:lang w:val="sr-Cyrl-RS"/>
        </w:rPr>
        <w:lastRenderedPageBreak/>
        <w:t xml:space="preserve">По основу портфолио инвестиција у периоду јануар–септембар 2021. забележен је нето прилив од 1,9 </w:t>
      </w:r>
      <w:r w:rsidR="00345C4A">
        <w:rPr>
          <w:lang w:val="sr-Cyrl-RS"/>
        </w:rPr>
        <w:t>милијарди</w:t>
      </w:r>
      <w:r w:rsidRPr="000E0422">
        <w:rPr>
          <w:lang w:val="sr-Cyrl-RS"/>
        </w:rPr>
        <w:t xml:space="preserve"> евра, пре свега захваљујући успешним емисијама државних ХоВ на иностраном тржишту. У септембру 2021. године, Србија је први пут у историји, ради финансирања еколошки прихватљивих пројеката, емитовала зелену еврообвезницу у износу од 1,0 млрд евра, рочности 7 година по најнижој купонској стопи икада од 1,0% и стопи приноса од 1,26% и на тај начин постала једна од малобројних европских земљама и једина европска држава ван Европске уније која је емитовала зелени инструмент. Поред зелене обвезнице, током 2021. године Србија је на међународном тржишту емитовала још 2 еврообвезнице како би се пружила подршка привреди и становништву у ублажавању негативних ефеката изазваних пандемијом, али и ради финансирања отплате еврообвезнице емитоване у 2012. години, која је доспела на наплату у септембру 2021, a која је емитована по знатно неповољнијим условима. То додатно говори у прилог оствареном макроекономском напретку Србије у последњих девет година.</w:t>
      </w:r>
    </w:p>
    <w:p w14:paraId="2924FFDB" w14:textId="77777777" w:rsidR="004B3ED5" w:rsidRPr="000E0422" w:rsidRDefault="004B3ED5" w:rsidP="00433935">
      <w:pPr>
        <w:spacing w:after="60"/>
        <w:rPr>
          <w:lang w:val="sr-Cyrl-RS"/>
        </w:rPr>
      </w:pPr>
      <w:r w:rsidRPr="000E0422">
        <w:rPr>
          <w:lang w:val="sr-Cyrl-RS"/>
        </w:rPr>
        <w:t>По основу финансијских кредита резиденти су се нето задужили према иностранству за 112,8 млн евра, при чему су се приватни сектор нето раздужио за 125,0 млн евра, а јавни сектор нето задужио за 237,8 млн евра.</w:t>
      </w:r>
    </w:p>
    <w:p w14:paraId="0B784137" w14:textId="77777777" w:rsidR="00FE7789" w:rsidRPr="000E0422" w:rsidRDefault="004B3ED5" w:rsidP="00433935">
      <w:pPr>
        <w:spacing w:after="60"/>
        <w:rPr>
          <w:lang w:val="sr-Cyrl-RS"/>
        </w:rPr>
      </w:pPr>
      <w:r w:rsidRPr="000E0422">
        <w:rPr>
          <w:lang w:val="sr-Cyrl-RS"/>
        </w:rPr>
        <w:t>Девизне резерве Народне банке Србије (без међувалутних промена и промена цена активе) у овом периоду повећане су за 3.185,5 млн евра и биле су знатно изнад нивоа који се процењује да обезбеђује адекватну заштиту од екстерних потреса, пошто су покривале преко шест месеци увоза роба и услуга (6,5 месеци) и 281,6% дуга</w:t>
      </w:r>
      <w:r w:rsidRPr="000E0422">
        <w:rPr>
          <w:vertAlign w:val="superscript"/>
          <w:lang w:val="sr-Cyrl-RS"/>
        </w:rPr>
        <w:footnoteReference w:id="1"/>
      </w:r>
      <w:r w:rsidRPr="000E0422">
        <w:rPr>
          <w:lang w:val="sr-Cyrl-RS"/>
        </w:rPr>
        <w:t xml:space="preserve"> који доспева у наредној години дана.</w:t>
      </w:r>
    </w:p>
    <w:p w14:paraId="1F6A877D" w14:textId="77777777" w:rsidR="004B3ED5" w:rsidRPr="000E0422" w:rsidRDefault="007C3538" w:rsidP="00433935">
      <w:pPr>
        <w:spacing w:after="60"/>
        <w:rPr>
          <w:lang w:val="sr-Cyrl-RS"/>
        </w:rPr>
      </w:pPr>
      <w:r w:rsidRPr="000E0422">
        <w:rPr>
          <w:b/>
          <w:lang w:val="sr-Cyrl-RS"/>
        </w:rPr>
        <w:t>Девизни курс.</w:t>
      </w:r>
      <w:r w:rsidRPr="000E0422">
        <w:rPr>
          <w:lang w:val="sr-Cyrl-RS"/>
        </w:rPr>
        <w:t xml:space="preserve"> </w:t>
      </w:r>
      <w:r w:rsidR="004B3ED5" w:rsidRPr="000E0422">
        <w:rPr>
          <w:lang w:val="sr-Cyrl-RS"/>
        </w:rPr>
        <w:t>Током 2021. године обновљ</w:t>
      </w:r>
      <w:r w:rsidR="00E14751">
        <w:rPr>
          <w:lang w:val="sr-Cyrl-RS"/>
        </w:rPr>
        <w:t>е</w:t>
      </w:r>
      <w:r w:rsidR="004B3ED5" w:rsidRPr="000E0422">
        <w:rPr>
          <w:lang w:val="sr-Cyrl-RS"/>
        </w:rPr>
        <w:t>н</w:t>
      </w:r>
      <w:r w:rsidR="00E14751">
        <w:rPr>
          <w:lang w:val="sr-Cyrl-RS"/>
        </w:rPr>
        <w:t>о</w:t>
      </w:r>
      <w:r w:rsidR="004B3ED5" w:rsidRPr="000E0422">
        <w:rPr>
          <w:lang w:val="sr-Cyrl-RS"/>
        </w:rPr>
        <w:t xml:space="preserve"> је дејство фактора који су и у периоду пре пандемије узроковали апрецијацијске притиске, а чији заједнички именитељ је побољшање макроекономских перформанси наше земље. У јуну и јулу 2021. године апрецијацијски притисци су били нарочито изражени, једним делом као резултат прилива страних портфолио инвестиција, нарочито крајем јуна са укључењем динарских државних ХоВ у индексе Ј.P. Morgan. Од октобра су нешто израженији депрецијацијски притисци услед почетка сезонски појачане тражње домаћих предузећа за девизама, пре свега увозника енергената, једним делом и услед раста цена енергената на светском тржишту. Такође, на нешто вишу тражњу за девизама утицала је и исплата дивиденди од стране компанија са страним власништвом.</w:t>
      </w:r>
    </w:p>
    <w:p w14:paraId="54DC9C34" w14:textId="77777777" w:rsidR="004B3ED5" w:rsidRPr="000E0422" w:rsidRDefault="004B3ED5" w:rsidP="00433935">
      <w:pPr>
        <w:spacing w:after="60"/>
        <w:rPr>
          <w:lang w:val="sr-Cyrl-RS"/>
        </w:rPr>
      </w:pPr>
      <w:r w:rsidRPr="000E0422">
        <w:rPr>
          <w:lang w:val="sr-Cyrl-RS"/>
        </w:rPr>
        <w:t>Народна банка Србије је у циљу ублажавања прекомерних краткорочних осцилација курса динара према евру на девизном тржишту током десет месеци 2021. године нето купила 960 млн евра. У истом периоду вредност динара према евру готово је непромењена и износила око 117,6 динара за евро.</w:t>
      </w:r>
    </w:p>
    <w:p w14:paraId="2E614FE8" w14:textId="77777777" w:rsidR="004B3ED5" w:rsidRPr="000E0422" w:rsidRDefault="004B3ED5" w:rsidP="00433935">
      <w:pPr>
        <w:spacing w:after="60"/>
        <w:rPr>
          <w:lang w:val="sr-Cyrl-RS"/>
        </w:rPr>
      </w:pPr>
      <w:r w:rsidRPr="000E0422">
        <w:rPr>
          <w:lang w:val="sr-Cyrl-RS"/>
        </w:rPr>
        <w:t xml:space="preserve">Као што је то случај у већини других земаља, </w:t>
      </w:r>
      <w:r w:rsidRPr="000E0422">
        <w:rPr>
          <w:b/>
          <w:lang w:val="sr-Cyrl-RS"/>
        </w:rPr>
        <w:t>инфлација</w:t>
      </w:r>
      <w:r w:rsidRPr="000E0422">
        <w:rPr>
          <w:lang w:val="sr-Cyrl-RS"/>
        </w:rPr>
        <w:t xml:space="preserve"> се и у Србији се налази на вишем нивоу него у 2020. години. Након што се у прва два месеца кретала </w:t>
      </w:r>
      <w:r w:rsidR="009A032C">
        <w:rPr>
          <w:lang w:val="sr-Cyrl-RS"/>
        </w:rPr>
        <w:t>испод доње границе дозвољеног о</w:t>
      </w:r>
      <w:r w:rsidRPr="000E0422">
        <w:rPr>
          <w:lang w:val="sr-Cyrl-RS"/>
        </w:rPr>
        <w:t>дступања од циља, у периоду април–јул инфлација је била око централне вредности циља, а од августа је уследио њен раст и у октобру је износила 6,6% мг. На такво кретање инфлације одразио се раст светских цена нафте и других примарних производа, ефекти ниске базе из претходне године, као и застоји у глобалним ланцима снабдевања и повећани трошкови транспорта. Уз то, цене непрерађене хране на домаћем тр</w:t>
      </w:r>
      <w:r w:rsidR="009A032C">
        <w:rPr>
          <w:lang w:val="sr-Cyrl-RS"/>
        </w:rPr>
        <w:t>ж</w:t>
      </w:r>
      <w:r w:rsidRPr="000E0422">
        <w:rPr>
          <w:lang w:val="sr-Cyrl-RS"/>
        </w:rPr>
        <w:t xml:space="preserve">ишту, пре свега поврћа, услед ефеката суше, током Т3 забележиле су сезонски неуобичајен раст. Да су фактори који доводе до више инфлације привременог карактера и да су у питању фактори на страни понуде, потврђује податак да је допринос цена хране и енергената инфлацији у октобру износио око 4,8 п.п., док је базна </w:t>
      </w:r>
      <w:r w:rsidRPr="000E0422">
        <w:rPr>
          <w:lang w:val="sr-Cyrl-RS"/>
        </w:rPr>
        <w:lastRenderedPageBreak/>
        <w:t>инфлација и даље релативно ниска и стабилна и у октобру је износила 2,7% мг. Важни фактори ниске и стабилне базне инфлације јесу релативна стабилност девизног курса и усидреност инфлационих очекивања финансијског сектора и привреде у границама циља.</w:t>
      </w:r>
    </w:p>
    <w:p w14:paraId="66434907" w14:textId="77777777" w:rsidR="007F3B95" w:rsidRPr="000E0422" w:rsidRDefault="007C3538" w:rsidP="00433935">
      <w:pPr>
        <w:spacing w:after="60"/>
        <w:rPr>
          <w:lang w:val="sr-Cyrl-RS"/>
        </w:rPr>
      </w:pPr>
      <w:r w:rsidRPr="000E0422">
        <w:rPr>
          <w:b/>
          <w:lang w:val="sr-Cyrl-RS"/>
        </w:rPr>
        <w:t>Кредитна активност и монетарна кретања.</w:t>
      </w:r>
      <w:r w:rsidRPr="000E0422">
        <w:rPr>
          <w:lang w:val="sr-Cyrl-RS"/>
        </w:rPr>
        <w:t xml:space="preserve"> </w:t>
      </w:r>
      <w:r w:rsidR="007F3B95" w:rsidRPr="000E0422">
        <w:rPr>
          <w:lang w:val="sr-Cyrl-RS"/>
        </w:rPr>
        <w:t>Раст кредитне активности је настављен и у 2021. години, иако нешто споријим темпом услед ефекта високе базе због примене мораторијума у 2020. години. Са ишчезавањем ефекта мораторијума</w:t>
      </w:r>
      <w:r w:rsidR="007F3B95" w:rsidRPr="000E0422">
        <w:rPr>
          <w:vertAlign w:val="superscript"/>
          <w:lang w:val="sr-Cyrl-RS"/>
        </w:rPr>
        <w:footnoteReference w:id="2"/>
      </w:r>
      <w:r w:rsidR="007F3B95" w:rsidRPr="000E0422">
        <w:rPr>
          <w:lang w:val="sr-Cyrl-RS"/>
        </w:rPr>
        <w:t>, мг. раст кредитне активности према н</w:t>
      </w:r>
      <w:r w:rsidR="009A032C">
        <w:rPr>
          <w:lang w:val="sr-Cyrl-RS"/>
        </w:rPr>
        <w:t>е</w:t>
      </w:r>
      <w:r w:rsidR="007F3B95" w:rsidRPr="000E0422">
        <w:rPr>
          <w:lang w:val="sr-Cyrl-RS"/>
        </w:rPr>
        <w:t>монетарном сектору у октобру је убрзан и износио је 7,7%. Раст кредитне активности подржан је повољним условима финансирања, одобравањем кредита из гарантних шема, другим мерама Народне банке Србије (повећање рочности за готовинске кредите, мањи степен завршености непокретности за стамбене кредите и продужење рока отплате за 5 година, подстицаји да банке смање каматну стопу за динарске кредите привреди одобрене у оквиру гарантне шеме и др.), као и растом економске активности.</w:t>
      </w:r>
    </w:p>
    <w:p w14:paraId="3E5571E7" w14:textId="77777777" w:rsidR="007F3B95" w:rsidRPr="000E0422" w:rsidRDefault="007F3B95" w:rsidP="00433935">
      <w:pPr>
        <w:spacing w:after="60"/>
        <w:rPr>
          <w:lang w:val="sr-Cyrl-RS"/>
        </w:rPr>
      </w:pPr>
      <w:r w:rsidRPr="000E0422">
        <w:rPr>
          <w:lang w:val="sr-Cyrl-RS"/>
        </w:rPr>
        <w:t>Резултати анкета о кредитној активности коју спроводи Народна банка Србије показују да су банке у 2021. ублажиле кредитне стандарде за становништво, док су у случају привреде стандарди у прва два тромесечја ублажени, а затим пооштрени у Т3 за девизно индекс</w:t>
      </w:r>
      <w:r w:rsidR="008A5639">
        <w:rPr>
          <w:lang w:val="sr-Cyrl-RS"/>
        </w:rPr>
        <w:t>и</w:t>
      </w:r>
      <w:r w:rsidRPr="000E0422">
        <w:rPr>
          <w:lang w:val="sr-Cyrl-RS"/>
        </w:rPr>
        <w:t>ране кредите. Током целе 2021. тражња за кредитима наставила је да расте, при чему се код привреде као фактор тражње истиче финансирање капиталних инвестиција, а код становништва куповина непокретности. Наставак</w:t>
      </w:r>
      <w:r w:rsidR="001E1744">
        <w:rPr>
          <w:lang w:val="sr-Cyrl-RS"/>
        </w:rPr>
        <w:t xml:space="preserve"> раста тражње </w:t>
      </w:r>
      <w:r w:rsidRPr="000E0422">
        <w:rPr>
          <w:lang w:val="sr-Cyrl-RS"/>
        </w:rPr>
        <w:t>за кредитима се очекује и за наредни период.</w:t>
      </w:r>
    </w:p>
    <w:p w14:paraId="6EFF7505" w14:textId="77777777" w:rsidR="007F3B95" w:rsidRPr="000D5CE6" w:rsidRDefault="007F3B95" w:rsidP="00433935">
      <w:pPr>
        <w:spacing w:after="60"/>
        <w:rPr>
          <w:spacing w:val="-2"/>
          <w:lang w:val="sr-Cyrl-RS"/>
        </w:rPr>
      </w:pPr>
      <w:r w:rsidRPr="000E0422">
        <w:rPr>
          <w:lang w:val="sr-Cyrl-RS"/>
        </w:rPr>
        <w:t xml:space="preserve">Мг. раст кредита привреди у октобру је износио 6,5%, а њихово учешће у БДП-у износило је 24,3%. Раст кредита од почетка године вођен је одобравањем кредита за ликвидност и обртна средства, а затим инвестиционим кредитима, чија су учешћа у укупним кредитима привреди у октобру износила 45,7% и 42,0%, респективно. Посматрано по величини предузећа, кредити одобрени сегменту микро, малих и средњих предузећа учествују са 67,1% у укупним кредитима привреди. Током девет месеци 2021. одобрено је укупно 674 млн евра кредита из гарантне шеме, тј. 2,15 млрд евра од почетка примене у мају 2020. Скоро две трећине ових кредита у 2021. било је у динарима (65,4%), што је утицало да учешће стања динарских пласмана у укупним пласманима достигне нов максимум у јуну (36,8%), где се налази и у октобру. Динаризација пласмана привреди порасла је у октобру на 23,9%, што је највиши ниво за претходних шест година, док је код становништва виша и износи 55,0%. </w:t>
      </w:r>
      <w:r w:rsidRPr="000D5CE6">
        <w:rPr>
          <w:spacing w:val="-2"/>
          <w:lang w:val="sr-Cyrl-RS"/>
        </w:rPr>
        <w:t>Раст кредита становништву у октобру износио је 9,9% мг., а њихово учешће у БДП-у достигло је 22,7%. Највећи раст у 2021. бележе стамбени кредити, који су у октобру забележили стопу раста од 16,8% мг., док су готовински кредити били виши за 9,5% мг.</w:t>
      </w:r>
    </w:p>
    <w:p w14:paraId="5939334E" w14:textId="77777777" w:rsidR="007F3B95" w:rsidRPr="000E0422" w:rsidRDefault="007F3B95" w:rsidP="00433935">
      <w:pPr>
        <w:spacing w:after="60"/>
        <w:rPr>
          <w:lang w:val="sr-Cyrl-RS"/>
        </w:rPr>
      </w:pPr>
      <w:r w:rsidRPr="000E0422">
        <w:rPr>
          <w:lang w:val="sr-Cyrl-RS"/>
        </w:rPr>
        <w:t>Очекујемо да ће укупни домаћи кредити немонетарном сектору на нивоу године у 2021. бити повећани за око 9%, рачунато по програмском курсу. Раст ће бити настављен и у 2022, али нешто споријим темпом (око 7%), уз и даље нешто бржи раст кредита становништву у односу на привреду. У правцу наставка раста кредитне активности деловаће очекивани раст економске активности и одржавање повољних услова кредитног задужења, док ће у супротном смеру деловати очекивано доспеће кредита одобрених из „прве” гарантне шеме.</w:t>
      </w:r>
    </w:p>
    <w:p w14:paraId="02722629" w14:textId="77777777" w:rsidR="007F3B95" w:rsidRPr="000E0422" w:rsidRDefault="008A5639" w:rsidP="00433935">
      <w:pPr>
        <w:spacing w:after="60"/>
        <w:rPr>
          <w:lang w:val="sr-Cyrl-RS"/>
        </w:rPr>
      </w:pPr>
      <w:r>
        <w:rPr>
          <w:lang w:val="sr-Cyrl-RS"/>
        </w:rPr>
        <w:t>Ма</w:t>
      </w:r>
      <w:r w:rsidR="007F3B95" w:rsidRPr="000E0422">
        <w:rPr>
          <w:lang w:val="sr-Cyrl-RS"/>
        </w:rPr>
        <w:t>њ</w:t>
      </w:r>
      <w:r>
        <w:rPr>
          <w:lang w:val="sr-Cyrl-RS"/>
        </w:rPr>
        <w:t>и</w:t>
      </w:r>
      <w:r w:rsidR="007F3B95" w:rsidRPr="000E0422">
        <w:rPr>
          <w:lang w:val="sr-Cyrl-RS"/>
        </w:rPr>
        <w:t xml:space="preserve"> обим директне државне помоћи него у претходној години и престанак мораторијума на отплату кредита привреди и становништву утицали су на успоравање раста новчане масе у 2021. У октобру је мг. раст монетарних агрегата М1, М2 и М3 износио 10,6%, 7,1% и 5,4%, респективно. Раст динарске новчане масе у 2021. био је пре </w:t>
      </w:r>
      <w:r w:rsidR="007F3B95" w:rsidRPr="000E0422">
        <w:rPr>
          <w:lang w:val="sr-Cyrl-RS"/>
        </w:rPr>
        <w:lastRenderedPageBreak/>
        <w:t>свега вођен растом трансакционих депозита привреде и становништва. Динарска штедња становништва која је наставила тренд раста и током 2021. повећана је за 7,8 млрд динара и октобру је износила 100,4 млрд динара. Стабилан и континуирани раст динарске штедње, који је у претходне три године био двоцифрен, показатељ је поверења грађана у домаћу валуту и олакшава очување финансијске и ценовне стабилности. Поред тога, већој атрактивности динарске од девизне штедње доприносе и више каматне стопе, као и њен повољнији порески третман. То је резултирало растом учешћа динарских депозита становништва са 8,8% крајем 2012. на 27,2% у октобру ове године, као и повећањем динаризације укупних депозита привреде и становништва са 19,3% на око 39%. То потврђује и да Стратегија динаризације донета 2012, и унапређена крајем 2018, даје позитивне резултате. Девизни депозити су у десет месеци 2021. повећани за 1.457,2 млн евра, највише захваљујући расту девизне штедње становништва, која је крајем октобра премашила 12 млрд евра.</w:t>
      </w:r>
    </w:p>
    <w:p w14:paraId="702E98CE" w14:textId="77777777" w:rsidR="00527A51" w:rsidRPr="000E0422" w:rsidRDefault="007C3538" w:rsidP="00433935">
      <w:pPr>
        <w:spacing w:after="60"/>
        <w:rPr>
          <w:b/>
          <w:i/>
          <w:szCs w:val="24"/>
          <w:lang w:val="sr-Cyrl-RS"/>
        </w:rPr>
      </w:pPr>
      <w:r w:rsidRPr="000E0422">
        <w:rPr>
          <w:b/>
          <w:szCs w:val="24"/>
          <w:lang w:val="sr-Cyrl-RS"/>
        </w:rPr>
        <w:t xml:space="preserve">Финансијски </w:t>
      </w:r>
      <w:r w:rsidRPr="000E0422">
        <w:rPr>
          <w:rFonts w:eastAsia="Times New Roman"/>
          <w:b/>
          <w:szCs w:val="24"/>
          <w:lang w:val="sr-Cyrl-RS"/>
        </w:rPr>
        <w:t>сектор</w:t>
      </w:r>
      <w:r w:rsidRPr="000E0422">
        <w:rPr>
          <w:b/>
          <w:szCs w:val="24"/>
          <w:lang w:val="sr-Cyrl-RS"/>
        </w:rPr>
        <w:t>.</w:t>
      </w:r>
      <w:r w:rsidRPr="000E0422">
        <w:rPr>
          <w:szCs w:val="24"/>
          <w:lang w:val="sr-Cyrl-RS"/>
        </w:rPr>
        <w:t xml:space="preserve"> </w:t>
      </w:r>
      <w:r w:rsidR="00527A51" w:rsidRPr="000E0422">
        <w:rPr>
          <w:szCs w:val="24"/>
          <w:lang w:val="sr-Cyrl-RS"/>
        </w:rPr>
        <w:t>У структури финансијског система Србије није било значајнијих измена током 2021. године – банкарски сектор је и даље доминантан са учешћем преко 90% у укупној активи финансијског сектора.</w:t>
      </w:r>
      <w:r w:rsidR="00527A51" w:rsidRPr="008A5639">
        <w:rPr>
          <w:szCs w:val="24"/>
          <w:lang w:val="sr-Cyrl-RS"/>
        </w:rPr>
        <w:t xml:space="preserve"> </w:t>
      </w:r>
      <w:r w:rsidR="00527A51" w:rsidRPr="000E0422">
        <w:rPr>
          <w:szCs w:val="24"/>
          <w:lang w:val="sr-Cyrl-RS"/>
        </w:rPr>
        <w:t>Закључно са 30. септембром 2021. године банкарс</w:t>
      </w:r>
      <w:r w:rsidR="008A5639">
        <w:rPr>
          <w:szCs w:val="24"/>
          <w:lang w:val="sr-Cyrl-RS"/>
        </w:rPr>
        <w:t>ки сектор Србије је чинило 24 ба</w:t>
      </w:r>
      <w:r w:rsidR="00527A51" w:rsidRPr="000E0422">
        <w:rPr>
          <w:szCs w:val="24"/>
          <w:lang w:val="sr-Cyrl-RS"/>
        </w:rPr>
        <w:t>нк</w:t>
      </w:r>
      <w:r w:rsidR="008A5639">
        <w:rPr>
          <w:szCs w:val="24"/>
          <w:lang w:val="sr-Cyrl-RS"/>
        </w:rPr>
        <w:t>е</w:t>
      </w:r>
      <w:r w:rsidR="00527A51" w:rsidRPr="000E0422">
        <w:rPr>
          <w:szCs w:val="24"/>
          <w:lang w:val="sr-Cyrl-RS"/>
        </w:rPr>
        <w:t>, од којих је 19 у већинском власништву страних лица (чланице банкарских група из 13 држава), 2 банке су у већинском власништву Републике Србије, док су 3 банке у већинском власништву домаћих правних лица. На тржишту доминирају банке у већинском власништву страних лица, на које се односи 86,3% укупне билансне активе, 89,8% укупних бруто кредита и 85,2% укупних депозита банкарског сектора. Вредности Херфиндал–Хиршмановог индекса (</w:t>
      </w:r>
      <w:r w:rsidR="00527A51" w:rsidRPr="000E0422">
        <w:rPr>
          <w:i/>
          <w:iCs/>
          <w:szCs w:val="24"/>
          <w:lang w:val="sr-Cyrl-RS"/>
        </w:rPr>
        <w:t>HHI</w:t>
      </w:r>
      <w:r w:rsidR="00527A51" w:rsidRPr="000E0422">
        <w:rPr>
          <w:szCs w:val="24"/>
          <w:lang w:val="sr-Cyrl-RS"/>
        </w:rPr>
        <w:t>)</w:t>
      </w:r>
      <w:r w:rsidR="00527A51" w:rsidRPr="000E0422">
        <w:rPr>
          <w:i/>
          <w:iCs/>
          <w:szCs w:val="24"/>
          <w:lang w:val="sr-Cyrl-RS"/>
        </w:rPr>
        <w:t xml:space="preserve"> </w:t>
      </w:r>
      <w:r w:rsidR="00527A51" w:rsidRPr="000E0422">
        <w:rPr>
          <w:szCs w:val="24"/>
          <w:lang w:val="sr-Cyrl-RS"/>
        </w:rPr>
        <w:t>показују одсуство концентрације у кључним билансним категоријама, што указује на задовољавајући степен тржишне конкуренције.</w:t>
      </w:r>
    </w:p>
    <w:p w14:paraId="46A91398" w14:textId="28CBFF60" w:rsidR="00527A51" w:rsidRPr="00052B37" w:rsidRDefault="00527A51" w:rsidP="00052B37">
      <w:pPr>
        <w:spacing w:after="60"/>
        <w:rPr>
          <w:szCs w:val="24"/>
          <w:lang w:val="sr-Cyrl-RS"/>
        </w:rPr>
      </w:pPr>
      <w:r w:rsidRPr="00052B37">
        <w:rPr>
          <w:szCs w:val="24"/>
          <w:lang w:val="sr-Cyrl-RS"/>
        </w:rPr>
        <w:t xml:space="preserve">Билансна сума и капитал банкарског сектора Србије су на крају септембра 2021. године износили 4.935 млрд динара и 721 млрд динара, респективно. Солидне резерве капитала које су банке изградиле протеклих неколико година су их учиниле отпорнијим на негативне ефекте пандемије </w:t>
      </w:r>
      <w:r w:rsidR="0063502F" w:rsidRPr="00052B37">
        <w:rPr>
          <w:szCs w:val="24"/>
          <w:lang w:val="sr-Cyrl-RS"/>
        </w:rPr>
        <w:t>Ковид</w:t>
      </w:r>
      <w:r w:rsidRPr="00052B37">
        <w:rPr>
          <w:szCs w:val="24"/>
          <w:lang w:val="sr-Cyrl-RS"/>
        </w:rPr>
        <w:t>-19. Показатељ адекватности капитала за банкарски сектор је износио 21,68%, а показатељ левериџа (по „Базелу 3”) 11,50% на крају T3 2021. године, што представља још једну потврду високе солвентности банкарског сектора.</w:t>
      </w:r>
    </w:p>
    <w:p w14:paraId="5F618941" w14:textId="77777777" w:rsidR="00527A51" w:rsidRPr="000E0422" w:rsidRDefault="00527A51" w:rsidP="00433935">
      <w:pPr>
        <w:spacing w:after="60"/>
        <w:rPr>
          <w:szCs w:val="24"/>
          <w:lang w:val="sr-Cyrl-RS"/>
        </w:rPr>
      </w:pPr>
      <w:r w:rsidRPr="000E0422">
        <w:rPr>
          <w:szCs w:val="24"/>
          <w:lang w:val="sr-Cyrl-RS"/>
        </w:rPr>
        <w:t>Резерве ликвидности банкарског сектора у Србији су више него довољне за покриће потенцијалних потреба за ликвидним средствима, што потврђују кретање кључних показатеља ликвидности и рочна структура имовине и обавеза. Месечни показатељ ликвидности који се обрачунава у складу с домаћим прописима је у септембру на нивоу банкарског сектора износио 2,28 (регулаторни минимум је 1,0) и био је изнад 2 током целе 2021. године. Ликвидна средства су чинила 37,80% укупне билансне активе и 50,17% укупних краткорочних обавеза, док је показатељ покрића ликвидном активом (по „Базелу 3</w:t>
      </w:r>
      <w:r w:rsidR="002C0C52" w:rsidRPr="002C0C52">
        <w:rPr>
          <w:szCs w:val="24"/>
          <w:lang w:val="sr-Cyrl-RS"/>
        </w:rPr>
        <w:t>”</w:t>
      </w:r>
      <w:r w:rsidRPr="000E0422">
        <w:rPr>
          <w:szCs w:val="24"/>
          <w:lang w:val="sr-Cyrl-RS"/>
        </w:rPr>
        <w:t>) износио 216,37% на крају септембра 2021. године.</w:t>
      </w:r>
    </w:p>
    <w:p w14:paraId="3BDB770D" w14:textId="77777777" w:rsidR="00527A51" w:rsidRPr="000E0422" w:rsidRDefault="00527A51" w:rsidP="00433935">
      <w:pPr>
        <w:spacing w:after="60"/>
        <w:rPr>
          <w:szCs w:val="24"/>
          <w:lang w:val="sr-Cyrl-RS"/>
        </w:rPr>
      </w:pPr>
      <w:r w:rsidRPr="000E0422">
        <w:rPr>
          <w:szCs w:val="24"/>
          <w:lang w:val="sr-Cyrl-RS"/>
        </w:rPr>
        <w:t>Бакарски сектор је упркос пандемији успео да задржи задовољавајућу профитабилност и у 2021. години. Укупан нето добитак пре опорезивања остварен од почетка године до краја септембра износио је 41,5 млрд динара, уз показатеље профитабилности ROA од 1,16% и ROE 7,69%.</w:t>
      </w:r>
    </w:p>
    <w:p w14:paraId="6D7311E6" w14:textId="77777777" w:rsidR="00527A51" w:rsidRPr="000E0422" w:rsidRDefault="00527A51" w:rsidP="00433935">
      <w:pPr>
        <w:spacing w:after="60"/>
        <w:rPr>
          <w:szCs w:val="24"/>
          <w:lang w:val="sr-Cyrl-RS"/>
        </w:rPr>
      </w:pPr>
      <w:r w:rsidRPr="000E0422">
        <w:rPr>
          <w:szCs w:val="24"/>
          <w:lang w:val="sr-Cyrl-RS"/>
        </w:rPr>
        <w:t>Иако је спровела све активности из свог Акционог плана за спровођење Стратегије за решавање проблематичних кредита (у даљем тексту: Стратегија), Народн</w:t>
      </w:r>
      <w:r w:rsidR="008A5639">
        <w:rPr>
          <w:szCs w:val="24"/>
          <w:lang w:val="sr-Cyrl-RS"/>
        </w:rPr>
        <w:t>а</w:t>
      </w:r>
      <w:r w:rsidRPr="000E0422">
        <w:rPr>
          <w:szCs w:val="24"/>
          <w:lang w:val="sr-Cyrl-RS"/>
        </w:rPr>
        <w:t xml:space="preserve"> банк</w:t>
      </w:r>
      <w:r w:rsidR="008A5639">
        <w:rPr>
          <w:szCs w:val="24"/>
          <w:lang w:val="sr-Cyrl-RS"/>
        </w:rPr>
        <w:t>а</w:t>
      </w:r>
      <w:r w:rsidRPr="000E0422">
        <w:rPr>
          <w:szCs w:val="24"/>
          <w:lang w:val="sr-Cyrl-RS"/>
        </w:rPr>
        <w:t xml:space="preserve"> Србије је наставила да предузима регулаторне мере из своје надлежности и користи расположиве инструменте и механизме надзора у циљу подстицања банака да ефикасније решавају проблематичне кредите и успоставе систем који ће спречити њихову поновну акумулацију. Од септембра 2017. године је у примени </w:t>
      </w:r>
      <w:r w:rsidRPr="000E0422">
        <w:rPr>
          <w:bCs/>
          <w:i/>
          <w:szCs w:val="24"/>
          <w:lang w:val="sr-Cyrl-RS"/>
        </w:rPr>
        <w:t>Одлука о рачуноводственом отпису билансне активе банака</w:t>
      </w:r>
      <w:r w:rsidRPr="000E0422">
        <w:rPr>
          <w:szCs w:val="24"/>
          <w:lang w:val="sr-Cyrl-RS"/>
        </w:rPr>
        <w:t xml:space="preserve">, у складу с којом су банке дужне да </w:t>
      </w:r>
      <w:r w:rsidRPr="000E0422">
        <w:rPr>
          <w:szCs w:val="24"/>
          <w:lang w:val="sr-Cyrl-RS"/>
        </w:rPr>
        <w:lastRenderedPageBreak/>
        <w:t>пренесу у ванбилансну евиденцију све проблематичне кредите који су у потпуности обезвређени.</w:t>
      </w:r>
    </w:p>
    <w:p w14:paraId="72829F22" w14:textId="77777777" w:rsidR="00527A51" w:rsidRPr="000E0422" w:rsidRDefault="00527A51" w:rsidP="00433935">
      <w:pPr>
        <w:spacing w:after="60"/>
        <w:rPr>
          <w:szCs w:val="24"/>
          <w:lang w:val="sr-Cyrl-RS"/>
        </w:rPr>
      </w:pPr>
      <w:r w:rsidRPr="000E0422">
        <w:rPr>
          <w:szCs w:val="24"/>
          <w:lang w:val="sr-Cyrl-RS"/>
        </w:rPr>
        <w:t>Шест година након усвајања Стратегије, учешће проблематичних кредита у укупним бруто кредитима банкарског сектора је смањено за 18,7 п.п. на 3,55%, колико је износило на крају септембра 2021. године. Стање бруто проблематичних кредита је у истом периоду смањено за 75,71% (са 427,3 млрд динара на 104,7 млрд динара). Најзначајнији канали смањења проблематичних кредита су били директан отпис и уступања (продаја) потраживања, а од 2021. години и наплата (потпуна или делимична, ако су испуњени услови за излазак из проблематичног статуса). Од усвајања Стратегије закључно са септембром 2021. године, укупно смањење проблематичних кредита које се дугује директном отпису је износило 229,2 млрд динара и присутно је код свих банака. Укупан износ уступљених потраживања од момента увођења Стратегије износи 98,6 млрд динара</w:t>
      </w:r>
      <w:r w:rsidRPr="000E0422">
        <w:rPr>
          <w:szCs w:val="24"/>
          <w:vertAlign w:val="superscript"/>
          <w:lang w:val="sr-Cyrl-RS"/>
        </w:rPr>
        <w:footnoteReference w:id="3"/>
      </w:r>
      <w:r w:rsidRPr="000E0422">
        <w:rPr>
          <w:szCs w:val="24"/>
          <w:lang w:val="sr-Cyrl-RS"/>
        </w:rPr>
        <w:t xml:space="preserve">. Учешће проблематичних кредита у укупним кредитима привреди је на крају септембра 2021. године износило 3,47%, док је њихов удео у укупним кредитима физичким лицима био 3,88%. На крају септембра 2021. године покриће проблематичних кредита исправкама вредности извршеним у складу са МСФИ је износило 59,3% што је релативно висок ниво покрића у поређењу са истим показатељем на нивоу ЕУ (око 44 % према последњим расположивим подацима). </w:t>
      </w:r>
      <w:bookmarkStart w:id="11" w:name="_Hlk88058820"/>
      <w:r w:rsidRPr="000E0422">
        <w:rPr>
          <w:szCs w:val="24"/>
          <w:lang w:val="sr-Cyrl-RS"/>
        </w:rPr>
        <w:t>Показатељ ризика концентрације уведен крајем 2018. године у циљу смањења удела готовинских, потрошачких и осталих ненаменских кредита становништву дужих рочности у регулаторном капиталу и дугорочним обавезама, као и у циљу подстицања праксе одрживог кредитирања становништва, смањен је на нивоу банкарског сектора за 14,42 п.п. у периоду јануар 2019. године – септембар 2021. године (са 25,19% на 10,77%).</w:t>
      </w:r>
    </w:p>
    <w:bookmarkEnd w:id="11"/>
    <w:p w14:paraId="181FE1DA" w14:textId="77777777" w:rsidR="00527A51" w:rsidRPr="000D5CE6" w:rsidRDefault="00527A51" w:rsidP="00433935">
      <w:pPr>
        <w:spacing w:after="60"/>
        <w:rPr>
          <w:spacing w:val="-2"/>
          <w:szCs w:val="24"/>
          <w:lang w:val="sr-Cyrl-RS"/>
        </w:rPr>
      </w:pPr>
      <w:r w:rsidRPr="000D5CE6">
        <w:rPr>
          <w:spacing w:val="-2"/>
          <w:szCs w:val="24"/>
          <w:lang w:val="sr-Cyrl-RS"/>
        </w:rPr>
        <w:t>Народна банка Србије редовно разматра обавезу одржавања заштитних слојева капитала којима се ограничавају системски ризици у финансијском систему Републике Србије. Заштитни слој капитала за системски значајне банке преиспитује се најмање једном годишње, а у јуну 2021. године осам банака је идентификовано као системски значајно за домаћу економију</w:t>
      </w:r>
      <w:r w:rsidRPr="000D5CE6">
        <w:rPr>
          <w:spacing w:val="-2"/>
          <w:szCs w:val="24"/>
          <w:vertAlign w:val="superscript"/>
          <w:lang w:val="sr-Cyrl-RS"/>
        </w:rPr>
        <w:footnoteReference w:id="4"/>
      </w:r>
      <w:r w:rsidRPr="000D5CE6">
        <w:rPr>
          <w:spacing w:val="-2"/>
          <w:szCs w:val="24"/>
          <w:lang w:val="sr-Cyrl-RS"/>
        </w:rPr>
        <w:t>, од којих су четири у обавези да одржавају додатни основни акцијски капитал у износу 2% од њихове ризичне активе, а преостале четири у износу 1% од њихове ризичне активе. Банке су у септембру 2021. године за одржавање свих прописаних заштитних слојева капитала (комбиновани заштитни слој капитала) укупно издвојиле 161,3 млрд динара основног акцијског капитала, или 5,5% ризичне активе.</w:t>
      </w:r>
    </w:p>
    <w:p w14:paraId="1A281D79" w14:textId="77777777" w:rsidR="00527A51" w:rsidRPr="000E0422" w:rsidRDefault="00527A51" w:rsidP="00433935">
      <w:pPr>
        <w:spacing w:after="60"/>
        <w:rPr>
          <w:szCs w:val="24"/>
          <w:lang w:val="sr-Cyrl-RS"/>
        </w:rPr>
      </w:pPr>
      <w:r w:rsidRPr="000E0422">
        <w:rPr>
          <w:szCs w:val="24"/>
          <w:lang w:val="sr-Cyrl-RS"/>
        </w:rPr>
        <w:t>Анализа кретања кредитне активности са аспекта утврђивања висине стопе контрацикличног заштитног слоја капитала са јуном 2021. указује на то да се, и поред раста, кредитна активност мерена учешћем укупних реалних кредита у реалном БДП-у налази испод свог дугорочног тренда (–1,9 п.п.). С обзиром на то, а имајући у виду присутан наставак глобалне неизвесности изазване ширењем вируса корона, Народн</w:t>
      </w:r>
      <w:r w:rsidR="008A5639">
        <w:rPr>
          <w:szCs w:val="24"/>
          <w:lang w:val="sr-Cyrl-RS"/>
        </w:rPr>
        <w:t>а</w:t>
      </w:r>
      <w:r w:rsidRPr="000E0422">
        <w:rPr>
          <w:szCs w:val="24"/>
          <w:lang w:val="sr-Cyrl-RS"/>
        </w:rPr>
        <w:t xml:space="preserve"> банке Србије </w:t>
      </w:r>
      <w:r w:rsidR="008A5639">
        <w:rPr>
          <w:szCs w:val="24"/>
          <w:lang w:val="sr-Cyrl-RS"/>
        </w:rPr>
        <w:t>је</w:t>
      </w:r>
      <w:r w:rsidRPr="000E0422">
        <w:rPr>
          <w:szCs w:val="24"/>
          <w:lang w:val="sr-Cyrl-RS"/>
        </w:rPr>
        <w:t xml:space="preserve"> у септембру 2021. године, одлучила да стопу контрацикличног заштитног слоја капитала задржи на нивоу од 0%. Анализирана кредитна активност по секторима указује да, ни у сектору привреде ни у сектору становништва, није присутан прекомерни раст кредита.</w:t>
      </w:r>
    </w:p>
    <w:p w14:paraId="0FFF640E" w14:textId="5D51DA8A" w:rsidR="00527A51" w:rsidRPr="000E0422" w:rsidRDefault="00527A51" w:rsidP="00433935">
      <w:pPr>
        <w:spacing w:after="60"/>
        <w:rPr>
          <w:szCs w:val="24"/>
          <w:lang w:val="sr-Cyrl-RS"/>
        </w:rPr>
      </w:pPr>
      <w:bookmarkStart w:id="12" w:name="_Hlk88465511"/>
      <w:r w:rsidRPr="000E0422">
        <w:rPr>
          <w:szCs w:val="24"/>
          <w:lang w:val="sr-Cyrl-RS"/>
        </w:rPr>
        <w:t xml:space="preserve">Имајући у виду сложеност утицаја ванредне здравствене ситуације у земљи на грађане и привреду, Народна банка Србије је 14. децембра 2020. године </w:t>
      </w:r>
      <w:r w:rsidRPr="000E0422">
        <w:rPr>
          <w:b/>
          <w:bCs/>
          <w:i/>
          <w:iCs/>
          <w:szCs w:val="24"/>
          <w:lang w:val="sr-Cyrl-RS"/>
        </w:rPr>
        <w:t xml:space="preserve">Одлуком о привременим мерама за банке у циљу адекватног управљања кредитним ризиком у условима пандемије </w:t>
      </w:r>
      <w:r w:rsidR="0063502F" w:rsidRPr="0063502F">
        <w:rPr>
          <w:b/>
          <w:i/>
          <w:szCs w:val="24"/>
          <w:lang w:val="sr-Cyrl-RS"/>
        </w:rPr>
        <w:t>Ковид</w:t>
      </w:r>
      <w:r w:rsidRPr="000E0422">
        <w:rPr>
          <w:b/>
          <w:bCs/>
          <w:i/>
          <w:iCs/>
          <w:szCs w:val="24"/>
          <w:lang w:val="sr-Cyrl-RS"/>
        </w:rPr>
        <w:t>-19</w:t>
      </w:r>
      <w:r w:rsidRPr="000E0422">
        <w:rPr>
          <w:szCs w:val="24"/>
          <w:lang w:val="sr-Cyrl-RS"/>
        </w:rPr>
        <w:t xml:space="preserve"> и </w:t>
      </w:r>
      <w:r w:rsidRPr="000E0422">
        <w:rPr>
          <w:b/>
          <w:bCs/>
          <w:i/>
          <w:iCs/>
          <w:szCs w:val="24"/>
          <w:lang w:val="sr-Cyrl-RS"/>
        </w:rPr>
        <w:t xml:space="preserve">Одлуком о привременим мерама за даваоце финансијског лизинга у циљу адекватног управљања кредитним ризиком у условима пандемије </w:t>
      </w:r>
      <w:r w:rsidR="0063502F" w:rsidRPr="0063502F">
        <w:rPr>
          <w:b/>
          <w:i/>
          <w:szCs w:val="24"/>
          <w:lang w:val="sr-Cyrl-RS"/>
        </w:rPr>
        <w:lastRenderedPageBreak/>
        <w:t>Ковид</w:t>
      </w:r>
      <w:r w:rsidRPr="000E0422">
        <w:rPr>
          <w:b/>
          <w:bCs/>
          <w:i/>
          <w:iCs/>
          <w:szCs w:val="24"/>
          <w:lang w:val="sr-Cyrl-RS"/>
        </w:rPr>
        <w:t xml:space="preserve">-19 </w:t>
      </w:r>
      <w:r w:rsidRPr="000E0422">
        <w:rPr>
          <w:szCs w:val="24"/>
          <w:lang w:val="sr-Cyrl-RS"/>
        </w:rPr>
        <w:t>прописала мере и активности које су банке и даваоци финансијског лизинга дужни да примене ради адекватног управљања кредитним ризиком, што подразумева благовремено препознавање потенцијалних потешкоћа код дужника и предузимање одговарајућих корака. Олакшице у отплати омогућене су за: физичка лица, пољопривреднике, предузетнике и привредна друштва. Олакшице у отплати су омогућене за измиривање обавеза по основу кредита, кредитних картица и дозвољеног прекорачења по текућем рачуну, под условом да је дужник био уредан у измирењу обавеза према конкретној банци у релевантном периоду пре пандемије. Олакшице које је банка била дужна да омогући дужнику који испуњава напред наведени услов претходне уредности у измиривању обавеза и прописане услове у погледу погођености пандемијом јесу грејс период у трајању од шест месеци за које време дужник није био у обавези да измирује дуг по основу главнице, а измиривање дуга по основу камате (која се свакако обрачунава) такође је могло мировати у периоду грејса, уколико се дужник определио за такву опцију.</w:t>
      </w:r>
    </w:p>
    <w:p w14:paraId="53AE304C" w14:textId="4CC7F9E0" w:rsidR="00527A51" w:rsidRPr="000E0422" w:rsidRDefault="00527A51" w:rsidP="00433935">
      <w:pPr>
        <w:spacing w:after="60"/>
        <w:rPr>
          <w:szCs w:val="24"/>
          <w:lang w:val="sr-Cyrl-RS"/>
        </w:rPr>
      </w:pPr>
      <w:r w:rsidRPr="000E0422">
        <w:rPr>
          <w:szCs w:val="24"/>
          <w:lang w:val="sr-Cyrl-RS"/>
        </w:rPr>
        <w:t xml:space="preserve">Даље, </w:t>
      </w:r>
      <w:r w:rsidRPr="000E0422">
        <w:rPr>
          <w:b/>
          <w:bCs/>
          <w:i/>
          <w:iCs/>
          <w:szCs w:val="24"/>
          <w:lang w:val="sr-Cyrl-RS"/>
        </w:rPr>
        <w:t xml:space="preserve">Одлуком о допунама </w:t>
      </w:r>
      <w:r w:rsidR="008A5639">
        <w:rPr>
          <w:b/>
          <w:bCs/>
          <w:i/>
          <w:iCs/>
          <w:szCs w:val="24"/>
          <w:lang w:val="sr-Cyrl-RS"/>
        </w:rPr>
        <w:t>О</w:t>
      </w:r>
      <w:r w:rsidRPr="000E0422">
        <w:rPr>
          <w:b/>
          <w:bCs/>
          <w:i/>
          <w:iCs/>
          <w:szCs w:val="24"/>
          <w:lang w:val="sr-Cyrl-RS"/>
        </w:rPr>
        <w:t>дл</w:t>
      </w:r>
      <w:r w:rsidR="008A5639">
        <w:rPr>
          <w:b/>
          <w:bCs/>
          <w:i/>
          <w:iCs/>
          <w:szCs w:val="24"/>
          <w:lang w:val="sr-Cyrl-RS"/>
        </w:rPr>
        <w:t>у</w:t>
      </w:r>
      <w:r w:rsidRPr="000E0422">
        <w:rPr>
          <w:b/>
          <w:bCs/>
          <w:i/>
          <w:iCs/>
          <w:szCs w:val="24"/>
          <w:lang w:val="sr-Cyrl-RS"/>
        </w:rPr>
        <w:t>к</w:t>
      </w:r>
      <w:r w:rsidR="008A5639">
        <w:rPr>
          <w:b/>
          <w:bCs/>
          <w:i/>
          <w:iCs/>
          <w:szCs w:val="24"/>
          <w:lang w:val="sr-Cyrl-RS"/>
        </w:rPr>
        <w:t>е</w:t>
      </w:r>
      <w:r w:rsidRPr="000E0422">
        <w:rPr>
          <w:b/>
          <w:bCs/>
          <w:i/>
          <w:iCs/>
          <w:szCs w:val="24"/>
          <w:lang w:val="sr-Cyrl-RS"/>
        </w:rPr>
        <w:t xml:space="preserve"> о привременим мерама за банке у циљу адекватног управљања кредитним ризиком у условима пандeмије </w:t>
      </w:r>
      <w:r w:rsidR="0063502F" w:rsidRPr="0063502F">
        <w:rPr>
          <w:b/>
          <w:i/>
          <w:szCs w:val="24"/>
          <w:lang w:val="sr-Cyrl-RS"/>
        </w:rPr>
        <w:t>Ковид</w:t>
      </w:r>
      <w:r w:rsidRPr="000E0422">
        <w:rPr>
          <w:b/>
          <w:bCs/>
          <w:i/>
          <w:iCs/>
          <w:szCs w:val="24"/>
          <w:lang w:val="sr-Cyrl-RS"/>
        </w:rPr>
        <w:t>-19</w:t>
      </w:r>
      <w:r w:rsidRPr="000E0422">
        <w:rPr>
          <w:szCs w:val="24"/>
          <w:lang w:val="sr-Cyrl-RS"/>
        </w:rPr>
        <w:t xml:space="preserve"> која је усвојена у марту 2021. године, предвиђено је регулаторно решење у складу са којим право на олакшицу има и дужник који је (поред претходне уредности у измиривању обавеза према банци) на дан 28. фебруара 2021. године у доцњи дужој од 30 дана у материјално значајном износу по основу било које обавезе према банци проистекле из производа на које се ова одлука примењује.</w:t>
      </w:r>
    </w:p>
    <w:p w14:paraId="5C7FAAD3" w14:textId="4E021CC9" w:rsidR="00527A51" w:rsidRPr="000E0422" w:rsidRDefault="00527A51" w:rsidP="00433935">
      <w:pPr>
        <w:spacing w:after="60"/>
        <w:rPr>
          <w:szCs w:val="24"/>
          <w:lang w:val="sr-Cyrl-RS"/>
        </w:rPr>
      </w:pPr>
      <w:r w:rsidRPr="000E0422">
        <w:rPr>
          <w:szCs w:val="24"/>
          <w:lang w:val="sr-Cyrl-RS"/>
        </w:rPr>
        <w:t xml:space="preserve">Имајући у виду чињеницу да се негативан развој епидемиолошке ситуације изазване пандемијом </w:t>
      </w:r>
      <w:r w:rsidR="0063502F">
        <w:rPr>
          <w:szCs w:val="24"/>
          <w:lang w:val="sr-Cyrl-RS"/>
        </w:rPr>
        <w:t>Ковид</w:t>
      </w:r>
      <w:r w:rsidRPr="000E0422">
        <w:rPr>
          <w:szCs w:val="24"/>
          <w:lang w:val="sr-Cyrl-RS"/>
        </w:rPr>
        <w:t>-19 наставио и током 2021. године, Народна банка Србије је неколико пута одлагала примену мера којима се дестимулише одобравање нових, ненаменских и неинвестиционих, девизно индексираних кредита и кредита у страној валути дужницима из нефинансијског и недржавног сектора, усвојених у децембру 2019. године, у делу који се односи на капитал изменом Одлуке о адекватности капитала банке.</w:t>
      </w:r>
      <w:r w:rsidRPr="000E0422">
        <w:rPr>
          <w:szCs w:val="24"/>
          <w:vertAlign w:val="superscript"/>
          <w:lang w:val="sr-Cyrl-RS"/>
        </w:rPr>
        <w:footnoteReference w:id="5"/>
      </w:r>
      <w:r w:rsidRPr="000E0422">
        <w:rPr>
          <w:szCs w:val="24"/>
          <w:lang w:val="sr-Cyrl-RS"/>
        </w:rPr>
        <w:t xml:space="preserve"> С друге стране део мера које се односе на управљање ризицима банке примењује се од 1. јануара 2021. године.</w:t>
      </w:r>
    </w:p>
    <w:p w14:paraId="28C94AFA" w14:textId="77777777" w:rsidR="00527A51" w:rsidRPr="000E0422" w:rsidRDefault="00527A51" w:rsidP="00433935">
      <w:pPr>
        <w:spacing w:after="60"/>
        <w:rPr>
          <w:szCs w:val="24"/>
          <w:lang w:val="sr-Cyrl-RS"/>
        </w:rPr>
      </w:pPr>
      <w:r w:rsidRPr="000E0422">
        <w:rPr>
          <w:szCs w:val="24"/>
          <w:lang w:val="sr-Cyrl-RS"/>
        </w:rPr>
        <w:t xml:space="preserve">У складу са последњом </w:t>
      </w:r>
      <w:r w:rsidRPr="000E0422">
        <w:rPr>
          <w:b/>
          <w:bCs/>
          <w:i/>
          <w:iCs/>
          <w:szCs w:val="24"/>
          <w:lang w:val="sr-Cyrl-RS"/>
        </w:rPr>
        <w:t>Одлуком о изменама Одлуке о адекватности капитала банке</w:t>
      </w:r>
      <w:r w:rsidRPr="000E0422">
        <w:rPr>
          <w:szCs w:val="24"/>
          <w:lang w:val="sr-Cyrl-RS"/>
        </w:rPr>
        <w:t>, из јуна 2021. године, због одлагања примене за дванаест месеци, за обрачун одбитне ставке од основног акцијског капитала банке релевантни су новоодобрени кредити индексирани девизном клаузулом и кредити у страној валути од 1. јула 2022. године. Последично, одбитна ставка примењује се ако изложености банке по основу кредита у динарима индексираних девизном клаузулом и кредита у страној валути одобрених почев од 1. јула 2022. године дужницима из нефинансијског и недржавног сектора прелазе:</w:t>
      </w:r>
    </w:p>
    <w:p w14:paraId="4D4E28FE" w14:textId="77777777" w:rsidR="00527A51" w:rsidRPr="000E0422" w:rsidRDefault="00527A51" w:rsidP="004D22FA">
      <w:pPr>
        <w:numPr>
          <w:ilvl w:val="0"/>
          <w:numId w:val="13"/>
        </w:numPr>
        <w:spacing w:after="80"/>
        <w:ind w:left="714" w:hanging="357"/>
        <w:rPr>
          <w:szCs w:val="24"/>
          <w:lang w:val="sr-Cyrl-RS"/>
        </w:rPr>
      </w:pPr>
      <w:r w:rsidRPr="000E0422">
        <w:rPr>
          <w:szCs w:val="24"/>
          <w:lang w:val="sr-Cyrl-RS"/>
        </w:rPr>
        <w:t>71%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2022. године до 30. јуна 2023. године;</w:t>
      </w:r>
    </w:p>
    <w:p w14:paraId="4A877FC0" w14:textId="77777777" w:rsidR="00527A51" w:rsidRPr="000E0422" w:rsidRDefault="00527A51" w:rsidP="004D22FA">
      <w:pPr>
        <w:numPr>
          <w:ilvl w:val="0"/>
          <w:numId w:val="13"/>
        </w:numPr>
        <w:spacing w:after="80"/>
        <w:ind w:left="714" w:hanging="357"/>
        <w:rPr>
          <w:szCs w:val="24"/>
          <w:lang w:val="sr-Cyrl-RS"/>
        </w:rPr>
      </w:pPr>
      <w:r w:rsidRPr="000E0422">
        <w:rPr>
          <w:szCs w:val="24"/>
          <w:lang w:val="sr-Cyrl-RS"/>
        </w:rPr>
        <w:t>64%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2023. године до 30. јуна 2024. године;</w:t>
      </w:r>
    </w:p>
    <w:p w14:paraId="4B3CBCAB" w14:textId="77777777" w:rsidR="00527A51" w:rsidRPr="000E0422" w:rsidRDefault="00527A51" w:rsidP="004D22FA">
      <w:pPr>
        <w:numPr>
          <w:ilvl w:val="0"/>
          <w:numId w:val="13"/>
        </w:numPr>
        <w:spacing w:after="80"/>
        <w:ind w:left="714" w:hanging="357"/>
        <w:rPr>
          <w:szCs w:val="24"/>
          <w:lang w:val="sr-Cyrl-RS"/>
        </w:rPr>
      </w:pPr>
      <w:r w:rsidRPr="000E0422">
        <w:rPr>
          <w:szCs w:val="24"/>
          <w:lang w:val="sr-Cyrl-RS"/>
        </w:rPr>
        <w:lastRenderedPageBreak/>
        <w:t>57%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2024. године до 30. јуна 2025. године.</w:t>
      </w:r>
    </w:p>
    <w:p w14:paraId="741ED6BE" w14:textId="77777777" w:rsidR="00527A51" w:rsidRPr="000E0422" w:rsidRDefault="00527A51" w:rsidP="004D22FA">
      <w:pPr>
        <w:numPr>
          <w:ilvl w:val="0"/>
          <w:numId w:val="13"/>
        </w:numPr>
        <w:spacing w:after="60"/>
        <w:ind w:left="714" w:hanging="357"/>
        <w:rPr>
          <w:szCs w:val="24"/>
          <w:lang w:val="sr-Cyrl-RS"/>
        </w:rPr>
      </w:pPr>
      <w:r w:rsidRPr="000E0422">
        <w:rPr>
          <w:szCs w:val="24"/>
          <w:lang w:val="sr-Cyrl-RS"/>
        </w:rPr>
        <w:t>50%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2025. године.</w:t>
      </w:r>
    </w:p>
    <w:p w14:paraId="5E212312" w14:textId="77777777" w:rsidR="00527A51" w:rsidRPr="000E0422" w:rsidRDefault="00527A51" w:rsidP="0020125C">
      <w:pPr>
        <w:spacing w:after="60"/>
        <w:rPr>
          <w:szCs w:val="24"/>
          <w:lang w:val="sr-Cyrl-RS"/>
        </w:rPr>
      </w:pPr>
      <w:r w:rsidRPr="000E0422">
        <w:rPr>
          <w:szCs w:val="24"/>
          <w:lang w:val="sr-Cyrl-RS"/>
        </w:rPr>
        <w:t>Народна банка Србије је посвећена сталном унапређењу регулативе у области банкарства и наставља да унапређује регулаторни оквир за банке. Интензивно се анализирају измене пруденцијалног законодавства за кредитне институције на нивоу Европске уније. Народна банка Србије се до сада успешно суочила са изазовима и наставља да континуирано прати стање у финансијском сектору, као и стање на целокупном домаћем и међународном тржишту, и предузима све неопходне активности у оквиру својих надлежности у интереса грађана и привреде.</w:t>
      </w:r>
    </w:p>
    <w:bookmarkEnd w:id="12"/>
    <w:p w14:paraId="384B40AE" w14:textId="77777777" w:rsidR="00527A51" w:rsidRPr="000E0422" w:rsidRDefault="00527A51" w:rsidP="0020125C">
      <w:pPr>
        <w:spacing w:after="60"/>
        <w:rPr>
          <w:szCs w:val="24"/>
          <w:lang w:val="sr-Cyrl-RS"/>
        </w:rPr>
      </w:pPr>
      <w:r w:rsidRPr="000E0422">
        <w:rPr>
          <w:szCs w:val="24"/>
          <w:lang w:val="sr-Cyrl-RS"/>
        </w:rPr>
        <w:t xml:space="preserve">Успостављањем </w:t>
      </w:r>
      <w:r w:rsidRPr="000E0422">
        <w:rPr>
          <w:b/>
          <w:bCs/>
          <w:szCs w:val="24"/>
          <w:lang w:val="sr-Cyrl-RS"/>
        </w:rPr>
        <w:t>система за инстант плаћање</w:t>
      </w:r>
      <w:r w:rsidRPr="000E0422">
        <w:rPr>
          <w:szCs w:val="24"/>
          <w:lang w:val="sr-Cyrl-RS"/>
        </w:rPr>
        <w:t xml:space="preserve"> – IPS НБС система, Народна банка Србије је омогућила да се мала плаћања извршавају у реалном времену 24/7/365. Током 2020. године, поред развоја инфраструктуре за прихватање инстант плаћања на продајним местима трговаца кроз прихватање на ПОС терминалима, развој мобилних апликација за трговце и развој интернет продајних места, Народна банка Србије је у циљу давања додатне подршке развоју </w:t>
      </w:r>
      <w:r w:rsidRPr="000E0422">
        <w:rPr>
          <w:i/>
          <w:iCs/>
          <w:szCs w:val="24"/>
          <w:lang w:val="sr-Cyrl-RS"/>
        </w:rPr>
        <w:t>e-commerce</w:t>
      </w:r>
      <w:r w:rsidRPr="000E0422">
        <w:rPr>
          <w:szCs w:val="24"/>
          <w:lang w:val="sr-Cyrl-RS"/>
        </w:rPr>
        <w:t xml:space="preserve"> тржишта и даљој популаризацији електронских плаћања у земљи, унапредила услугу инстант плаћања на интернету имплементацијом </w:t>
      </w:r>
      <w:r w:rsidRPr="000E0422">
        <w:rPr>
          <w:i/>
          <w:iCs/>
          <w:szCs w:val="24"/>
          <w:lang w:val="sr-Cyrl-RS"/>
        </w:rPr>
        <w:t>deep-link</w:t>
      </w:r>
      <w:r w:rsidRPr="000E0422">
        <w:rPr>
          <w:szCs w:val="24"/>
          <w:lang w:val="sr-Cyrl-RS"/>
        </w:rPr>
        <w:t xml:space="preserve"> технологије и тако купцима омогућила да цео процес куповине обаве коришћењем само једног уређаја (нпр. мобилног телефона). </w:t>
      </w:r>
      <w:r w:rsidR="008A5639">
        <w:rPr>
          <w:szCs w:val="24"/>
          <w:lang w:val="sr-Cyrl-RS"/>
        </w:rPr>
        <w:t>О</w:t>
      </w:r>
      <w:r w:rsidRPr="000E0422">
        <w:rPr>
          <w:szCs w:val="24"/>
          <w:lang w:val="sr-Cyrl-RS"/>
        </w:rPr>
        <w:t>л</w:t>
      </w:r>
      <w:r w:rsidR="008A5639">
        <w:rPr>
          <w:szCs w:val="24"/>
          <w:lang w:val="sr-Cyrl-RS"/>
        </w:rPr>
        <w:t>а</w:t>
      </w:r>
      <w:r w:rsidRPr="000E0422">
        <w:rPr>
          <w:szCs w:val="24"/>
          <w:lang w:val="sr-Cyrl-RS"/>
        </w:rPr>
        <w:t>кш</w:t>
      </w:r>
      <w:r w:rsidR="008A5639">
        <w:rPr>
          <w:szCs w:val="24"/>
          <w:lang w:val="sr-Cyrl-RS"/>
        </w:rPr>
        <w:t>а</w:t>
      </w:r>
      <w:r w:rsidRPr="000E0422">
        <w:rPr>
          <w:szCs w:val="24"/>
          <w:lang w:val="sr-Cyrl-RS"/>
        </w:rPr>
        <w:t>н</w:t>
      </w:r>
      <w:r w:rsidR="008A5639">
        <w:rPr>
          <w:szCs w:val="24"/>
          <w:lang w:val="sr-Cyrl-RS"/>
        </w:rPr>
        <w:t>о</w:t>
      </w:r>
      <w:r w:rsidRPr="000E0422">
        <w:rPr>
          <w:szCs w:val="24"/>
          <w:lang w:val="sr-Cyrl-RS"/>
        </w:rPr>
        <w:t xml:space="preserve"> је и плаћање рачуна великим издаваоцима рачуна, скенирањем НБС IPS QR кода на рачунима/фактурама, без одласка у банку, што се показало нарочито ефикасно у време пандемије. Од септембра 2021. године банкама је омогућено да својим корисницима понуде нову услугу „Пренеси” која омогућава грађанима да само коришћењем броја мобилног телефона примаоца плаћања, новчана средства пошаљу и приме једноставно, брзо, сигурно.</w:t>
      </w:r>
    </w:p>
    <w:p w14:paraId="39FD3691" w14:textId="77777777" w:rsidR="00527A51" w:rsidRPr="00E753FC" w:rsidRDefault="00527A51" w:rsidP="0020125C">
      <w:pPr>
        <w:spacing w:after="60"/>
      </w:pPr>
      <w:r w:rsidRPr="000E0422">
        <w:rPr>
          <w:lang w:val="sr-Cyrl-RS"/>
        </w:rPr>
        <w:t xml:space="preserve">Уз уважавање глобалних трендова, у Републици Србији </w:t>
      </w:r>
      <w:r w:rsidRPr="000E0422">
        <w:rPr>
          <w:b/>
          <w:bCs/>
          <w:lang w:val="sr-Cyrl-RS"/>
        </w:rPr>
        <w:t>усвојен је Закон о дигиталној имовини</w:t>
      </w:r>
      <w:r w:rsidRPr="000E0422">
        <w:rPr>
          <w:lang w:val="sr-Cyrl-RS"/>
        </w:rPr>
        <w:t xml:space="preserve"> којим се детаљно уређује издавање и секундарно трговање дигиталном имовином, укључујући и пословање платформи за трговање виртуелним валутама и њихову замену за новац. Овим законом уређује се пословање лица која обављају послове с дигиталном имовином у Републици Србији, у циљу уређивања материје која до сада није била уређена у нашој земљи, осим у делу спречавања прања новца и финансирања тероризма код пружалаца услуга п</w:t>
      </w:r>
      <w:r w:rsidR="001E1744">
        <w:rPr>
          <w:lang w:val="sr-Cyrl-RS"/>
        </w:rPr>
        <w:t>овезаних с виртуелним валутама.</w:t>
      </w:r>
      <w:r w:rsidRPr="000E0422">
        <w:rPr>
          <w:lang w:val="sr-Cyrl-RS"/>
        </w:rPr>
        <w:t xml:space="preserve"> Закон је почео да се примењује 29. јуна 2021. године, а Народна банка Србије је на основу Закона усвојила подзаконске акте којима је ближе уређено лиценцирање и пословање пружалаца услуга повезаних с виртуелним валутама и надзор над њиховим </w:t>
      </w:r>
      <w:r w:rsidR="008A5639">
        <w:rPr>
          <w:lang w:val="sr-Cyrl-RS"/>
        </w:rPr>
        <w:t>п</w:t>
      </w:r>
      <w:r w:rsidR="008A5639">
        <w:t>о</w:t>
      </w:r>
      <w:r w:rsidR="008A5639">
        <w:rPr>
          <w:lang w:val="sr-Cyrl-RS"/>
        </w:rPr>
        <w:t>с</w:t>
      </w:r>
      <w:r w:rsidRPr="00E753FC">
        <w:t>л</w:t>
      </w:r>
      <w:r w:rsidR="008A5639">
        <w:rPr>
          <w:lang w:val="sr-Cyrl-RS"/>
        </w:rPr>
        <w:t>о</w:t>
      </w:r>
      <w:r w:rsidRPr="00E753FC">
        <w:t>в</w:t>
      </w:r>
      <w:r w:rsidR="008A5639">
        <w:rPr>
          <w:lang w:val="sr-Cyrl-RS"/>
        </w:rPr>
        <w:t>а</w:t>
      </w:r>
      <w:r w:rsidRPr="00E753FC">
        <w:t>њ</w:t>
      </w:r>
      <w:r w:rsidR="008A5639">
        <w:rPr>
          <w:lang w:val="sr-Cyrl-RS"/>
        </w:rPr>
        <w:t>е</w:t>
      </w:r>
      <w:r w:rsidRPr="00E753FC">
        <w:t>м.</w:t>
      </w:r>
    </w:p>
    <w:p w14:paraId="5A810D32" w14:textId="20D0F5F4" w:rsidR="00C4765D" w:rsidRPr="009807AD" w:rsidRDefault="00C4765D" w:rsidP="0020125C">
      <w:pPr>
        <w:keepNext/>
        <w:keepLines/>
        <w:spacing w:before="120"/>
        <w:outlineLvl w:val="1"/>
        <w:rPr>
          <w:rFonts w:eastAsia="Calibri" w:cs="Times New Roman"/>
          <w:b/>
          <w:szCs w:val="24"/>
          <w:lang w:val="sr-Cyrl-RS"/>
        </w:rPr>
      </w:pPr>
      <w:bookmarkStart w:id="13" w:name="_Toc89375520"/>
      <w:bookmarkEnd w:id="0"/>
      <w:bookmarkEnd w:id="1"/>
      <w:bookmarkEnd w:id="10"/>
      <w:r w:rsidRPr="009807AD">
        <w:rPr>
          <w:rFonts w:eastAsia="Calibri" w:cs="Times New Roman"/>
          <w:b/>
          <w:szCs w:val="24"/>
          <w:lang w:val="sr-Cyrl-RS"/>
        </w:rPr>
        <w:t>3</w:t>
      </w:r>
      <w:r w:rsidR="009807AD" w:rsidRPr="009807AD">
        <w:rPr>
          <w:rFonts w:eastAsia="Calibri" w:cs="Times New Roman"/>
          <w:b/>
          <w:szCs w:val="24"/>
        </w:rPr>
        <w:t>.3</w:t>
      </w:r>
      <w:r w:rsidRPr="009807AD">
        <w:rPr>
          <w:rFonts w:eastAsia="Calibri" w:cs="Times New Roman"/>
          <w:b/>
          <w:szCs w:val="24"/>
          <w:lang w:val="sr-Cyrl-RS"/>
        </w:rPr>
        <w:t xml:space="preserve">. </w:t>
      </w:r>
      <w:r w:rsidR="0047017C" w:rsidRPr="009807AD">
        <w:rPr>
          <w:rFonts w:eastAsia="Calibri" w:cs="Times New Roman"/>
          <w:b/>
          <w:szCs w:val="24"/>
          <w:lang w:val="sr-Cyrl-RS"/>
        </w:rPr>
        <w:t>СРЕДЊОРОЧНИ МАКРОЕКОНОМСКИ СЦЕНАРИО</w:t>
      </w:r>
      <w:bookmarkEnd w:id="13"/>
    </w:p>
    <w:p w14:paraId="23E40E9B" w14:textId="77777777"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 xml:space="preserve">Према средњорочној макроекономској пројекцији кумулативна стопа раста у периоду 2022–2024. година износиће 15,2% и биће вођена растом домаће тражње и са опоравком глобалне трговине додатно подржана и благим позитивним доприносом нето извоза. Овај извор раста је детерминисан, како перманентним повећањем инвестиција, тако и растом потрошње домаћинстава услед раста животног стандарда становништва. Српска привреда ће годишње у просеку расти по стопи од 4,8%, што је ревизија навише за 0,8 п.п. у односу на ранија очекивања, пре свега услед трајног раста потенцијала привреде. Повећање приватне потрошње пројектовано је по нижој стопи од убрзања привредне активности и у просеку ће износити 3,5%. Ово повећање у себи не садржи нарушавајуће </w:t>
      </w:r>
      <w:r w:rsidRPr="000E0422">
        <w:rPr>
          <w:rFonts w:eastAsia="Calibri" w:cs="Times New Roman"/>
          <w:bCs/>
          <w:szCs w:val="24"/>
          <w:lang w:val="sr-Cyrl-RS"/>
        </w:rPr>
        <w:lastRenderedPageBreak/>
        <w:t>елементе, засновано је на здравим изворима, пре свега на повећању запослености, али и повољном утицају ценовних и кредитних кретања на расположиви доходак. Очекује се стабилан раст инвестиција, у просеку од 7,8% годишње, што ће постепено подизати њихово учешће у структури БДП које би на крају пројекцијског периода требало да износи близу 25%. Са опоравком спољне тражње и активирањем нових производних капацитета повећаваће се и обим спољнотрговинске размене. Поред тога, ефектуирање СДИ из претходног периода допринеће повећању конкуренције и утицати на ефикасност домаћих произвођача, док ће са друге стране бити активирани нови канали продаје и отворене нове тржишне нише. Извоз ће у просеку годишње расти по стопи од 9,9%, што је брже од очекиваног годишњег раста увоза који ће у просеку износити 8,0%. Оваква динамика спољнотрговинских токова омогућиће одржавање платнобилансног дефицита на нивоу од око 4% током пројекцијског периода.</w:t>
      </w:r>
    </w:p>
    <w:p w14:paraId="50656728" w14:textId="77777777" w:rsidR="00C4765D" w:rsidRPr="000E0422" w:rsidRDefault="00C4765D" w:rsidP="00C4765D">
      <w:pPr>
        <w:rPr>
          <w:rFonts w:eastAsia="Calibri" w:cs="Times New Roman"/>
          <w:bCs/>
          <w:szCs w:val="24"/>
          <w:lang w:val="sr-Cyrl-RS"/>
        </w:rPr>
      </w:pPr>
      <w:r w:rsidRPr="000E0422">
        <w:rPr>
          <w:rFonts w:eastAsia="Calibri" w:cs="Times New Roman"/>
          <w:bCs/>
          <w:szCs w:val="24"/>
          <w:lang w:val="sr-Cyrl-RS"/>
        </w:rPr>
        <w:t>Табела 2. Пројекција основних макроекономских показатеља Републике Србије</w:t>
      </w:r>
    </w:p>
    <w:tbl>
      <w:tblPr>
        <w:tblpPr w:leftFromText="180" w:rightFromText="180" w:vertAnchor="text" w:horzAnchor="margin" w:tblpY="79"/>
        <w:tblW w:w="5000" w:type="pct"/>
        <w:tblLook w:val="04A0" w:firstRow="1" w:lastRow="0" w:firstColumn="1" w:lastColumn="0" w:noHBand="0" w:noVBand="1"/>
      </w:tblPr>
      <w:tblGrid>
        <w:gridCol w:w="4300"/>
        <w:gridCol w:w="1179"/>
        <w:gridCol w:w="1179"/>
        <w:gridCol w:w="1179"/>
        <w:gridCol w:w="1179"/>
      </w:tblGrid>
      <w:tr w:rsidR="00832DF3" w:rsidRPr="000E0422" w14:paraId="3D22CC9B" w14:textId="77777777" w:rsidTr="00832DF3">
        <w:trPr>
          <w:trHeight w:val="238"/>
        </w:trPr>
        <w:tc>
          <w:tcPr>
            <w:tcW w:w="2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35234" w14:textId="77777777" w:rsidR="00832DF3" w:rsidRPr="000E0422" w:rsidRDefault="00832DF3" w:rsidP="00832DF3">
            <w:pPr>
              <w:spacing w:after="0"/>
              <w:rPr>
                <w:rFonts w:eastAsia="Times New Roman" w:cs="Times New Roman"/>
                <w:sz w:val="20"/>
                <w:szCs w:val="20"/>
                <w:lang w:val="sr-Cyrl-RS" w:eastAsia="en-GB"/>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14E58B9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Процена</w:t>
            </w:r>
          </w:p>
        </w:tc>
        <w:tc>
          <w:tcPr>
            <w:tcW w:w="1962" w:type="pct"/>
            <w:gridSpan w:val="3"/>
            <w:tcBorders>
              <w:top w:val="single" w:sz="4" w:space="0" w:color="auto"/>
              <w:left w:val="nil"/>
              <w:bottom w:val="single" w:sz="4" w:space="0" w:color="auto"/>
              <w:right w:val="single" w:sz="4" w:space="0" w:color="auto"/>
            </w:tcBorders>
            <w:shd w:val="clear" w:color="auto" w:fill="auto"/>
            <w:vAlign w:val="center"/>
            <w:hideMark/>
          </w:tcPr>
          <w:p w14:paraId="45287BD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Пројекција</w:t>
            </w:r>
          </w:p>
        </w:tc>
      </w:tr>
      <w:tr w:rsidR="00832DF3" w:rsidRPr="000E0422" w14:paraId="6F7BC831" w14:textId="77777777" w:rsidTr="00832DF3">
        <w:trPr>
          <w:trHeight w:val="238"/>
        </w:trPr>
        <w:tc>
          <w:tcPr>
            <w:tcW w:w="2384" w:type="pct"/>
            <w:vMerge/>
            <w:tcBorders>
              <w:top w:val="single" w:sz="4" w:space="0" w:color="auto"/>
              <w:left w:val="single" w:sz="4" w:space="0" w:color="auto"/>
              <w:bottom w:val="single" w:sz="4" w:space="0" w:color="auto"/>
              <w:right w:val="single" w:sz="4" w:space="0" w:color="auto"/>
            </w:tcBorders>
            <w:vAlign w:val="center"/>
            <w:hideMark/>
          </w:tcPr>
          <w:p w14:paraId="7B101B50" w14:textId="77777777" w:rsidR="00832DF3" w:rsidRPr="000E0422" w:rsidRDefault="00832DF3" w:rsidP="00832DF3">
            <w:pPr>
              <w:spacing w:after="0"/>
              <w:rPr>
                <w:rFonts w:eastAsia="Times New Roman" w:cs="Times New Roman"/>
                <w:sz w:val="20"/>
                <w:szCs w:val="20"/>
                <w:lang w:val="sr-Cyrl-RS" w:eastAsia="en-GB"/>
              </w:rPr>
            </w:pPr>
          </w:p>
        </w:tc>
        <w:tc>
          <w:tcPr>
            <w:tcW w:w="654" w:type="pct"/>
            <w:tcBorders>
              <w:top w:val="nil"/>
              <w:left w:val="nil"/>
              <w:bottom w:val="single" w:sz="4" w:space="0" w:color="auto"/>
              <w:right w:val="single" w:sz="4" w:space="0" w:color="auto"/>
            </w:tcBorders>
            <w:shd w:val="clear" w:color="auto" w:fill="auto"/>
            <w:noWrap/>
            <w:vAlign w:val="center"/>
            <w:hideMark/>
          </w:tcPr>
          <w:p w14:paraId="33F4D76E"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2021</w:t>
            </w:r>
          </w:p>
        </w:tc>
        <w:tc>
          <w:tcPr>
            <w:tcW w:w="654" w:type="pct"/>
            <w:tcBorders>
              <w:top w:val="nil"/>
              <w:left w:val="nil"/>
              <w:bottom w:val="single" w:sz="4" w:space="0" w:color="auto"/>
              <w:right w:val="single" w:sz="4" w:space="0" w:color="auto"/>
            </w:tcBorders>
            <w:shd w:val="clear" w:color="auto" w:fill="auto"/>
            <w:noWrap/>
            <w:vAlign w:val="center"/>
            <w:hideMark/>
          </w:tcPr>
          <w:p w14:paraId="52F96B1B"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2022</w:t>
            </w:r>
          </w:p>
        </w:tc>
        <w:tc>
          <w:tcPr>
            <w:tcW w:w="654" w:type="pct"/>
            <w:tcBorders>
              <w:top w:val="nil"/>
              <w:left w:val="nil"/>
              <w:bottom w:val="single" w:sz="4" w:space="0" w:color="auto"/>
              <w:right w:val="single" w:sz="4" w:space="0" w:color="auto"/>
            </w:tcBorders>
            <w:shd w:val="clear" w:color="auto" w:fill="auto"/>
            <w:noWrap/>
            <w:vAlign w:val="center"/>
            <w:hideMark/>
          </w:tcPr>
          <w:p w14:paraId="458EC3F9"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2023</w:t>
            </w:r>
          </w:p>
        </w:tc>
        <w:tc>
          <w:tcPr>
            <w:tcW w:w="654" w:type="pct"/>
            <w:tcBorders>
              <w:top w:val="nil"/>
              <w:left w:val="nil"/>
              <w:bottom w:val="single" w:sz="4" w:space="0" w:color="auto"/>
              <w:right w:val="single" w:sz="4" w:space="0" w:color="auto"/>
            </w:tcBorders>
            <w:shd w:val="clear" w:color="auto" w:fill="auto"/>
            <w:noWrap/>
            <w:vAlign w:val="center"/>
            <w:hideMark/>
          </w:tcPr>
          <w:p w14:paraId="11010725"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2024</w:t>
            </w:r>
          </w:p>
        </w:tc>
      </w:tr>
      <w:tr w:rsidR="00832DF3" w:rsidRPr="000E0422" w14:paraId="491F9437"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ABBF104" w14:textId="77777777" w:rsidR="00832DF3" w:rsidRPr="000E0422" w:rsidRDefault="00832DF3" w:rsidP="00832DF3">
            <w:pPr>
              <w:spacing w:after="0"/>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БДП, млрд динара (текуће цене)</w:t>
            </w:r>
          </w:p>
        </w:tc>
        <w:tc>
          <w:tcPr>
            <w:tcW w:w="654" w:type="pct"/>
            <w:tcBorders>
              <w:top w:val="nil"/>
              <w:left w:val="nil"/>
              <w:bottom w:val="single" w:sz="4" w:space="0" w:color="auto"/>
              <w:right w:val="single" w:sz="4" w:space="0" w:color="auto"/>
            </w:tcBorders>
            <w:shd w:val="clear" w:color="auto" w:fill="auto"/>
            <w:noWrap/>
            <w:vAlign w:val="center"/>
            <w:hideMark/>
          </w:tcPr>
          <w:p w14:paraId="171A11FA"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6.163,0</w:t>
            </w:r>
          </w:p>
        </w:tc>
        <w:tc>
          <w:tcPr>
            <w:tcW w:w="654" w:type="pct"/>
            <w:tcBorders>
              <w:top w:val="nil"/>
              <w:left w:val="nil"/>
              <w:bottom w:val="single" w:sz="4" w:space="0" w:color="auto"/>
              <w:right w:val="single" w:sz="4" w:space="0" w:color="auto"/>
            </w:tcBorders>
            <w:shd w:val="clear" w:color="auto" w:fill="auto"/>
            <w:noWrap/>
            <w:vAlign w:val="center"/>
            <w:hideMark/>
          </w:tcPr>
          <w:p w14:paraId="5E307078"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6.638,7</w:t>
            </w:r>
          </w:p>
        </w:tc>
        <w:tc>
          <w:tcPr>
            <w:tcW w:w="654" w:type="pct"/>
            <w:tcBorders>
              <w:top w:val="nil"/>
              <w:left w:val="nil"/>
              <w:bottom w:val="single" w:sz="4" w:space="0" w:color="auto"/>
              <w:right w:val="single" w:sz="4" w:space="0" w:color="auto"/>
            </w:tcBorders>
            <w:shd w:val="clear" w:color="auto" w:fill="auto"/>
            <w:noWrap/>
            <w:vAlign w:val="center"/>
            <w:hideMark/>
          </w:tcPr>
          <w:p w14:paraId="0357A4D5"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7.175,9</w:t>
            </w:r>
          </w:p>
        </w:tc>
        <w:tc>
          <w:tcPr>
            <w:tcW w:w="654" w:type="pct"/>
            <w:tcBorders>
              <w:top w:val="nil"/>
              <w:left w:val="nil"/>
              <w:bottom w:val="single" w:sz="4" w:space="0" w:color="auto"/>
              <w:right w:val="single" w:sz="4" w:space="0" w:color="auto"/>
            </w:tcBorders>
            <w:shd w:val="clear" w:color="auto" w:fill="auto"/>
            <w:noWrap/>
            <w:vAlign w:val="center"/>
            <w:hideMark/>
          </w:tcPr>
          <w:p w14:paraId="545B2ECF"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7.747,6</w:t>
            </w:r>
          </w:p>
        </w:tc>
      </w:tr>
      <w:tr w:rsidR="00832DF3" w:rsidRPr="000E0422" w14:paraId="154E7487"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5B85D3BA"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Реални раст БДП, %</w:t>
            </w:r>
          </w:p>
        </w:tc>
        <w:tc>
          <w:tcPr>
            <w:tcW w:w="654" w:type="pct"/>
            <w:tcBorders>
              <w:top w:val="nil"/>
              <w:left w:val="nil"/>
              <w:bottom w:val="single" w:sz="4" w:space="0" w:color="auto"/>
              <w:right w:val="single" w:sz="4" w:space="0" w:color="auto"/>
            </w:tcBorders>
            <w:shd w:val="clear" w:color="auto" w:fill="auto"/>
            <w:noWrap/>
            <w:vAlign w:val="center"/>
            <w:hideMark/>
          </w:tcPr>
          <w:p w14:paraId="381866E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7,0</w:t>
            </w:r>
          </w:p>
        </w:tc>
        <w:tc>
          <w:tcPr>
            <w:tcW w:w="654" w:type="pct"/>
            <w:tcBorders>
              <w:top w:val="nil"/>
              <w:left w:val="nil"/>
              <w:bottom w:val="single" w:sz="4" w:space="0" w:color="auto"/>
              <w:right w:val="single" w:sz="4" w:space="0" w:color="auto"/>
            </w:tcBorders>
            <w:shd w:val="clear" w:color="auto" w:fill="auto"/>
            <w:noWrap/>
            <w:vAlign w:val="center"/>
            <w:hideMark/>
          </w:tcPr>
          <w:p w14:paraId="1B31829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4,5</w:t>
            </w:r>
          </w:p>
        </w:tc>
        <w:tc>
          <w:tcPr>
            <w:tcW w:w="654" w:type="pct"/>
            <w:tcBorders>
              <w:top w:val="nil"/>
              <w:left w:val="nil"/>
              <w:bottom w:val="single" w:sz="4" w:space="0" w:color="auto"/>
              <w:right w:val="single" w:sz="4" w:space="0" w:color="auto"/>
            </w:tcBorders>
            <w:shd w:val="clear" w:color="auto" w:fill="auto"/>
            <w:noWrap/>
            <w:vAlign w:val="center"/>
            <w:hideMark/>
          </w:tcPr>
          <w:p w14:paraId="556AC0CD"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5,0</w:t>
            </w:r>
          </w:p>
        </w:tc>
        <w:tc>
          <w:tcPr>
            <w:tcW w:w="654" w:type="pct"/>
            <w:tcBorders>
              <w:top w:val="nil"/>
              <w:left w:val="nil"/>
              <w:bottom w:val="single" w:sz="4" w:space="0" w:color="auto"/>
              <w:right w:val="single" w:sz="4" w:space="0" w:color="auto"/>
            </w:tcBorders>
            <w:shd w:val="clear" w:color="auto" w:fill="auto"/>
            <w:noWrap/>
            <w:vAlign w:val="center"/>
            <w:hideMark/>
          </w:tcPr>
          <w:p w14:paraId="7B73674A"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5,0</w:t>
            </w:r>
          </w:p>
        </w:tc>
      </w:tr>
      <w:tr w:rsidR="00832DF3" w:rsidRPr="000E0422" w14:paraId="3956E6A8"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DD90F38"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Дефлатор БДП, %</w:t>
            </w:r>
          </w:p>
        </w:tc>
        <w:tc>
          <w:tcPr>
            <w:tcW w:w="654" w:type="pct"/>
            <w:tcBorders>
              <w:top w:val="nil"/>
              <w:left w:val="nil"/>
              <w:bottom w:val="single" w:sz="4" w:space="0" w:color="auto"/>
              <w:right w:val="single" w:sz="4" w:space="0" w:color="auto"/>
            </w:tcBorders>
            <w:shd w:val="clear" w:color="auto" w:fill="auto"/>
            <w:noWrap/>
            <w:vAlign w:val="center"/>
            <w:hideMark/>
          </w:tcPr>
          <w:p w14:paraId="0B29CFA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4,7</w:t>
            </w:r>
          </w:p>
        </w:tc>
        <w:tc>
          <w:tcPr>
            <w:tcW w:w="654" w:type="pct"/>
            <w:tcBorders>
              <w:top w:val="nil"/>
              <w:left w:val="nil"/>
              <w:bottom w:val="single" w:sz="4" w:space="0" w:color="auto"/>
              <w:right w:val="single" w:sz="4" w:space="0" w:color="auto"/>
            </w:tcBorders>
            <w:shd w:val="clear" w:color="auto" w:fill="auto"/>
            <w:noWrap/>
            <w:vAlign w:val="center"/>
            <w:hideMark/>
          </w:tcPr>
          <w:p w14:paraId="5E11154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3,0</w:t>
            </w:r>
          </w:p>
        </w:tc>
        <w:tc>
          <w:tcPr>
            <w:tcW w:w="654" w:type="pct"/>
            <w:tcBorders>
              <w:top w:val="nil"/>
              <w:left w:val="nil"/>
              <w:bottom w:val="single" w:sz="4" w:space="0" w:color="auto"/>
              <w:right w:val="single" w:sz="4" w:space="0" w:color="auto"/>
            </w:tcBorders>
            <w:shd w:val="clear" w:color="auto" w:fill="auto"/>
            <w:noWrap/>
            <w:vAlign w:val="center"/>
            <w:hideMark/>
          </w:tcPr>
          <w:p w14:paraId="5069770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2,9</w:t>
            </w:r>
          </w:p>
        </w:tc>
        <w:tc>
          <w:tcPr>
            <w:tcW w:w="654" w:type="pct"/>
            <w:tcBorders>
              <w:top w:val="nil"/>
              <w:left w:val="nil"/>
              <w:bottom w:val="single" w:sz="4" w:space="0" w:color="auto"/>
              <w:right w:val="single" w:sz="4" w:space="0" w:color="auto"/>
            </w:tcBorders>
            <w:shd w:val="clear" w:color="auto" w:fill="auto"/>
            <w:noWrap/>
            <w:vAlign w:val="center"/>
            <w:hideMark/>
          </w:tcPr>
          <w:p w14:paraId="7907BFD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2,8</w:t>
            </w:r>
          </w:p>
        </w:tc>
      </w:tr>
      <w:tr w:rsidR="00832DF3" w:rsidRPr="000E0422" w14:paraId="6B2EAE90" w14:textId="77777777" w:rsidTr="00832DF3">
        <w:trPr>
          <w:trHeight w:val="238"/>
        </w:trPr>
        <w:tc>
          <w:tcPr>
            <w:tcW w:w="2384" w:type="pct"/>
            <w:tcBorders>
              <w:top w:val="single" w:sz="4" w:space="0" w:color="auto"/>
              <w:left w:val="single" w:sz="4" w:space="0" w:color="auto"/>
              <w:bottom w:val="single" w:sz="4" w:space="0" w:color="auto"/>
            </w:tcBorders>
            <w:shd w:val="clear" w:color="auto" w:fill="auto"/>
            <w:noWrap/>
            <w:vAlign w:val="center"/>
            <w:hideMark/>
          </w:tcPr>
          <w:p w14:paraId="55DB8F2D" w14:textId="77777777" w:rsidR="00832DF3" w:rsidRPr="000E0422" w:rsidRDefault="00832DF3" w:rsidP="00832DF3">
            <w:pPr>
              <w:spacing w:after="0"/>
              <w:rPr>
                <w:rFonts w:eastAsia="Times New Roman" w:cs="Times New Roman"/>
                <w:i/>
                <w:iCs/>
                <w:sz w:val="20"/>
                <w:szCs w:val="20"/>
                <w:lang w:val="sr-Cyrl-RS" w:eastAsia="en-GB"/>
              </w:rPr>
            </w:pPr>
            <w:r w:rsidRPr="000E0422">
              <w:rPr>
                <w:rFonts w:eastAsia="Times New Roman" w:cs="Times New Roman"/>
                <w:i/>
                <w:iCs/>
                <w:sz w:val="20"/>
                <w:szCs w:val="20"/>
                <w:lang w:val="sr-Cyrl-RS" w:eastAsia="en-GB"/>
              </w:rPr>
              <w:t>Реални раст појединих компоненти БДП, %</w:t>
            </w:r>
          </w:p>
        </w:tc>
        <w:tc>
          <w:tcPr>
            <w:tcW w:w="654" w:type="pct"/>
            <w:tcBorders>
              <w:top w:val="single" w:sz="4" w:space="0" w:color="auto"/>
              <w:bottom w:val="single" w:sz="4" w:space="0" w:color="auto"/>
            </w:tcBorders>
            <w:shd w:val="clear" w:color="auto" w:fill="auto"/>
            <w:noWrap/>
            <w:vAlign w:val="center"/>
          </w:tcPr>
          <w:p w14:paraId="63108A83" w14:textId="77777777"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14:paraId="0C9EA347" w14:textId="77777777"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14:paraId="3CEA8C8C" w14:textId="77777777"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right w:val="single" w:sz="4" w:space="0" w:color="auto"/>
            </w:tcBorders>
            <w:shd w:val="clear" w:color="auto" w:fill="auto"/>
            <w:noWrap/>
            <w:vAlign w:val="center"/>
          </w:tcPr>
          <w:p w14:paraId="0D1EA1B7" w14:textId="77777777" w:rsidR="00832DF3" w:rsidRPr="000E0422" w:rsidRDefault="00832DF3" w:rsidP="00832DF3">
            <w:pPr>
              <w:spacing w:after="0"/>
              <w:jc w:val="center"/>
              <w:rPr>
                <w:rFonts w:eastAsia="Times New Roman" w:cs="Times New Roman"/>
                <w:i/>
                <w:iCs/>
                <w:sz w:val="20"/>
                <w:szCs w:val="20"/>
                <w:lang w:val="sr-Cyrl-RS" w:eastAsia="en-GB"/>
              </w:rPr>
            </w:pPr>
          </w:p>
        </w:tc>
      </w:tr>
      <w:tr w:rsidR="00832DF3" w:rsidRPr="000E0422" w14:paraId="5029F81D"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8EBB648"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Лична потрошња</w:t>
            </w:r>
          </w:p>
        </w:tc>
        <w:tc>
          <w:tcPr>
            <w:tcW w:w="654" w:type="pct"/>
            <w:tcBorders>
              <w:top w:val="nil"/>
              <w:left w:val="nil"/>
              <w:bottom w:val="single" w:sz="4" w:space="0" w:color="auto"/>
              <w:right w:val="single" w:sz="4" w:space="0" w:color="auto"/>
            </w:tcBorders>
            <w:shd w:val="clear" w:color="auto" w:fill="auto"/>
            <w:noWrap/>
            <w:vAlign w:val="center"/>
            <w:hideMark/>
          </w:tcPr>
          <w:p w14:paraId="05BCDE9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6,4</w:t>
            </w:r>
          </w:p>
        </w:tc>
        <w:tc>
          <w:tcPr>
            <w:tcW w:w="654" w:type="pct"/>
            <w:tcBorders>
              <w:top w:val="nil"/>
              <w:left w:val="nil"/>
              <w:bottom w:val="single" w:sz="4" w:space="0" w:color="auto"/>
              <w:right w:val="single" w:sz="4" w:space="0" w:color="auto"/>
            </w:tcBorders>
            <w:shd w:val="clear" w:color="auto" w:fill="auto"/>
            <w:noWrap/>
            <w:vAlign w:val="center"/>
            <w:hideMark/>
          </w:tcPr>
          <w:p w14:paraId="39B533FB"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3,7</w:t>
            </w:r>
          </w:p>
        </w:tc>
        <w:tc>
          <w:tcPr>
            <w:tcW w:w="654" w:type="pct"/>
            <w:tcBorders>
              <w:top w:val="nil"/>
              <w:left w:val="nil"/>
              <w:bottom w:val="single" w:sz="4" w:space="0" w:color="auto"/>
              <w:right w:val="single" w:sz="4" w:space="0" w:color="auto"/>
            </w:tcBorders>
            <w:shd w:val="clear" w:color="auto" w:fill="auto"/>
            <w:noWrap/>
            <w:vAlign w:val="center"/>
            <w:hideMark/>
          </w:tcPr>
          <w:p w14:paraId="7798033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3,6</w:t>
            </w:r>
          </w:p>
        </w:tc>
        <w:tc>
          <w:tcPr>
            <w:tcW w:w="654" w:type="pct"/>
            <w:tcBorders>
              <w:top w:val="nil"/>
              <w:left w:val="nil"/>
              <w:bottom w:val="single" w:sz="4" w:space="0" w:color="auto"/>
              <w:right w:val="single" w:sz="4" w:space="0" w:color="auto"/>
            </w:tcBorders>
            <w:shd w:val="clear" w:color="auto" w:fill="auto"/>
            <w:noWrap/>
            <w:vAlign w:val="center"/>
            <w:hideMark/>
          </w:tcPr>
          <w:p w14:paraId="1DBF54E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3,3</w:t>
            </w:r>
          </w:p>
        </w:tc>
      </w:tr>
      <w:tr w:rsidR="00832DF3" w:rsidRPr="000E0422" w14:paraId="6ABE007E"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5205F93"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Државна потрошња</w:t>
            </w:r>
          </w:p>
        </w:tc>
        <w:tc>
          <w:tcPr>
            <w:tcW w:w="654" w:type="pct"/>
            <w:tcBorders>
              <w:top w:val="nil"/>
              <w:left w:val="nil"/>
              <w:bottom w:val="single" w:sz="4" w:space="0" w:color="auto"/>
              <w:right w:val="single" w:sz="4" w:space="0" w:color="auto"/>
            </w:tcBorders>
            <w:shd w:val="clear" w:color="auto" w:fill="auto"/>
            <w:noWrap/>
            <w:vAlign w:val="center"/>
            <w:hideMark/>
          </w:tcPr>
          <w:p w14:paraId="75FF91F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2,8</w:t>
            </w:r>
          </w:p>
        </w:tc>
        <w:tc>
          <w:tcPr>
            <w:tcW w:w="654" w:type="pct"/>
            <w:tcBorders>
              <w:top w:val="nil"/>
              <w:left w:val="nil"/>
              <w:bottom w:val="single" w:sz="4" w:space="0" w:color="auto"/>
              <w:right w:val="single" w:sz="4" w:space="0" w:color="auto"/>
            </w:tcBorders>
            <w:shd w:val="clear" w:color="auto" w:fill="auto"/>
            <w:noWrap/>
            <w:vAlign w:val="center"/>
            <w:hideMark/>
          </w:tcPr>
          <w:p w14:paraId="688EE16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2,3</w:t>
            </w:r>
          </w:p>
        </w:tc>
        <w:tc>
          <w:tcPr>
            <w:tcW w:w="654" w:type="pct"/>
            <w:tcBorders>
              <w:top w:val="nil"/>
              <w:left w:val="nil"/>
              <w:bottom w:val="single" w:sz="4" w:space="0" w:color="auto"/>
              <w:right w:val="single" w:sz="4" w:space="0" w:color="auto"/>
            </w:tcBorders>
            <w:shd w:val="clear" w:color="auto" w:fill="auto"/>
            <w:noWrap/>
            <w:vAlign w:val="center"/>
            <w:hideMark/>
          </w:tcPr>
          <w:p w14:paraId="4C6938C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1,2</w:t>
            </w:r>
          </w:p>
        </w:tc>
        <w:tc>
          <w:tcPr>
            <w:tcW w:w="654" w:type="pct"/>
            <w:tcBorders>
              <w:top w:val="nil"/>
              <w:left w:val="nil"/>
              <w:bottom w:val="single" w:sz="4" w:space="0" w:color="auto"/>
              <w:right w:val="single" w:sz="4" w:space="0" w:color="auto"/>
            </w:tcBorders>
            <w:shd w:val="clear" w:color="auto" w:fill="auto"/>
            <w:noWrap/>
            <w:vAlign w:val="center"/>
            <w:hideMark/>
          </w:tcPr>
          <w:p w14:paraId="7BB5064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1,2</w:t>
            </w:r>
          </w:p>
        </w:tc>
      </w:tr>
      <w:tr w:rsidR="00832DF3" w:rsidRPr="000E0422" w14:paraId="72534D31"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1625DEFB"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Бруто инвестиције у основна средства</w:t>
            </w:r>
          </w:p>
        </w:tc>
        <w:tc>
          <w:tcPr>
            <w:tcW w:w="654" w:type="pct"/>
            <w:tcBorders>
              <w:top w:val="nil"/>
              <w:left w:val="nil"/>
              <w:bottom w:val="single" w:sz="4" w:space="0" w:color="auto"/>
              <w:right w:val="single" w:sz="4" w:space="0" w:color="auto"/>
            </w:tcBorders>
            <w:shd w:val="clear" w:color="auto" w:fill="auto"/>
            <w:noWrap/>
            <w:vAlign w:val="center"/>
            <w:hideMark/>
          </w:tcPr>
          <w:p w14:paraId="45E80AAA"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15,2</w:t>
            </w:r>
          </w:p>
        </w:tc>
        <w:tc>
          <w:tcPr>
            <w:tcW w:w="654" w:type="pct"/>
            <w:tcBorders>
              <w:top w:val="nil"/>
              <w:left w:val="nil"/>
              <w:bottom w:val="single" w:sz="4" w:space="0" w:color="auto"/>
              <w:right w:val="single" w:sz="4" w:space="0" w:color="auto"/>
            </w:tcBorders>
            <w:shd w:val="clear" w:color="auto" w:fill="auto"/>
            <w:noWrap/>
            <w:vAlign w:val="center"/>
            <w:hideMark/>
          </w:tcPr>
          <w:p w14:paraId="71EE0089"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6,4</w:t>
            </w:r>
          </w:p>
        </w:tc>
        <w:tc>
          <w:tcPr>
            <w:tcW w:w="654" w:type="pct"/>
            <w:tcBorders>
              <w:top w:val="nil"/>
              <w:left w:val="nil"/>
              <w:bottom w:val="single" w:sz="4" w:space="0" w:color="auto"/>
              <w:right w:val="single" w:sz="4" w:space="0" w:color="auto"/>
            </w:tcBorders>
            <w:shd w:val="clear" w:color="auto" w:fill="auto"/>
            <w:noWrap/>
            <w:vAlign w:val="center"/>
            <w:hideMark/>
          </w:tcPr>
          <w:p w14:paraId="52976D5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8,1</w:t>
            </w:r>
          </w:p>
        </w:tc>
        <w:tc>
          <w:tcPr>
            <w:tcW w:w="654" w:type="pct"/>
            <w:tcBorders>
              <w:top w:val="nil"/>
              <w:left w:val="nil"/>
              <w:bottom w:val="single" w:sz="4" w:space="0" w:color="auto"/>
              <w:right w:val="single" w:sz="4" w:space="0" w:color="auto"/>
            </w:tcBorders>
            <w:shd w:val="clear" w:color="auto" w:fill="auto"/>
            <w:noWrap/>
            <w:vAlign w:val="center"/>
            <w:hideMark/>
          </w:tcPr>
          <w:p w14:paraId="164BBB0B"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8,9</w:t>
            </w:r>
          </w:p>
        </w:tc>
      </w:tr>
      <w:tr w:rsidR="00832DF3" w:rsidRPr="000E0422" w14:paraId="03AA7B51"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00C5337C"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Извоз робе и услуга</w:t>
            </w:r>
          </w:p>
        </w:tc>
        <w:tc>
          <w:tcPr>
            <w:tcW w:w="654" w:type="pct"/>
            <w:tcBorders>
              <w:top w:val="nil"/>
              <w:left w:val="nil"/>
              <w:bottom w:val="single" w:sz="4" w:space="0" w:color="auto"/>
              <w:right w:val="single" w:sz="4" w:space="0" w:color="auto"/>
            </w:tcBorders>
            <w:shd w:val="clear" w:color="auto" w:fill="auto"/>
            <w:noWrap/>
            <w:vAlign w:val="center"/>
            <w:hideMark/>
          </w:tcPr>
          <w:p w14:paraId="2854D81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15,9</w:t>
            </w:r>
          </w:p>
        </w:tc>
        <w:tc>
          <w:tcPr>
            <w:tcW w:w="654" w:type="pct"/>
            <w:tcBorders>
              <w:top w:val="nil"/>
              <w:left w:val="nil"/>
              <w:bottom w:val="single" w:sz="4" w:space="0" w:color="auto"/>
              <w:right w:val="single" w:sz="4" w:space="0" w:color="auto"/>
            </w:tcBorders>
            <w:shd w:val="clear" w:color="auto" w:fill="auto"/>
            <w:noWrap/>
            <w:vAlign w:val="center"/>
            <w:hideMark/>
          </w:tcPr>
          <w:p w14:paraId="59F1CA9C"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9,4</w:t>
            </w:r>
          </w:p>
        </w:tc>
        <w:tc>
          <w:tcPr>
            <w:tcW w:w="654" w:type="pct"/>
            <w:tcBorders>
              <w:top w:val="nil"/>
              <w:left w:val="nil"/>
              <w:bottom w:val="single" w:sz="4" w:space="0" w:color="auto"/>
              <w:right w:val="single" w:sz="4" w:space="0" w:color="auto"/>
            </w:tcBorders>
            <w:shd w:val="clear" w:color="auto" w:fill="auto"/>
            <w:noWrap/>
            <w:vAlign w:val="center"/>
            <w:hideMark/>
          </w:tcPr>
          <w:p w14:paraId="2BF69E20"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9,9</w:t>
            </w:r>
          </w:p>
        </w:tc>
        <w:tc>
          <w:tcPr>
            <w:tcW w:w="654" w:type="pct"/>
            <w:tcBorders>
              <w:top w:val="nil"/>
              <w:left w:val="nil"/>
              <w:bottom w:val="single" w:sz="4" w:space="0" w:color="auto"/>
              <w:right w:val="single" w:sz="4" w:space="0" w:color="auto"/>
            </w:tcBorders>
            <w:shd w:val="clear" w:color="auto" w:fill="auto"/>
            <w:noWrap/>
            <w:vAlign w:val="center"/>
            <w:hideMark/>
          </w:tcPr>
          <w:p w14:paraId="2F1CEC8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10,4</w:t>
            </w:r>
          </w:p>
        </w:tc>
      </w:tr>
      <w:tr w:rsidR="00832DF3" w:rsidRPr="000E0422" w14:paraId="6011DDED"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E499377"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Увоз робе и услуга</w:t>
            </w:r>
          </w:p>
        </w:tc>
        <w:tc>
          <w:tcPr>
            <w:tcW w:w="654" w:type="pct"/>
            <w:tcBorders>
              <w:top w:val="nil"/>
              <w:left w:val="nil"/>
              <w:bottom w:val="single" w:sz="4" w:space="0" w:color="auto"/>
              <w:right w:val="single" w:sz="4" w:space="0" w:color="auto"/>
            </w:tcBorders>
            <w:shd w:val="clear" w:color="auto" w:fill="auto"/>
            <w:noWrap/>
            <w:vAlign w:val="center"/>
            <w:hideMark/>
          </w:tcPr>
          <w:p w14:paraId="27AB092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14,2</w:t>
            </w:r>
          </w:p>
        </w:tc>
        <w:tc>
          <w:tcPr>
            <w:tcW w:w="654" w:type="pct"/>
            <w:tcBorders>
              <w:top w:val="nil"/>
              <w:left w:val="nil"/>
              <w:bottom w:val="single" w:sz="4" w:space="0" w:color="auto"/>
              <w:right w:val="single" w:sz="4" w:space="0" w:color="auto"/>
            </w:tcBorders>
            <w:shd w:val="clear" w:color="auto" w:fill="auto"/>
            <w:noWrap/>
            <w:vAlign w:val="center"/>
            <w:hideMark/>
          </w:tcPr>
          <w:p w14:paraId="678C187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7,6</w:t>
            </w:r>
          </w:p>
        </w:tc>
        <w:tc>
          <w:tcPr>
            <w:tcW w:w="654" w:type="pct"/>
            <w:tcBorders>
              <w:top w:val="nil"/>
              <w:left w:val="nil"/>
              <w:bottom w:val="single" w:sz="4" w:space="0" w:color="auto"/>
              <w:right w:val="single" w:sz="4" w:space="0" w:color="auto"/>
            </w:tcBorders>
            <w:shd w:val="clear" w:color="auto" w:fill="auto"/>
            <w:noWrap/>
            <w:vAlign w:val="center"/>
            <w:hideMark/>
          </w:tcPr>
          <w:p w14:paraId="049305D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7,9</w:t>
            </w:r>
          </w:p>
        </w:tc>
        <w:tc>
          <w:tcPr>
            <w:tcW w:w="654" w:type="pct"/>
            <w:tcBorders>
              <w:top w:val="nil"/>
              <w:left w:val="nil"/>
              <w:bottom w:val="single" w:sz="4" w:space="0" w:color="auto"/>
              <w:right w:val="single" w:sz="4" w:space="0" w:color="auto"/>
            </w:tcBorders>
            <w:shd w:val="clear" w:color="auto" w:fill="auto"/>
            <w:noWrap/>
            <w:vAlign w:val="center"/>
            <w:hideMark/>
          </w:tcPr>
          <w:p w14:paraId="1752D71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8,5</w:t>
            </w:r>
          </w:p>
        </w:tc>
      </w:tr>
      <w:tr w:rsidR="00832DF3" w:rsidRPr="000E0422" w14:paraId="29F2A12A"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287BA7C3"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Салдо робе и услуга, у ЕУР, % БДП</w:t>
            </w:r>
          </w:p>
        </w:tc>
        <w:tc>
          <w:tcPr>
            <w:tcW w:w="654" w:type="pct"/>
            <w:tcBorders>
              <w:top w:val="nil"/>
              <w:left w:val="nil"/>
              <w:bottom w:val="single" w:sz="4" w:space="0" w:color="auto"/>
              <w:right w:val="single" w:sz="4" w:space="0" w:color="auto"/>
            </w:tcBorders>
            <w:shd w:val="clear" w:color="auto" w:fill="auto"/>
            <w:noWrap/>
            <w:vAlign w:val="center"/>
            <w:hideMark/>
          </w:tcPr>
          <w:p w14:paraId="2ADFB570"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-8,1</w:t>
            </w:r>
          </w:p>
        </w:tc>
        <w:tc>
          <w:tcPr>
            <w:tcW w:w="654" w:type="pct"/>
            <w:tcBorders>
              <w:top w:val="nil"/>
              <w:left w:val="nil"/>
              <w:bottom w:val="single" w:sz="4" w:space="0" w:color="auto"/>
              <w:right w:val="single" w:sz="4" w:space="0" w:color="auto"/>
            </w:tcBorders>
            <w:shd w:val="clear" w:color="auto" w:fill="auto"/>
            <w:noWrap/>
            <w:vAlign w:val="center"/>
            <w:hideMark/>
          </w:tcPr>
          <w:p w14:paraId="63405C1B"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-7,7</w:t>
            </w:r>
          </w:p>
        </w:tc>
        <w:tc>
          <w:tcPr>
            <w:tcW w:w="654" w:type="pct"/>
            <w:tcBorders>
              <w:top w:val="nil"/>
              <w:left w:val="nil"/>
              <w:bottom w:val="single" w:sz="4" w:space="0" w:color="auto"/>
              <w:right w:val="single" w:sz="4" w:space="0" w:color="auto"/>
            </w:tcBorders>
            <w:shd w:val="clear" w:color="auto" w:fill="auto"/>
            <w:noWrap/>
            <w:vAlign w:val="center"/>
            <w:hideMark/>
          </w:tcPr>
          <w:p w14:paraId="371A708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-6,9</w:t>
            </w:r>
          </w:p>
        </w:tc>
        <w:tc>
          <w:tcPr>
            <w:tcW w:w="654" w:type="pct"/>
            <w:tcBorders>
              <w:top w:val="nil"/>
              <w:left w:val="nil"/>
              <w:bottom w:val="single" w:sz="4" w:space="0" w:color="auto"/>
              <w:right w:val="single" w:sz="4" w:space="0" w:color="auto"/>
            </w:tcBorders>
            <w:shd w:val="clear" w:color="auto" w:fill="auto"/>
            <w:noWrap/>
            <w:vAlign w:val="center"/>
            <w:hideMark/>
          </w:tcPr>
          <w:p w14:paraId="0C5B69B3"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-6,2</w:t>
            </w:r>
          </w:p>
        </w:tc>
      </w:tr>
      <w:tr w:rsidR="00832DF3" w:rsidRPr="000E0422" w14:paraId="5940D64F"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5C1D9761"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Салдо текућег рачуна, у ЕУР, % БДП</w:t>
            </w:r>
          </w:p>
        </w:tc>
        <w:tc>
          <w:tcPr>
            <w:tcW w:w="654" w:type="pct"/>
            <w:tcBorders>
              <w:top w:val="nil"/>
              <w:left w:val="nil"/>
              <w:bottom w:val="single" w:sz="4" w:space="0" w:color="auto"/>
              <w:right w:val="single" w:sz="4" w:space="0" w:color="auto"/>
            </w:tcBorders>
            <w:shd w:val="clear" w:color="auto" w:fill="auto"/>
            <w:noWrap/>
            <w:vAlign w:val="center"/>
            <w:hideMark/>
          </w:tcPr>
          <w:p w14:paraId="76455D3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-3,9</w:t>
            </w:r>
          </w:p>
        </w:tc>
        <w:tc>
          <w:tcPr>
            <w:tcW w:w="654" w:type="pct"/>
            <w:tcBorders>
              <w:top w:val="nil"/>
              <w:left w:val="nil"/>
              <w:bottom w:val="single" w:sz="4" w:space="0" w:color="auto"/>
              <w:right w:val="single" w:sz="4" w:space="0" w:color="auto"/>
            </w:tcBorders>
            <w:shd w:val="clear" w:color="auto" w:fill="auto"/>
            <w:noWrap/>
            <w:vAlign w:val="center"/>
            <w:hideMark/>
          </w:tcPr>
          <w:p w14:paraId="5E172123"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-4,2</w:t>
            </w:r>
          </w:p>
        </w:tc>
        <w:tc>
          <w:tcPr>
            <w:tcW w:w="654" w:type="pct"/>
            <w:tcBorders>
              <w:top w:val="nil"/>
              <w:left w:val="nil"/>
              <w:bottom w:val="single" w:sz="4" w:space="0" w:color="auto"/>
              <w:right w:val="single" w:sz="4" w:space="0" w:color="auto"/>
            </w:tcBorders>
            <w:shd w:val="clear" w:color="auto" w:fill="auto"/>
            <w:noWrap/>
            <w:vAlign w:val="center"/>
            <w:hideMark/>
          </w:tcPr>
          <w:p w14:paraId="385F213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-4,1</w:t>
            </w:r>
          </w:p>
        </w:tc>
        <w:tc>
          <w:tcPr>
            <w:tcW w:w="654" w:type="pct"/>
            <w:tcBorders>
              <w:top w:val="nil"/>
              <w:left w:val="nil"/>
              <w:bottom w:val="single" w:sz="4" w:space="0" w:color="auto"/>
              <w:right w:val="single" w:sz="4" w:space="0" w:color="auto"/>
            </w:tcBorders>
            <w:shd w:val="clear" w:color="auto" w:fill="auto"/>
            <w:noWrap/>
            <w:vAlign w:val="center"/>
            <w:hideMark/>
          </w:tcPr>
          <w:p w14:paraId="348B261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-3,9</w:t>
            </w:r>
          </w:p>
        </w:tc>
      </w:tr>
      <w:tr w:rsidR="00832DF3" w:rsidRPr="000E0422" w14:paraId="25012B31"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276A7702"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Инфлација, просек периода, %</w:t>
            </w:r>
          </w:p>
        </w:tc>
        <w:tc>
          <w:tcPr>
            <w:tcW w:w="654" w:type="pct"/>
            <w:tcBorders>
              <w:top w:val="nil"/>
              <w:left w:val="nil"/>
              <w:bottom w:val="single" w:sz="4" w:space="0" w:color="auto"/>
              <w:right w:val="single" w:sz="4" w:space="0" w:color="auto"/>
            </w:tcBorders>
            <w:shd w:val="clear" w:color="auto" w:fill="auto"/>
            <w:noWrap/>
            <w:vAlign w:val="center"/>
            <w:hideMark/>
          </w:tcPr>
          <w:p w14:paraId="3A64473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3,7</w:t>
            </w:r>
          </w:p>
        </w:tc>
        <w:tc>
          <w:tcPr>
            <w:tcW w:w="654" w:type="pct"/>
            <w:tcBorders>
              <w:top w:val="nil"/>
              <w:left w:val="nil"/>
              <w:bottom w:val="single" w:sz="4" w:space="0" w:color="auto"/>
              <w:right w:val="single" w:sz="4" w:space="0" w:color="auto"/>
            </w:tcBorders>
            <w:shd w:val="clear" w:color="auto" w:fill="auto"/>
            <w:noWrap/>
            <w:vAlign w:val="center"/>
            <w:hideMark/>
          </w:tcPr>
          <w:p w14:paraId="340BF6D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3,7</w:t>
            </w:r>
          </w:p>
        </w:tc>
        <w:tc>
          <w:tcPr>
            <w:tcW w:w="654" w:type="pct"/>
            <w:tcBorders>
              <w:top w:val="nil"/>
              <w:left w:val="nil"/>
              <w:bottom w:val="single" w:sz="4" w:space="0" w:color="auto"/>
              <w:right w:val="single" w:sz="4" w:space="0" w:color="auto"/>
            </w:tcBorders>
            <w:shd w:val="clear" w:color="auto" w:fill="auto"/>
            <w:noWrap/>
            <w:vAlign w:val="center"/>
            <w:hideMark/>
          </w:tcPr>
          <w:p w14:paraId="4A0A9B3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2,6</w:t>
            </w:r>
          </w:p>
        </w:tc>
        <w:tc>
          <w:tcPr>
            <w:tcW w:w="654" w:type="pct"/>
            <w:tcBorders>
              <w:top w:val="nil"/>
              <w:left w:val="nil"/>
              <w:bottom w:val="single" w:sz="4" w:space="0" w:color="auto"/>
              <w:right w:val="single" w:sz="4" w:space="0" w:color="auto"/>
            </w:tcBorders>
            <w:shd w:val="clear" w:color="auto" w:fill="auto"/>
            <w:noWrap/>
            <w:vAlign w:val="center"/>
            <w:hideMark/>
          </w:tcPr>
          <w:p w14:paraId="13F12410"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2,5</w:t>
            </w:r>
          </w:p>
        </w:tc>
      </w:tr>
    </w:tbl>
    <w:p w14:paraId="38E2C52D" w14:textId="77777777" w:rsidR="003F01A2" w:rsidRPr="000E0422" w:rsidRDefault="003F01A2" w:rsidP="003F01A2">
      <w:pPr>
        <w:rPr>
          <w:rFonts w:eastAsia="Calibri" w:cs="Times New Roman"/>
          <w:bCs/>
          <w:sz w:val="16"/>
          <w:szCs w:val="16"/>
          <w:lang w:val="sr-Cyrl-RS"/>
        </w:rPr>
      </w:pPr>
      <w:r w:rsidRPr="000E0422">
        <w:rPr>
          <w:rFonts w:eastAsia="Calibri" w:cs="Times New Roman"/>
          <w:bCs/>
          <w:sz w:val="16"/>
          <w:szCs w:val="16"/>
          <w:lang w:val="sr-Cyrl-RS"/>
        </w:rPr>
        <w:t xml:space="preserve">Извор: </w:t>
      </w:r>
      <w:r w:rsidR="00CA10B2" w:rsidRPr="000E0422">
        <w:rPr>
          <w:rFonts w:eastAsia="Calibri" w:cs="Times New Roman"/>
          <w:bCs/>
          <w:sz w:val="16"/>
          <w:szCs w:val="16"/>
          <w:lang w:val="sr-Cyrl-RS"/>
        </w:rPr>
        <w:t>Министарство финансија</w:t>
      </w:r>
    </w:p>
    <w:p w14:paraId="6EB32909" w14:textId="77777777"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Посматрано на страни понуде, услужни сектор и индустрија ће задржати улогу доминантних извора раста и повећавати креирану БДВ у просеку годишње за 4,4% и 6,9%, респективно. Позитиван допринос ће доћи и од раста грађевинске активности који ће у просеку износити 9,4%. Достизање европских стандарда и подизање конкурентности у пољопривреди, испуњењем услова за отварање Поглавља 11 и кроз коришћење ИПАРД програма ЕУ, смањиће варијабилност производње овог сектора изазвану агрометеоролошким условима.</w:t>
      </w:r>
    </w:p>
    <w:p w14:paraId="6A3A285E" w14:textId="77777777" w:rsidR="00C4765D" w:rsidRPr="000E0422" w:rsidRDefault="00C4765D" w:rsidP="00B8525C">
      <w:pPr>
        <w:rPr>
          <w:rFonts w:eastAsia="Calibri" w:cs="Times New Roman"/>
          <w:bCs/>
          <w:szCs w:val="24"/>
          <w:lang w:val="sr-Cyrl-RS"/>
        </w:rPr>
      </w:pPr>
      <w:r w:rsidRPr="000E0422">
        <w:rPr>
          <w:rFonts w:eastAsia="Calibri" w:cs="Times New Roman"/>
          <w:bCs/>
          <w:szCs w:val="24"/>
          <w:lang w:val="sr-Cyrl-RS"/>
        </w:rPr>
        <w:t>Графикон 1. Доприноси стопи реалног раста БДП, производни и расходни приступ, п.п.</w:t>
      </w:r>
    </w:p>
    <w:p w14:paraId="542B7FC7" w14:textId="77777777" w:rsidR="004C1702" w:rsidRPr="000E0422" w:rsidRDefault="004C1702" w:rsidP="004C1702">
      <w:pPr>
        <w:spacing w:after="240"/>
        <w:rPr>
          <w:rFonts w:eastAsia="Calibri" w:cs="Times New Roman"/>
          <w:bCs/>
          <w:szCs w:val="24"/>
          <w:lang w:val="sr-Cyrl-RS"/>
        </w:rPr>
      </w:pPr>
      <w:r w:rsidRPr="000E0422">
        <w:rPr>
          <w:noProof/>
        </w:rPr>
        <w:drawing>
          <wp:inline distT="0" distB="0" distL="0" distR="0" wp14:anchorId="112A9E38" wp14:editId="2B049114">
            <wp:extent cx="2743200" cy="2113200"/>
            <wp:effectExtent l="0" t="0" r="0" b="1905"/>
            <wp:docPr id="10" name="Chart 10">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E0422">
        <w:rPr>
          <w:rFonts w:eastAsia="Calibri" w:cs="Times New Roman"/>
          <w:bCs/>
          <w:szCs w:val="24"/>
          <w:lang w:val="sr-Cyrl-RS"/>
        </w:rPr>
        <w:t xml:space="preserve">      </w:t>
      </w:r>
      <w:r w:rsidRPr="000E0422">
        <w:rPr>
          <w:noProof/>
        </w:rPr>
        <w:drawing>
          <wp:inline distT="0" distB="0" distL="0" distR="0" wp14:anchorId="693E71B9" wp14:editId="1B9DAEA9">
            <wp:extent cx="2743200" cy="2114068"/>
            <wp:effectExtent l="0" t="0" r="0" b="635"/>
            <wp:docPr id="14" name="Chart 1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D1E922" w14:textId="77777777" w:rsidR="00741890" w:rsidRPr="000E0422" w:rsidRDefault="00C46ACC" w:rsidP="0020125C">
      <w:pPr>
        <w:spacing w:after="60"/>
        <w:rPr>
          <w:lang w:val="sr-Cyrl-RS"/>
        </w:rPr>
      </w:pPr>
      <w:r w:rsidRPr="000E0422">
        <w:rPr>
          <w:lang w:val="sr-Cyrl-RS"/>
        </w:rPr>
        <w:lastRenderedPageBreak/>
        <w:t>Влада и овим трогодишњим сценариом остаје посвећена очувању модела привредног раста који се заснива на инвестицијама и извозу, а који је подржан растом приватне потрошње на реалним и здравим изворима. Удео бруто инвестиција у основна средства у БДП ће на крају 2024. године бити 24,6% што је за око 2 п.п. већи удео у односу на предпандемијски ниво, док ће се истовремено учешће извоза роба и услуга повећати за 7,4 п.п. Државна потрошња ће након скока у 2020. години постепено смањивати своје учешће у БДП, тако да ће на крају пројекцијског периода бити приближна нивоу из 2019. године. Влада својим активностима и мерама покушава да оснажи инвестициону и извозну компоненту БДП. Убрзање свих административних процедура које прате ове активности, пореско растерећење привреде са циљем подизања њене конкурентности, потписивање споразума којима се обезбеђује очување постојећих и отварање нових ино тржишта, интензивније и ефикасније извођење инфраструктурних радова, реализација пројеката из зелене агенде само су неке од мера које треба да обезбеде здраве фундаменте за раст потенцијалног БДП. Доследност у очувању фискалне стабилности спречава генерисање неравнотежа и креирање неизвесности, а реформски процеси треба да обезбеде снажнију позитивну динамику основних макроекономских варијабли. Дигитална трансформација и изградња дигиталног екосистема остаје стратешка оријентација Владе. Ефикаснији рад државне администрације, скраћивање процедура становништву и привреди са фокусом на дигитализацију, убрзаће конвергенцију наше привреде ка развијеним земљама. Нови систем фискализације и измене царинских прописа смањиће учешће сиве економије у укупним привредним токовима, обезбедити афирмативно конкурентско надметање и побољшати економичност и ефикасност процедура.</w:t>
      </w:r>
    </w:p>
    <w:p w14:paraId="46E99026" w14:textId="77777777" w:rsidR="003B248B" w:rsidRPr="000E0422" w:rsidRDefault="003B248B" w:rsidP="00AF05A3">
      <w:pPr>
        <w:rPr>
          <w:rFonts w:eastAsia="Calibri" w:cs="Times New Roman"/>
          <w:bCs/>
          <w:szCs w:val="24"/>
          <w:lang w:val="sr-Cyrl-RS"/>
        </w:rPr>
      </w:pPr>
      <w:r w:rsidRPr="000E0422">
        <w:rPr>
          <w:rFonts w:eastAsia="Calibri" w:cs="Times New Roman"/>
          <w:bCs/>
          <w:szCs w:val="24"/>
          <w:lang w:val="sr-Cyrl-RS"/>
        </w:rPr>
        <w:t>Графикон 2. Доприноси фактора производње потенцијалној стопи раста</w:t>
      </w:r>
    </w:p>
    <w:p w14:paraId="094BD0A2" w14:textId="77777777" w:rsidR="004C1702" w:rsidRPr="000E0422" w:rsidRDefault="004C1702" w:rsidP="00AF05A3">
      <w:pPr>
        <w:spacing w:after="0"/>
        <w:rPr>
          <w:rFonts w:eastAsia="Calibri" w:cs="Times New Roman"/>
          <w:bCs/>
          <w:szCs w:val="24"/>
          <w:lang w:val="sr-Cyrl-RS"/>
        </w:rPr>
      </w:pPr>
      <w:r w:rsidRPr="000E0422">
        <w:rPr>
          <w:noProof/>
        </w:rPr>
        <w:drawing>
          <wp:inline distT="0" distB="0" distL="0" distR="0" wp14:anchorId="0B4244D1" wp14:editId="0856BAFB">
            <wp:extent cx="5925600" cy="2304000"/>
            <wp:effectExtent l="0" t="0" r="0" b="1270"/>
            <wp:docPr id="9" name="Chart 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8F8DA0" w14:textId="77777777" w:rsidR="00383E1F" w:rsidRPr="000E0422" w:rsidRDefault="00383E1F" w:rsidP="00C4765D">
      <w:pPr>
        <w:spacing w:after="0"/>
        <w:ind w:firstLine="720"/>
        <w:rPr>
          <w:rFonts w:eastAsia="Calibri" w:cs="Times New Roman"/>
          <w:bCs/>
          <w:szCs w:val="24"/>
          <w:lang w:val="sr-Cyrl-RS"/>
        </w:rPr>
      </w:pPr>
    </w:p>
    <w:p w14:paraId="6A39047F" w14:textId="77777777"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Према централном сценарију, у средњорочном периоду се очекује убрзање раста потенцијалног БДП. Након повећања од 4,1% у 2021. години, потенцијални БДП ће се постепено повећавати и достићи стопу од 5%. Убрзање реализације капиталних пројеката и наставак започетог инвестиционог циклуса подржани, како стабилним приливом СДИ, тако и домаћим иновативним активностима, обезбедиће све снажнији допринос капитала и факторске продуктивности расту потенцијалног БДП. Дигитализација ће значајно убрзати ове процесе и додатно подићи ефикасност расположивих капацитета. Влада ће спровести свеобухватну агенду структурних и институционалних реформи, како би се подстакао високи, зелени, инклузивни и одрживи раст у средњорочном периоду. Повољна кретања на тржишту рада ће такође допринети расту потенцијалног БДП, али споријим темпом него у претходном периоду.</w:t>
      </w:r>
    </w:p>
    <w:p w14:paraId="286E6005" w14:textId="77777777" w:rsidR="00C4765D" w:rsidRPr="00E753FC" w:rsidRDefault="002B14D4" w:rsidP="0020125C">
      <w:pPr>
        <w:spacing w:after="60"/>
        <w:rPr>
          <w:lang w:val="sr-Cyrl-RS"/>
        </w:rPr>
      </w:pPr>
      <w:r>
        <w:rPr>
          <w:b/>
          <w:lang w:val="sr-Cyrl-RS"/>
        </w:rPr>
        <w:lastRenderedPageBreak/>
        <w:t>Тржиште рада.</w:t>
      </w:r>
      <w:r w:rsidR="00C4765D" w:rsidRPr="002B14D4">
        <w:rPr>
          <w:lang w:val="sr-Cyrl-RS"/>
        </w:rPr>
        <w:t xml:space="preserve"> </w:t>
      </w:r>
      <w:r w:rsidRPr="002B14D4">
        <w:rPr>
          <w:lang w:val="sr-Cyrl-RS"/>
        </w:rPr>
        <w:t>Досадашња повољна макроекономска кретања и добро одмерене мере креатора економске политике, као одговор на пандемију, а које су биле усмерене, пре свега на одржавање привредног раста и очување запослености, али и потпуно отварање економије, које је омогућено процесом имунизације становништва, створили су снажну основу за наставак позитивних кретања на тржишту рада и у наредном периоду. Дакле, уз очекивани висок привредни раст, као и сталну посвећеност Владе повећању броја запослених, пројектује се наставак позитивних кретања на тржишту радне снаге, што ће у средњем року резултирати даљим смањењем стопе незапослености и растом зарада. Према Стратегији запошљавања, у посткризном периоду, посебно је важно осигурати стабилно финансирање мера активне политике запошљавања, како би се обезбедило да незапослена лица остану везана за тржиште рада, спречио губитак и застаревање знања и вештина незапослених лица и омогућило оспособљавање за радна места која ће бити креирана по изласку из кризе, а што доприноси дугорочном економском расту. Поред наведеног, позитивна очекивања су резултат континуираног рада на побољшању услова рада, унапређивању институција тржишта рада, подстицању запошљавања и укључивања на тржиште рада теже запошљивих лица, као и подршке регионалној и локалној политици запошљавања. Такође, континуирано се ради на унапређивању радне снаге у погледу квалитета, као и на улагању у људски капитал, све у циљу лакшег општег запошљавања, а нарочито у оном делу привреде који има већу додату вредност. Такође, након унапређења радног законодавства и донесених мера у правцу пореског растерећења рада, наставиће се смањивање броја запослених у сивој зони и њихово превођење у контингент формално запослених. Овим мерама ће услови рада, у погледу права и осигурања радника, бити побољшани, а позитиван ефекат ће се одразити и на приходе буџета. На крају средњорочног периода очекују се позитивни резултати активних мера обука, преквалификација и подршке социјалном предузетништву, чиме ће се олакшати доступност радних места социјално рањивим категоријама друштва и тиме додатно обезбедити инклузивност привредног раста. Ради економске одрживости, раст зарада у средњем и нарочито дужем року треба да буде заснован на расту продуктивности.</w:t>
      </w:r>
    </w:p>
    <w:p w14:paraId="2D66582A" w14:textId="77777777" w:rsidR="007C3538" w:rsidRPr="000E0422" w:rsidRDefault="007C3538" w:rsidP="00E71860">
      <w:pPr>
        <w:spacing w:after="80"/>
        <w:rPr>
          <w:szCs w:val="24"/>
          <w:lang w:val="sr-Cyrl-RS"/>
        </w:rPr>
      </w:pPr>
      <w:r w:rsidRPr="000E0422">
        <w:rPr>
          <w:b/>
          <w:szCs w:val="24"/>
          <w:lang w:val="sr-Cyrl-RS"/>
        </w:rPr>
        <w:t>Монетарна политика, политика девизног курса</w:t>
      </w:r>
      <w:r w:rsidRPr="000E0422">
        <w:rPr>
          <w:szCs w:val="24"/>
          <w:lang w:val="sr-Cyrl-RS"/>
        </w:rPr>
        <w:t xml:space="preserve"> </w:t>
      </w:r>
      <w:r w:rsidRPr="000E0422">
        <w:rPr>
          <w:b/>
          <w:szCs w:val="24"/>
          <w:lang w:val="sr-Cyrl-RS"/>
        </w:rPr>
        <w:t>и инфлација</w:t>
      </w:r>
    </w:p>
    <w:p w14:paraId="4A510D83" w14:textId="77777777" w:rsidR="00D02F1E" w:rsidRPr="000E0422" w:rsidRDefault="00D02F1E" w:rsidP="0020125C">
      <w:pPr>
        <w:spacing w:after="60"/>
        <w:rPr>
          <w:szCs w:val="24"/>
          <w:lang w:val="sr-Cyrl-RS"/>
        </w:rPr>
      </w:pPr>
      <w:r w:rsidRPr="000E0422">
        <w:rPr>
          <w:szCs w:val="24"/>
          <w:lang w:val="sr-Cyrl-RS"/>
        </w:rPr>
        <w:t xml:space="preserve">Народна банка Србије од 2009. године примењује </w:t>
      </w:r>
      <w:r w:rsidRPr="000E0422">
        <w:rPr>
          <w:b/>
          <w:bCs/>
          <w:i/>
          <w:iCs/>
          <w:szCs w:val="24"/>
          <w:lang w:val="sr-Cyrl-RS"/>
        </w:rPr>
        <w:t>режим циљања инфлације</w:t>
      </w:r>
      <w:r w:rsidRPr="000E0422">
        <w:rPr>
          <w:szCs w:val="24"/>
          <w:lang w:val="sr-Cyrl-RS"/>
        </w:rPr>
        <w:t xml:space="preserve"> као монетарну стратегију. Захваљујући постигнутој ценовној стабилности, усидрености инфлационих очекивања и знатном поправљању макроекономских показатеља и изгледа Србије за наредни период, а пре свега одрживом смањењу спољне и унутрашње неравнотеже, циљана стопа инфлације је снижена од 2017. године </w:t>
      </w:r>
      <w:r w:rsidRPr="000E0422">
        <w:rPr>
          <w:b/>
          <w:szCs w:val="24"/>
          <w:lang w:val="sr-Cyrl-RS"/>
        </w:rPr>
        <w:t>на ниво од 3%±1,5 п.п. и на том нивоу је утврђена до краја 2023. године</w:t>
      </w:r>
      <w:r w:rsidRPr="000E0422">
        <w:rPr>
          <w:szCs w:val="24"/>
          <w:lang w:val="sr-Cyrl-RS"/>
        </w:rPr>
        <w:t>. Тиме је потврђена одлучност Народне банке Србије и Владе Републике Србије да предузимају мере како би инфлација у средњем року остала ниска, стабилна и предвидива. Основни инструмент за постизање инфлационог циља јесте каматна стопа која се примењује у једнонедељним реверзним репо операцијама, док остали инструменти монетарне политике (кредитне и депозитне олакшице, обавезна резерва и интервенције на девизном тржишту) имају помоћну улогу.</w:t>
      </w:r>
    </w:p>
    <w:p w14:paraId="228034A8" w14:textId="77777777" w:rsidR="00D02F1E" w:rsidRPr="000E0422" w:rsidRDefault="00D02F1E" w:rsidP="0020125C">
      <w:pPr>
        <w:spacing w:after="60"/>
        <w:rPr>
          <w:szCs w:val="24"/>
          <w:lang w:val="sr-Cyrl-RS"/>
        </w:rPr>
      </w:pPr>
      <w:r w:rsidRPr="000E0422">
        <w:rPr>
          <w:szCs w:val="24"/>
          <w:lang w:val="sr-Cyrl-RS"/>
        </w:rPr>
        <w:t>Политика обавезних резерви формулисана је тако да се диференцијацијом стопе обавезне резерве, у зависности од валуте обавеза и рочности, стимулишу динарски и дугорочнији извори финансирања банака. За динарске изворе средстава уговорене рочности до две године она тренутно износи 5%, а за изворе рочности преко 2 године 0%. Стопа обавезне резерве за девизне изворе банака за уговорену рочност од две године утврђена је на нивоу од 20%, а за рочности преко две године износи 13%.</w:t>
      </w:r>
    </w:p>
    <w:p w14:paraId="2B70D13F" w14:textId="04285536" w:rsidR="00D02F1E" w:rsidRPr="000E0422" w:rsidRDefault="00D02F1E" w:rsidP="0020125C">
      <w:pPr>
        <w:spacing w:after="60"/>
        <w:rPr>
          <w:szCs w:val="24"/>
          <w:lang w:val="sr-Cyrl-RS"/>
        </w:rPr>
      </w:pPr>
      <w:r w:rsidRPr="000E0422">
        <w:rPr>
          <w:szCs w:val="24"/>
          <w:lang w:val="sr-Cyrl-RS"/>
        </w:rPr>
        <w:t xml:space="preserve">У складу са изабраном монетарном стратегијом, Народна банка Србије </w:t>
      </w:r>
      <w:r w:rsidRPr="000E0422">
        <w:rPr>
          <w:b/>
          <w:bCs/>
          <w:szCs w:val="24"/>
          <w:lang w:val="sr-Cyrl-RS"/>
        </w:rPr>
        <w:t>наставиће да спроводи режим руковођено пливајућег девизног курса</w:t>
      </w:r>
      <w:r w:rsidRPr="000E0422">
        <w:rPr>
          <w:szCs w:val="24"/>
          <w:lang w:val="sr-Cyrl-RS"/>
        </w:rPr>
        <w:t xml:space="preserve">. Интервенције на девизном </w:t>
      </w:r>
      <w:r w:rsidRPr="000E0422">
        <w:rPr>
          <w:szCs w:val="24"/>
          <w:lang w:val="sr-Cyrl-RS"/>
        </w:rPr>
        <w:lastRenderedPageBreak/>
        <w:t xml:space="preserve">тржишту спроводиће ради ублажавања прекомерних краткорочних осцилација курса динара према евру, очувања стабилности цена и финансијског система и одржавања адекватног нивоа девизних резерви. Правовремене и одмерене реакције Народне банке Србије на девизном тржишту и постигнута макроекономска стабилност уз повећану отпорност домаће економије на екстерне шокове, укључујући и шокове који произлазе из ефеката пандемије </w:t>
      </w:r>
      <w:r w:rsidR="0063502F">
        <w:rPr>
          <w:szCs w:val="24"/>
          <w:lang w:val="sr-Cyrl-RS"/>
        </w:rPr>
        <w:t>Ковид</w:t>
      </w:r>
      <w:r w:rsidRPr="000E0422">
        <w:rPr>
          <w:szCs w:val="24"/>
          <w:lang w:val="sr-Cyrl-RS"/>
        </w:rPr>
        <w:t>-19, доприносиће одржавању релативне стабилности курса динара у средњем року.</w:t>
      </w:r>
    </w:p>
    <w:p w14:paraId="22182AEA" w14:textId="739D9A64" w:rsidR="00D02F1E" w:rsidRPr="000E0422" w:rsidRDefault="00D02F1E" w:rsidP="0020125C">
      <w:pPr>
        <w:spacing w:after="60"/>
        <w:rPr>
          <w:szCs w:val="24"/>
          <w:lang w:val="sr-Cyrl-RS"/>
        </w:rPr>
      </w:pPr>
      <w:r w:rsidRPr="000E0422">
        <w:rPr>
          <w:szCs w:val="24"/>
          <w:lang w:val="sr-Cyrl-RS"/>
        </w:rPr>
        <w:t xml:space="preserve">У условима избијања кризе узроковане ширењем пандемије </w:t>
      </w:r>
      <w:r w:rsidR="0063502F">
        <w:rPr>
          <w:szCs w:val="24"/>
          <w:lang w:val="sr-Cyrl-RS"/>
        </w:rPr>
        <w:t>Ковид</w:t>
      </w:r>
      <w:r w:rsidRPr="000E0422">
        <w:rPr>
          <w:szCs w:val="24"/>
          <w:lang w:val="sr-Cyrl-RS"/>
        </w:rPr>
        <w:t>-19, Народна банка Србије је у 2020. години, у циљу пружања подршке опоравку економске активности, смањила каматне стопе на рекордно ниске нивое – референтна каматна стопа на 1,00% (укупно смањена за 125 б.п.), стопа на депозитне олакшице на 0,10% (укупно смањена за 90 б.п.) и стопа на кредитне олакшице на 1,90% (укупно смањена за 160 б.п.), уз сужење коридора каматних стопа са ±1,25 п.п. на ±0,90 п.п. у односу на референтну стопу. Током 2021. Извршни одбор Народне банке Србије је задржао референтну стопу на нивоу од 1,00%, а непромењене су и остале каматне стопе Народне банке Србије.</w:t>
      </w:r>
    </w:p>
    <w:p w14:paraId="1433225C" w14:textId="77777777" w:rsidR="00D02F1E" w:rsidRPr="000E0422" w:rsidRDefault="00D02F1E" w:rsidP="0020125C">
      <w:pPr>
        <w:spacing w:after="60"/>
        <w:rPr>
          <w:szCs w:val="24"/>
          <w:lang w:val="sr-Cyrl-RS"/>
        </w:rPr>
      </w:pPr>
      <w:r w:rsidRPr="000E0422">
        <w:rPr>
          <w:szCs w:val="24"/>
          <w:lang w:val="sr-Cyrl-RS"/>
        </w:rPr>
        <w:t xml:space="preserve">Током 2021. године Народна банка Србије је наставила да обезбеђује додатну динарску ликвидност банкарском сектору под повољним условима, путем организовања додатних девизних своп аукција куповине девиза и аукција репо куповине динарских хартија од вредности, на рок од три месеца. Народна банка Србије је спроводила ове аукције (уведене средином новембра 2020. године), како би се ниво доступне и јефтине ликвидности у банкарском, а преко њега и у привредном сектору одржао довољно високим и обезбедио наставак подстицајног деловања на привредни раст. Након анализирања кретања ликвидности у банкарском систему и монетарних кретања, Народна банка Србије </w:t>
      </w:r>
      <w:r w:rsidR="0065364A">
        <w:rPr>
          <w:szCs w:val="24"/>
          <w:lang w:val="sr-Cyrl-RS"/>
        </w:rPr>
        <w:t>је</w:t>
      </w:r>
      <w:r w:rsidRPr="000E0422">
        <w:rPr>
          <w:szCs w:val="24"/>
          <w:lang w:val="sr-Cyrl-RS"/>
        </w:rPr>
        <w:t xml:space="preserve"> оценила да су додатне своп аукције куповине девиза испуниле свој циљ и да њихово спровођење након 8. марта 2021. године више није неопходно.</w:t>
      </w:r>
    </w:p>
    <w:p w14:paraId="08B9E49D" w14:textId="77777777" w:rsidR="00D02F1E" w:rsidRPr="000E0422" w:rsidRDefault="00D02F1E" w:rsidP="0020125C">
      <w:pPr>
        <w:spacing w:after="60"/>
        <w:rPr>
          <w:szCs w:val="24"/>
          <w:lang w:val="sr-Cyrl-RS"/>
        </w:rPr>
      </w:pPr>
      <w:r w:rsidRPr="000E0422">
        <w:rPr>
          <w:b/>
          <w:szCs w:val="24"/>
          <w:lang w:val="sr-Cyrl-RS"/>
        </w:rPr>
        <w:t>Народна банка Србије није мењала висину референтне каматне стопе током 2021, али је, због глобалних трошковних притисака који се преносе и на домаће тржиште, предузела кораке ка смањењу монетарне експанзивности</w:t>
      </w:r>
      <w:r w:rsidRPr="000E0422">
        <w:rPr>
          <w:szCs w:val="24"/>
          <w:lang w:val="sr-Cyrl-RS"/>
        </w:rPr>
        <w:t xml:space="preserve">, како би ограничила раст инфлационих очекивања у наредном периоду и преливање на цене осталих производа и услуга. Користећи флексибилност постојећег оквира монетарне политике да без промене основних каматних стопа мења монетарне услове, </w:t>
      </w:r>
      <w:r w:rsidRPr="000E0422">
        <w:rPr>
          <w:b/>
          <w:bCs/>
          <w:szCs w:val="24"/>
          <w:lang w:val="sr-Cyrl-RS"/>
        </w:rPr>
        <w:t>Народна банка Србије је од октобра повећала просечну каматну стопу на аукцијама репо продаје хартија од вредности за 19 базних поена, тако да је закључно са 17. новембром она износила 0,30%</w:t>
      </w:r>
      <w:r w:rsidRPr="000E0422">
        <w:rPr>
          <w:szCs w:val="24"/>
          <w:lang w:val="sr-Cyrl-RS"/>
        </w:rPr>
        <w:t xml:space="preserve">, уз веће повлачење вишкова динарске ликвидности банака. Такође, </w:t>
      </w:r>
      <w:r w:rsidRPr="000E0422">
        <w:rPr>
          <w:b/>
          <w:bCs/>
          <w:szCs w:val="24"/>
          <w:lang w:val="sr-Cyrl-RS"/>
        </w:rPr>
        <w:t>од октобра је обустављено организовање аукција репо куповине хартија од вредности, путем којих је обезбеђивана динарска ликвидност банкама</w:t>
      </w:r>
      <w:r w:rsidRPr="000E0422">
        <w:rPr>
          <w:szCs w:val="24"/>
          <w:lang w:val="sr-Cyrl-RS"/>
        </w:rPr>
        <w:t xml:space="preserve"> по веома повољним условима.</w:t>
      </w:r>
    </w:p>
    <w:p w14:paraId="5E840F8F" w14:textId="77777777" w:rsidR="00D02F1E" w:rsidRPr="000E0422" w:rsidRDefault="00D02F1E" w:rsidP="0020125C">
      <w:pPr>
        <w:spacing w:after="60"/>
        <w:rPr>
          <w:szCs w:val="24"/>
          <w:lang w:val="sr-Cyrl-RS"/>
        </w:rPr>
      </w:pPr>
      <w:r w:rsidRPr="000E0422">
        <w:rPr>
          <w:szCs w:val="24"/>
          <w:lang w:val="sr-Cyrl-RS"/>
        </w:rPr>
        <w:t xml:space="preserve">Приликом доношења ових одлука Извршни одбор је имао у виду и да се повољни финансијски услови, који ће подржавати привредни раст и у наредном периоду, могу бити одржани и с нешто мањим степеном експанзивности монетарне политике. Захваљујући правовременим и координираним мерама Народне банке Србије и Владе које су донете </w:t>
      </w:r>
      <w:r w:rsidR="0065364A">
        <w:rPr>
          <w:szCs w:val="24"/>
          <w:lang w:val="sr-Cyrl-RS"/>
        </w:rPr>
        <w:t>о</w:t>
      </w:r>
      <w:r w:rsidRPr="000E0422">
        <w:rPr>
          <w:szCs w:val="24"/>
          <w:lang w:val="sr-Cyrl-RS"/>
        </w:rPr>
        <w:t xml:space="preserve">д проглашења пандемије очувана је макроекономска стабилност, производни капацитети и радна места, као и пословно и потрошачко поверење. Тиме је спречен већи пад бруто домаћег производа у 2020. години, и већ у Т1 2021. престигнут је преткризни ниво БДП-а. У сва три тромесечја 2021. остварена су повољнија кретања од првобитно очекиваних, </w:t>
      </w:r>
      <w:r w:rsidRPr="000E0422">
        <w:rPr>
          <w:b/>
          <w:bCs/>
          <w:szCs w:val="24"/>
          <w:lang w:val="sr-Cyrl-RS"/>
        </w:rPr>
        <w:t>чиме ће Србија у две пандемијске године заједно посматрано остварити један од најбољих резултата у Европи по питању привредног раста</w:t>
      </w:r>
      <w:r w:rsidRPr="000E0422">
        <w:rPr>
          <w:szCs w:val="24"/>
          <w:lang w:val="sr-Cyrl-RS"/>
        </w:rPr>
        <w:t>.</w:t>
      </w:r>
    </w:p>
    <w:p w14:paraId="0B55C774" w14:textId="77777777" w:rsidR="00C1320A" w:rsidRPr="000E0422" w:rsidRDefault="00D02F1E" w:rsidP="0020125C">
      <w:pPr>
        <w:spacing w:after="60"/>
        <w:rPr>
          <w:szCs w:val="24"/>
          <w:lang w:val="sr-Cyrl-RS"/>
        </w:rPr>
      </w:pPr>
      <w:r w:rsidRPr="000E0422">
        <w:rPr>
          <w:szCs w:val="24"/>
          <w:lang w:val="sr-Cyrl-RS"/>
        </w:rPr>
        <w:t xml:space="preserve">Народна банка Србије оцењује да су фактори више укупне инфлације у највећој мери привременог карактера и да ће бити исцрпљени у наредној години. Народна банка </w:t>
      </w:r>
      <w:r w:rsidRPr="000E0422">
        <w:rPr>
          <w:szCs w:val="24"/>
          <w:lang w:val="sr-Cyrl-RS"/>
        </w:rPr>
        <w:lastRenderedPageBreak/>
        <w:t xml:space="preserve">Србије ће наставити пажљиво да прати кретање и утицај кључних фактора из домаћег и међународног окружења на инфлацију, финансијску стабилност и брзину економског опоравка. Уколико се евентуално материјализују неки од ризика који би за последицу могли да имају кретање инфлације изнад горње границе дозвољеног одступања од циља у дужем периоду, </w:t>
      </w:r>
      <w:r w:rsidRPr="000E0422">
        <w:rPr>
          <w:b/>
          <w:bCs/>
          <w:szCs w:val="24"/>
          <w:lang w:val="sr-Cyrl-RS"/>
        </w:rPr>
        <w:t>Народна банка Србије је спремна да у најкраћем року реагује свим расположивим инструментима</w:t>
      </w:r>
      <w:r w:rsidRPr="000E0422">
        <w:rPr>
          <w:szCs w:val="24"/>
          <w:lang w:val="sr-Cyrl-RS"/>
        </w:rPr>
        <w:t>.</w:t>
      </w:r>
    </w:p>
    <w:p w14:paraId="74D17332" w14:textId="77777777" w:rsidR="00D02F1E" w:rsidRPr="000E0422" w:rsidRDefault="007C3538" w:rsidP="0020125C">
      <w:pPr>
        <w:spacing w:after="60"/>
        <w:rPr>
          <w:szCs w:val="24"/>
          <w:lang w:val="sr-Cyrl-RS"/>
        </w:rPr>
      </w:pPr>
      <w:r w:rsidRPr="000E0422">
        <w:rPr>
          <w:b/>
          <w:szCs w:val="24"/>
          <w:lang w:val="sr-Cyrl-RS"/>
        </w:rPr>
        <w:t>Средњорочна пројекција инфлације.</w:t>
      </w:r>
      <w:r w:rsidRPr="000E0422">
        <w:rPr>
          <w:szCs w:val="24"/>
          <w:lang w:val="sr-Cyrl-RS"/>
        </w:rPr>
        <w:t xml:space="preserve"> </w:t>
      </w:r>
      <w:r w:rsidR="00D02F1E" w:rsidRPr="000E0422">
        <w:rPr>
          <w:szCs w:val="24"/>
          <w:lang w:val="sr-Cyrl-RS"/>
        </w:rPr>
        <w:t>Према новембарској централној пројекцији Народне банке Србије, међугодишња инфлација ће се привремено кретати изнад горње границе циља (3 ± 1,5%) до средине наредне године, када ће се, као резултат очекиваног успоравања од другог тромесечја, најпре вратити у те границе, а затим и у доњи део циљаног распона до краја године, где ће се задржати и у 2023. На такво кретање инфлације утичу више светске цене нафте и примарних пољопривредних производа, застоји у глобалним ланцима снабдевања, знатно виши трошкови транспорта, као и базни ефекат код цена поврћа. Са очекиваним слабљењем, а након тога и ишчезавањем утицаја тих привремених фактора, мг. инфлација ће се у другој половини 2022. наћи на нивоима пре пандемије.</w:t>
      </w:r>
    </w:p>
    <w:p w14:paraId="223D3F00" w14:textId="77777777" w:rsidR="00D02F1E" w:rsidRPr="000E0422" w:rsidRDefault="00D02F1E" w:rsidP="0020125C">
      <w:pPr>
        <w:spacing w:after="60"/>
        <w:rPr>
          <w:szCs w:val="24"/>
          <w:lang w:val="sr-Cyrl-RS"/>
        </w:rPr>
      </w:pPr>
      <w:r w:rsidRPr="000E0422">
        <w:rPr>
          <w:szCs w:val="24"/>
          <w:lang w:val="sr-Cyrl-RS"/>
        </w:rPr>
        <w:t>По основу агрегатне тражње и даље не очекујемо снажније инфлаторне притиске. Актуелна пројекција инфлације и БДП-а у складу је с постепеним смањивањем негативног производног јаза Србије, за који процењујемо да ће до краја периода пројекције остати благо негативан. Ако се то има у виду, као и очекивана релативна стабилност динара и у наредном периоду, базна инфлација би током целог хоризонта пројекције требало да се задржи у границама циља.</w:t>
      </w:r>
    </w:p>
    <w:p w14:paraId="22A6A3F7" w14:textId="77777777" w:rsidR="00D02F1E" w:rsidRPr="000E0422" w:rsidRDefault="00D02F1E" w:rsidP="0020125C">
      <w:pPr>
        <w:spacing w:after="60"/>
        <w:rPr>
          <w:szCs w:val="24"/>
          <w:lang w:val="sr-Cyrl-RS"/>
        </w:rPr>
      </w:pPr>
      <w:r w:rsidRPr="000E0422">
        <w:rPr>
          <w:szCs w:val="24"/>
          <w:lang w:val="sr-Cyrl-RS"/>
        </w:rPr>
        <w:t>Неизвесност у погледу остварења пројекције инфлације и даље у највећој мери потиче из међународног окружења, а односи се пре свега на брзину глобалног привредног опоравка и дужину трајања застоја у глобалним ланцима снабдевања, кретање светских цена енергената и примарних пољопривредних производа, као и на нормализацију монетарних политика водећих централних банака. Ризици за остварење пројекције делом се односе на домаће тржиште – пољопривредну сезону, брзину опоравка тражње и кретање регулисаних цена.</w:t>
      </w:r>
    </w:p>
    <w:p w14:paraId="6DED00B6" w14:textId="77777777" w:rsidR="009B7C2D" w:rsidRPr="000E0422" w:rsidRDefault="009B7C2D" w:rsidP="009B7C2D">
      <w:pPr>
        <w:spacing w:after="80"/>
        <w:rPr>
          <w:rFonts w:eastAsia="Times New Roman"/>
          <w:b/>
          <w:szCs w:val="24"/>
          <w:lang w:val="sr-Cyrl-RS"/>
        </w:rPr>
      </w:pPr>
      <w:r w:rsidRPr="000E0422">
        <w:rPr>
          <w:rFonts w:eastAsia="Times New Roman"/>
          <w:b/>
          <w:szCs w:val="24"/>
          <w:lang w:val="sr-Cyrl-RS"/>
        </w:rPr>
        <w:t>Екстерни сектор и његова средњорочна одрживост</w:t>
      </w:r>
    </w:p>
    <w:p w14:paraId="384138FC" w14:textId="77777777" w:rsidR="00CF67AF" w:rsidRPr="000E0422" w:rsidRDefault="00CF67AF" w:rsidP="0020125C">
      <w:pPr>
        <w:spacing w:after="60"/>
        <w:rPr>
          <w:szCs w:val="24"/>
          <w:lang w:val="sr-Cyrl-RS"/>
        </w:rPr>
      </w:pPr>
      <w:r w:rsidRPr="000E0422">
        <w:rPr>
          <w:szCs w:val="24"/>
          <w:lang w:val="sr-Cyrl-RS"/>
        </w:rPr>
        <w:t xml:space="preserve">Захваљујући приливу СДИ у извозно-оријентисане секторе, којем доприноси остварена маркоекономска стабилност, као и стимулативније пословно окружење, у претходних неколико година повећана је диверсификованост извоза – и производно и географски посматрано. На то указује смањење вредности индекса </w:t>
      </w:r>
      <w:r w:rsidRPr="000E0422">
        <w:rPr>
          <w:i/>
          <w:szCs w:val="24"/>
          <w:lang w:val="sr-Cyrl-RS"/>
        </w:rPr>
        <w:t>HHI</w:t>
      </w:r>
      <w:r w:rsidRPr="000E0422">
        <w:rPr>
          <w:szCs w:val="24"/>
          <w:lang w:val="sr-Cyrl-RS"/>
        </w:rPr>
        <w:t xml:space="preserve"> по производима са 0,22 у 2013. на 0,19 у 2020, а по земљама партнерима са 0,26 на 0,23. Степен концентрације посматрано по производима у девет месеци ове године остао је скоро непромењен (0,20), а посматрано по земљ</w:t>
      </w:r>
      <w:r w:rsidR="0065364A">
        <w:rPr>
          <w:szCs w:val="24"/>
          <w:lang w:val="sr-Cyrl-RS"/>
        </w:rPr>
        <w:t>ама је додатно снижен на 0,22. Притом</w:t>
      </w:r>
      <w:r w:rsidRPr="000E0422">
        <w:rPr>
          <w:szCs w:val="24"/>
          <w:lang w:val="sr-Cyrl-RS"/>
        </w:rPr>
        <w:t>, треба имати у виду да се житарице извозе углавном преко Румуније, а моторна возила преко Италије, одакле се даље пласирају на друга тржишта, тако да је стварни степен концентрације извоза, посматрано по земљама, заправо мањи него што то сугерише овај индекс.</w:t>
      </w:r>
    </w:p>
    <w:p w14:paraId="3933E08E" w14:textId="77777777" w:rsidR="00CF67AF" w:rsidRPr="000E0422" w:rsidRDefault="00CF67AF" w:rsidP="0020125C">
      <w:pPr>
        <w:spacing w:after="60"/>
        <w:rPr>
          <w:szCs w:val="24"/>
          <w:lang w:val="sr-Cyrl-RS"/>
        </w:rPr>
      </w:pPr>
      <w:r w:rsidRPr="000E0422">
        <w:rPr>
          <w:szCs w:val="24"/>
          <w:lang w:val="sr-Cyrl-RS"/>
        </w:rPr>
        <w:t xml:space="preserve">Посматрано према </w:t>
      </w:r>
      <w:r w:rsidRPr="000E0422">
        <w:rPr>
          <w:b/>
          <w:bCs/>
          <w:i/>
          <w:iCs/>
          <w:szCs w:val="24"/>
          <w:lang w:val="sr-Cyrl-RS"/>
        </w:rPr>
        <w:t>фазама прераде</w:t>
      </w:r>
      <w:r w:rsidRPr="000E0422">
        <w:rPr>
          <w:szCs w:val="24"/>
          <w:lang w:val="sr-Cyrl-RS"/>
        </w:rPr>
        <w:t>, у структури робног извоза највеће учешће у девет месеци 2021. имају производи средње фазе прераде (31,7%). На другом месту налазе се производи базирани на ресурсима са учешћем од 25,9%, затим производи ниже фазе прераде са учешћем од 20,2% (намештај, гвожђе и челик, производи од пластике, одећа), док су примарни производи чинили 13,3% укупног извоза. Учешће производа високе технологије (углавном електричних машина) у укупном извозу износило је 6,7% током девет месеци 2021, што представља раст за скоро 2 п.п. у односу на 2013, када је учешће било 4,8%.</w:t>
      </w:r>
    </w:p>
    <w:p w14:paraId="163A8C98" w14:textId="77777777" w:rsidR="00CF67AF" w:rsidRPr="000E0422" w:rsidRDefault="00CF67AF" w:rsidP="0020125C">
      <w:pPr>
        <w:spacing w:after="60"/>
        <w:rPr>
          <w:szCs w:val="24"/>
          <w:lang w:val="sr-Cyrl-RS"/>
        </w:rPr>
      </w:pPr>
      <w:r w:rsidRPr="000E0422">
        <w:rPr>
          <w:szCs w:val="24"/>
          <w:lang w:val="sr-Cyrl-RS"/>
        </w:rPr>
        <w:lastRenderedPageBreak/>
        <w:t xml:space="preserve">Када је реч о </w:t>
      </w:r>
      <w:r w:rsidRPr="000E0422">
        <w:rPr>
          <w:b/>
          <w:i/>
          <w:szCs w:val="24"/>
          <w:lang w:val="sr-Cyrl-RS"/>
        </w:rPr>
        <w:t>показатељима ценовне конкурентности</w:t>
      </w:r>
      <w:r w:rsidRPr="000E0422">
        <w:rPr>
          <w:szCs w:val="24"/>
          <w:lang w:val="sr-Cyrl-RS"/>
        </w:rPr>
        <w:t>, важно је нагласити да је реални ефективни курс динара (рачунат на бази потрошачких цена према корпи валута коју чине евро и долар</w:t>
      </w:r>
      <w:r w:rsidRPr="000E0422">
        <w:rPr>
          <w:szCs w:val="24"/>
          <w:vertAlign w:val="superscript"/>
          <w:lang w:val="sr-Cyrl-RS"/>
        </w:rPr>
        <w:footnoteReference w:id="6"/>
      </w:r>
      <w:r w:rsidRPr="000E0422">
        <w:rPr>
          <w:szCs w:val="24"/>
          <w:lang w:val="sr-Cyrl-RS"/>
        </w:rPr>
        <w:t>) у претходних седам година кумулативно посматрано био готово непромењен. У девет месеци 2021. забележена је блага просечна реална ефективана апрецијација динара од 1,9% мг. Рачунат на бази јединичних трошкова рада, динар према евру реално апрецира од 2017. године, услед бржег раста јединичних трошкова рада у Србији у односу на ЕУ, а делом и због благе номиналне апрецијације динара према евру. Током девет месеци 2021. зараде у Србији (уз израженији раст у приватном сектору) расле су брже од економске активности, тако да су јединични трошкови рада у Србији наставили раст, што је уз пад јед</w:t>
      </w:r>
      <w:r w:rsidR="00BC1A50">
        <w:rPr>
          <w:szCs w:val="24"/>
          <w:lang w:val="sr-Cyrl-RS"/>
        </w:rPr>
        <w:t>и</w:t>
      </w:r>
      <w:r w:rsidRPr="000E0422">
        <w:rPr>
          <w:szCs w:val="24"/>
          <w:lang w:val="sr-Cyrl-RS"/>
        </w:rPr>
        <w:t>ничних трошкова рада у зони евра и непромењену вреднос</w:t>
      </w:r>
      <w:r w:rsidR="00BC1A50">
        <w:rPr>
          <w:szCs w:val="24"/>
          <w:lang w:val="sr-Cyrl-RS"/>
        </w:rPr>
        <w:t>т динара према евру, резултирал</w:t>
      </w:r>
      <w:r w:rsidRPr="000E0422">
        <w:rPr>
          <w:szCs w:val="24"/>
          <w:lang w:val="sr-Cyrl-RS"/>
        </w:rPr>
        <w:t>о реалном апрецијацијом динара од око 5% мг. Да трошковна конкурентност није фактор који значајније утиче на прилив СДИ, већ очувана макроекономска стабилност и остварена структурна побољшања, говори податак да је прилив СДИ од 2017. закључно са септембром ове године износио близу 16 млрд евра (просечно годишње око 7,3% БДП-а) и упркос пандемијској 2020. години.</w:t>
      </w:r>
    </w:p>
    <w:p w14:paraId="5F305100" w14:textId="77777777" w:rsidR="00CF67AF" w:rsidRPr="000E0422" w:rsidRDefault="00CF67AF" w:rsidP="0020125C">
      <w:pPr>
        <w:spacing w:after="60"/>
        <w:rPr>
          <w:b/>
          <w:szCs w:val="24"/>
          <w:lang w:val="sr-Cyrl-RS"/>
        </w:rPr>
      </w:pPr>
      <w:r w:rsidRPr="000E0422">
        <w:rPr>
          <w:b/>
          <w:szCs w:val="24"/>
          <w:lang w:val="sr-Cyrl-RS"/>
        </w:rPr>
        <w:t>Међународна инвестициона позиција.</w:t>
      </w:r>
      <w:r w:rsidRPr="000E0422">
        <w:rPr>
          <w:szCs w:val="24"/>
          <w:lang w:val="sr-Cyrl-RS"/>
        </w:rPr>
        <w:t xml:space="preserve"> На крају Т2 2021. негативна међународна инвестициона позиција (МИП) износила је 87,1% БДП-а (42,8 млрд евра) и у односу на крај 2020. је смањена за 3,2 п.п. На ове резултате највећи утицај су на страни активе имали раст девизних резерви Народне банке Србије и депозита резидената у иностранству, а на страни пасиве раст СДИ и портфолио инвестиција у земљи. </w:t>
      </w:r>
      <w:r w:rsidRPr="000E0422">
        <w:rPr>
          <w:b/>
          <w:bCs/>
          <w:szCs w:val="24"/>
          <w:lang w:val="sr-Cyrl-RS"/>
        </w:rPr>
        <w:t>Н</w:t>
      </w:r>
      <w:r w:rsidRPr="000E0422">
        <w:rPr>
          <w:b/>
          <w:szCs w:val="24"/>
          <w:lang w:val="sr-Cyrl-RS"/>
        </w:rPr>
        <w:t>а крају Т2 2021. нето СДИ чиниле су око 95% нето МИП, што указује на повољну структуру МИП-а са становишта екстерне одрживости.</w:t>
      </w:r>
    </w:p>
    <w:p w14:paraId="5BA0462A" w14:textId="77777777" w:rsidR="00CF67AF" w:rsidRPr="000E0422" w:rsidRDefault="00CF67AF" w:rsidP="0020125C">
      <w:pPr>
        <w:spacing w:after="60"/>
        <w:rPr>
          <w:szCs w:val="24"/>
          <w:lang w:val="sr-Cyrl-RS"/>
        </w:rPr>
      </w:pPr>
      <w:r w:rsidRPr="000E0422">
        <w:rPr>
          <w:szCs w:val="24"/>
          <w:lang w:val="sr-Cyrl-RS"/>
        </w:rPr>
        <w:t xml:space="preserve">У структури пасиве МИП-а, учешће дужничких инструмената је износило око 50%, од чега су међукомпанијски кредити чинили 21,5%. Нешто мање од половине </w:t>
      </w:r>
      <w:r w:rsidRPr="000E0422">
        <w:rPr>
          <w:b/>
          <w:bCs/>
          <w:i/>
          <w:iCs/>
          <w:szCs w:val="24"/>
          <w:lang w:val="sr-Cyrl-RS"/>
        </w:rPr>
        <w:t>укупног</w:t>
      </w:r>
      <w:r w:rsidRPr="000E0422">
        <w:rPr>
          <w:szCs w:val="24"/>
          <w:lang w:val="sr-Cyrl-RS"/>
        </w:rPr>
        <w:t xml:space="preserve"> </w:t>
      </w:r>
      <w:r w:rsidRPr="000E0422">
        <w:rPr>
          <w:b/>
          <w:i/>
          <w:szCs w:val="24"/>
          <w:lang w:val="sr-Cyrl-RS"/>
        </w:rPr>
        <w:t>спољног дуга</w:t>
      </w:r>
      <w:r w:rsidRPr="000E0422">
        <w:rPr>
          <w:szCs w:val="24"/>
          <w:lang w:val="sr-Cyrl-RS"/>
        </w:rPr>
        <w:t xml:space="preserve"> односи се на дуг јавног сектора (49,1%). Посматрано по преосталој рочности око 93% спољног дуга јавног сектора (који чине општа држава и Народна банка Србије) је дугорочног карактера, а око 70% је уговорено по фиксној каматној стопи. У јавном спољном дугу доминирају три валуте – евро (61,0%), долар (18,9%) и динар (10,5%), а битно је истаћи да је учешће евра и долара у девизним резервама у потпуности усклађено са валутном структуром јавног спољног дуга.</w:t>
      </w:r>
    </w:p>
    <w:p w14:paraId="2EB098F1" w14:textId="77777777" w:rsidR="00CF67AF" w:rsidRPr="000E0422" w:rsidRDefault="00CF67AF" w:rsidP="0020125C">
      <w:pPr>
        <w:spacing w:after="60"/>
        <w:rPr>
          <w:szCs w:val="24"/>
          <w:lang w:val="sr-Cyrl-RS"/>
        </w:rPr>
      </w:pPr>
      <w:r w:rsidRPr="000E0422">
        <w:rPr>
          <w:szCs w:val="24"/>
          <w:lang w:val="sr-Cyrl-RS"/>
        </w:rPr>
        <w:t>У структури спољног дуга приватног сектора највећи део односи се на дуг предузећа (око 75%). Преко 90% дуга предузећа деноминовано је у еврима, а због чињенице да се истовремено преко 90% наплата извоза извршава у еврима, валутни ризик по основу спољног дуга предузећа је низак. Поред тога, 54% дуга је уговорено по фиксној каматној стопи. Посматрано према преосталој рочности, око 85% дуга предузећа је дугорочног карактера. Када се посматра спољни дуг банака, преко 90% деноминовано у еврима, а преко 80% уговорено је по варијабилној каматној стопи. Посматрано према преосталој рочности, око 70% спољног дуга банкарског сектора (ако се изузму депозити) је дугорочног карактера.</w:t>
      </w:r>
    </w:p>
    <w:p w14:paraId="47E82DAB" w14:textId="77777777" w:rsidR="00CF67AF" w:rsidRPr="000E0422" w:rsidRDefault="00CF67AF" w:rsidP="0020125C">
      <w:pPr>
        <w:spacing w:after="60"/>
        <w:rPr>
          <w:szCs w:val="24"/>
          <w:lang w:val="sr-Cyrl-RS"/>
        </w:rPr>
      </w:pPr>
      <w:r w:rsidRPr="000E0422">
        <w:rPr>
          <w:b/>
          <w:szCs w:val="24"/>
          <w:lang w:val="sr-Cyrl-RS"/>
        </w:rPr>
        <w:t>Средњорочна екстерна одрживост.</w:t>
      </w:r>
      <w:r w:rsidRPr="000E0422">
        <w:rPr>
          <w:szCs w:val="24"/>
          <w:lang w:val="sr-Cyrl-RS"/>
        </w:rPr>
        <w:t xml:space="preserve"> Пројектовано кретање дефицита текућег д</w:t>
      </w:r>
      <w:r w:rsidR="002A7232">
        <w:rPr>
          <w:szCs w:val="24"/>
          <w:lang w:val="sr-Cyrl-RS"/>
        </w:rPr>
        <w:t>ефицита у средњем року од око 4–</w:t>
      </w:r>
      <w:r w:rsidRPr="000E0422">
        <w:rPr>
          <w:szCs w:val="24"/>
          <w:lang w:val="sr-Cyrl-RS"/>
        </w:rPr>
        <w:t xml:space="preserve">5% БДП-а, у највећој мери је одређено структурним факторима. Наставак раста инвестиција, а пре свега планиране велике инвестиције у инфраструктуру, утицаће на раст увоза опреме, тако да се процењује да ће реалан раст увоза робе и услуга у просеку износити око 8% годишње у наредне три године. С друге стране, као резултат инвестиција из претходног периода у разменљиве секторе, као и опоравка екстерне тражње, реалан раст извоза робе и услуга ће бити бржи и у средњем року ће се стабилизовати на око 10% годишње у просеку, што ће резултирати </w:t>
      </w:r>
      <w:r w:rsidRPr="000E0422">
        <w:rPr>
          <w:szCs w:val="24"/>
          <w:lang w:val="sr-Cyrl-RS"/>
        </w:rPr>
        <w:lastRenderedPageBreak/>
        <w:t>постепеним смањењем учешћа дефицита робе и услуга у БДП-у на око 6–7% у наредне три године. Средњорочној екстерној одрживости доприноси и дефицит текућег рачуна испод нивоа који стабилизује дуг на постојећем нивоу (који се процењује на око 6–8% БДП-а), као и његова пуна покривеност нето приливом СДИ.</w:t>
      </w:r>
    </w:p>
    <w:p w14:paraId="312CC3FA" w14:textId="77777777" w:rsidR="00CF67AF" w:rsidRPr="000E0422" w:rsidRDefault="00CF67AF" w:rsidP="0020125C">
      <w:pPr>
        <w:spacing w:after="60"/>
        <w:rPr>
          <w:szCs w:val="24"/>
          <w:lang w:val="sr-Cyrl-RS"/>
        </w:rPr>
      </w:pPr>
      <w:r w:rsidRPr="000E0422">
        <w:rPr>
          <w:szCs w:val="24"/>
          <w:lang w:val="sr-Cyrl-RS"/>
        </w:rPr>
        <w:t>Очекивана путања нето прилива СДИ утицаће на то да принос по основу њиховог власништва остане солидна расходна ставка на рачуну примарног дохотка. С друге стране, имаћемо мањи одлив по основу камата на кредите и ХоВ, пре свега због финансирања по знатно повољнијим условима (као и отплата раније насталог дуга са високим каматним стопама). На рачуну секундарног дохотка и у средњем року очекујемо стабилан прилив дознака од око 8</w:t>
      </w:r>
      <w:r w:rsidR="002A7232">
        <w:rPr>
          <w:szCs w:val="24"/>
          <w:lang w:val="sr-Cyrl-RS"/>
        </w:rPr>
        <w:t>–</w:t>
      </w:r>
      <w:r w:rsidRPr="000E0422">
        <w:rPr>
          <w:szCs w:val="24"/>
          <w:lang w:val="sr-Cyrl-RS"/>
        </w:rPr>
        <w:t>9% БДП-а.</w:t>
      </w:r>
    </w:p>
    <w:p w14:paraId="1D6712E8" w14:textId="77777777" w:rsidR="00CF67AF" w:rsidRPr="000E0422" w:rsidRDefault="00CF67AF" w:rsidP="0020125C">
      <w:pPr>
        <w:spacing w:after="60"/>
        <w:rPr>
          <w:szCs w:val="24"/>
          <w:lang w:val="sr-Cyrl-RS"/>
        </w:rPr>
      </w:pPr>
      <w:r w:rsidRPr="000E0422">
        <w:rPr>
          <w:szCs w:val="24"/>
          <w:lang w:val="sr-Cyrl-RS"/>
        </w:rPr>
        <w:t>У структури прилива капитала доминираће СДИ (око 5% БДП-а просечно годишње) за које се очекује да ће наставити да у потпуности покривају дефицит текућег рачуна и да пре свега буду усмерене у разменљиве секторе. Истовремено, очекују се нето раздуживање по основу финансијских кредита јавног сектора и нето задуживање приватног сектора ради финансирања инвестиција и даљег</w:t>
      </w:r>
      <w:r w:rsidR="000E1C07" w:rsidRPr="000E0422">
        <w:rPr>
          <w:szCs w:val="24"/>
          <w:lang w:val="sr-Cyrl-RS"/>
        </w:rPr>
        <w:t xml:space="preserve"> економског развоја.</w:t>
      </w:r>
    </w:p>
    <w:p w14:paraId="164D13E4" w14:textId="77777777" w:rsidR="00CF67AF" w:rsidRPr="000E0422" w:rsidRDefault="00CF67AF" w:rsidP="0020125C">
      <w:pPr>
        <w:spacing w:after="60"/>
        <w:rPr>
          <w:szCs w:val="24"/>
          <w:lang w:val="sr-Cyrl-RS"/>
        </w:rPr>
      </w:pPr>
      <w:r w:rsidRPr="000E0422">
        <w:rPr>
          <w:szCs w:val="24"/>
          <w:lang w:val="sr-Cyrl-RS"/>
        </w:rPr>
        <w:t>И у средњем року се очекује задржавање девизних резерви на адекватном нивоу. Процењује се да ће покривеност просечног месечног увоза девизним резервама износити преко 6 месеци, уз раст покривености краткорочног дуга (посматрано по преосталој рочности) девизним резервама.</w:t>
      </w:r>
    </w:p>
    <w:p w14:paraId="2600E1DA" w14:textId="77777777" w:rsidR="00CF67AF" w:rsidRDefault="00CF67AF" w:rsidP="0020125C">
      <w:pPr>
        <w:spacing w:after="60"/>
        <w:rPr>
          <w:szCs w:val="24"/>
          <w:lang w:val="sr-Cyrl-RS"/>
        </w:rPr>
      </w:pPr>
      <w:r w:rsidRPr="000E0422">
        <w:rPr>
          <w:szCs w:val="24"/>
          <w:lang w:val="sr-Cyrl-RS"/>
        </w:rPr>
        <w:t xml:space="preserve">По свим сценаријима, осим историјског (базираног на десетогодишњим просецима кључних макроекономских индикатора, што је период који је обележен значајним структурним променама у економији и не може служити као репер), након привременог повећања у 2020. и 2021. години (до којег је дошло ради ублажавања економских последица насталих пандемијом), </w:t>
      </w:r>
      <w:r w:rsidRPr="000E0422">
        <w:rPr>
          <w:b/>
          <w:bCs/>
          <w:szCs w:val="24"/>
          <w:lang w:val="sr-Cyrl-RS"/>
        </w:rPr>
        <w:t xml:space="preserve">у средњем </w:t>
      </w:r>
      <w:r w:rsidRPr="000E0422">
        <w:rPr>
          <w:szCs w:val="24"/>
          <w:lang w:val="sr-Cyrl-RS"/>
        </w:rPr>
        <w:t xml:space="preserve">року ће доћи до смањења спољног дуга Србије. </w:t>
      </w:r>
      <w:r w:rsidRPr="000E0422">
        <w:rPr>
          <w:b/>
          <w:bCs/>
          <w:szCs w:val="24"/>
          <w:lang w:val="sr-Cyrl-RS"/>
        </w:rPr>
        <w:t>Према основном сценарију, спољни дуг Србије би се на крају 2025. нашао на нивоу од око 50% БДП-а</w:t>
      </w:r>
      <w:r w:rsidRPr="000E0422">
        <w:rPr>
          <w:szCs w:val="24"/>
          <w:lang w:val="sr-Cyrl-RS"/>
        </w:rPr>
        <w:t>. Један од основних фактора који ће допринети овом смањењу је повећање степена отворености српске економије (мерено као проценат извоза и увоза роба и услуга у БДП-у) на преко 120% БДП-а. На повећање отворености српске економије и њену већу интеграцију у глобалне трговинске токове свакако утиче висок прилив СДИ, који је у периоду од 2013. закључно са септембром 2021. износио око 23 млрд евра. С обзиром да је највећи део ових инвестиција био усмерен у разменљиве секторе, међу највећим извозницима Србије налазе се углавном компаније у страном власништву. Наставак ЕУ интеграција и отварање нових поглавља из области економске политике, заједно с билатералним споразумима о слободној трговини (нпр. са Русијом, Турском, Белорусијом и Казахстаном) и споразума са економским групацијама (ЦЕФТА, ЕФТА, Евроазијска економска унија) које Влада Србије закључује и уз одржавање постигнуте макроекономске стабилности, довешће до даљег унапређења пословне климе, што ће омогућити већу међународну размену и наставак раста СДИ.</w:t>
      </w:r>
    </w:p>
    <w:p w14:paraId="0AE541BD" w14:textId="69F546F5" w:rsidR="00C4765D" w:rsidRPr="00735870" w:rsidRDefault="00735870" w:rsidP="0020125C">
      <w:pPr>
        <w:keepNext/>
        <w:keepLines/>
        <w:spacing w:before="120"/>
        <w:outlineLvl w:val="1"/>
        <w:rPr>
          <w:rFonts w:eastAsia="Calibri" w:cs="Times New Roman"/>
          <w:b/>
          <w:szCs w:val="24"/>
          <w:lang w:val="sr-Cyrl-RS"/>
        </w:rPr>
      </w:pPr>
      <w:bookmarkStart w:id="14" w:name="_Toc89375521"/>
      <w:r w:rsidRPr="00735870">
        <w:rPr>
          <w:rFonts w:eastAsia="Calibri" w:cs="Times New Roman"/>
          <w:b/>
          <w:szCs w:val="24"/>
        </w:rPr>
        <w:t>3.</w:t>
      </w:r>
      <w:r w:rsidR="00C4765D" w:rsidRPr="00735870">
        <w:rPr>
          <w:rFonts w:eastAsia="Calibri" w:cs="Times New Roman"/>
          <w:b/>
          <w:szCs w:val="24"/>
          <w:lang w:val="sr-Cyrl-RS"/>
        </w:rPr>
        <w:t xml:space="preserve">4. </w:t>
      </w:r>
      <w:r w:rsidR="0047017C" w:rsidRPr="00735870">
        <w:rPr>
          <w:rFonts w:eastAsia="Calibri" w:cs="Times New Roman"/>
          <w:b/>
          <w:szCs w:val="24"/>
          <w:lang w:val="sr-Cyrl-RS"/>
        </w:rPr>
        <w:t>АЛТЕРНАТИВНИ СЦЕНАРИО И РИЗИЦИ</w:t>
      </w:r>
      <w:bookmarkEnd w:id="14"/>
    </w:p>
    <w:p w14:paraId="1817A576"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Средњорочни сценарио кретања привредне активности Републике Србије праћен је бројним ризицима, пре свега из међународног окружења. Ризици макроекономског оквира</w:t>
      </w:r>
      <w:r w:rsidRPr="000E0422">
        <w:rPr>
          <w:lang w:val="sr-Cyrl-RS"/>
        </w:rPr>
        <w:t xml:space="preserve"> </w:t>
      </w:r>
      <w:r w:rsidRPr="000E0422">
        <w:rPr>
          <w:rFonts w:cstheme="minorHAnsi"/>
          <w:bCs/>
          <w:szCs w:val="72"/>
          <w:lang w:val="sr-Cyrl-RS"/>
        </w:rPr>
        <w:t>у највећој мери потичу од неизвесности у погледу тока пандемије на светском нивоу и ефикасности у њеном сузбијању.</w:t>
      </w:r>
    </w:p>
    <w:p w14:paraId="5E336360"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Основним макроекономским сценариом претпостављено је да ће утицај пандемије слабити током 2022. године како</w:t>
      </w:r>
      <w:r w:rsidRPr="000E0422">
        <w:rPr>
          <w:lang w:val="sr-Cyrl-RS"/>
        </w:rPr>
        <w:t xml:space="preserve"> </w:t>
      </w:r>
      <w:r w:rsidRPr="000E0422">
        <w:rPr>
          <w:rFonts w:cstheme="minorHAnsi"/>
          <w:bCs/>
          <w:szCs w:val="72"/>
          <w:lang w:val="sr-Cyrl-RS"/>
        </w:rPr>
        <w:t xml:space="preserve">трансмисија вируса буде слабила и како буде расла употреба вакцине. У супротном, погоршање епидемиолошке ситуације и увођење додатних рестриктивних мера, потенцијално пооштравање финансијских услова и </w:t>
      </w:r>
      <w:r w:rsidRPr="000E0422">
        <w:rPr>
          <w:rFonts w:cstheme="minorHAnsi"/>
          <w:bCs/>
          <w:szCs w:val="72"/>
          <w:lang w:val="sr-Cyrl-RS"/>
        </w:rPr>
        <w:lastRenderedPageBreak/>
        <w:t>изражени трошковни притисци на глобалну инфлацију водили би рецесионим трендовима. Осим могућих нових таласа пандемије и повезаних епидемиолошких ограничења, на успоравање привредног раста могу да утичу и чиниоци попут раста цена сировина (пре свега енергената), тј. убрзање инфлације на светском нивоу. Неуједначен опоравак наших најважнијих трговинских партнера праћен је ризиком од даљег успоравања услед ширења нових сојева вируса. Истовремено, неповољним средњорочним изгледима за раст ових привреда доприносе и застоји у ланцима снабдевања и неравнотеже на тржишту рада, јер повећавају трошкове производње и подгревају инфлаторна очекивања.</w:t>
      </w:r>
    </w:p>
    <w:p w14:paraId="74784CF6"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У кратком року, ризике пројекције оцењујемо као симетричне, при чему су асиметрични наниже по основу фактора из међународног окружења и благо навише по основу фактора из домаћег окружења. Већа производња и дистрибуција вакцине би требало да пандeмију сведе на прихватљиве оквире и да подстакне бржи од очекиваног опоравака потрошачког и инвестиционог поверења, а тиме и бржи привредни раст. С друге стране, потешкоће у процесу производње и дистрибуције вакцине и појава нових сојева вируса, који се брже шире, могли би да продуже трајање рестриктивних здравствених мера и тиме успоре опоравак. Неизвесност на међународном робном и финансијском тржишту, трговинске тензије и урушено пословно поверење негативно би се одразили на токове капитала. Што се тиче робног тржишта, раст цена примарних производа може имати утицај на привредни раст Србије. Кретање цене нафте и осталих енергената изнад пројектованог негативно би се одразило на трошкове производње, али би и променило структуру потрошње домаћинстава повећањем удела увозних добара, што би удружено успорило привредни раст. Ризици везани за домаће тржиште односе се на нову пољопривредну сезону, брзину опоравка тражње и кретање регулисаних цена.</w:t>
      </w:r>
    </w:p>
    <w:p w14:paraId="462D7992"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Србија је задржала улогу нето извозника основних метала и руда, тако да би бржи раст њихових цена погодовао економској активности. Ублажавању негативних ризика допринеће активирање нових и проширење постојећих извозних капацитета, повољнији односи робне размене.</w:t>
      </w:r>
      <w:r w:rsidRPr="000E0422">
        <w:rPr>
          <w:lang w:val="sr-Cyrl-RS"/>
        </w:rPr>
        <w:t xml:space="preserve"> </w:t>
      </w:r>
      <w:r w:rsidRPr="000E0422">
        <w:rPr>
          <w:rFonts w:cstheme="minorHAnsi"/>
          <w:bCs/>
          <w:szCs w:val="72"/>
          <w:lang w:val="sr-Cyrl-RS"/>
        </w:rPr>
        <w:t>Захваљујући инвестицијама из претходног периода, пре свега у разменљиве секторе, укупан извоз Србије је мање погођен смањеном екстерном тражњом из зоне евра, а индустријски сектор је остао релативно отпоран на шокове из глобалног окружења.</w:t>
      </w:r>
    </w:p>
    <w:p w14:paraId="599DA7C9"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Ендогени ризици су идентификовани као израженији навише.</w:t>
      </w:r>
      <w:r w:rsidRPr="000E0422">
        <w:rPr>
          <w:lang w:val="sr-Cyrl-RS"/>
        </w:rPr>
        <w:t xml:space="preserve"> </w:t>
      </w:r>
      <w:r w:rsidRPr="000E0422">
        <w:rPr>
          <w:rFonts w:cstheme="minorHAnsi"/>
          <w:bCs/>
          <w:szCs w:val="72"/>
          <w:lang w:val="sr-Cyrl-RS"/>
        </w:rPr>
        <w:t xml:space="preserve">Пакет економских мера Владе и НБС очувао је расположиви доходак становништва и постојећа радна места, те обезбедио опоравак бржи од очекиваног. Ток пандемије ће определити кретања у услужном сектору, посебно у секторима саобраћаја, угоститељства и туризма. Штета проузрокована пандемијом у овим секторима може се прелити и на друге привредне гране. Остали фактори из домаћег окружења односе се на волатилност пољопривредне производње, ефикасност у реализацији јавних пројеката и динамику спровођења започетих реформи. Наставак структурних реформи и даља унапређења пословног амбијента требало би да допринесу бржем расту. И поред унапређења и модернизације сектора пољопривреде, производња главних биљних култура и даље је значајно зависна од агрометеоролошких услова, што може довести до битних одступања од вишегодишње просечне пољопривредне производње на бази које се пројектује кретање овог сектора. У основном сценарију је претпостављена просечна пољопривредна производња и неутралан допринос пољопривреде расту БДП. Раст грађевинарства у наредном периоду базиран је на успостављеној путањи раста приватне грађевинске оперативе као и на наставку инвестиционог циклуса државе. Динамика и ефикасност у спровођењу јавних пројеката, као и активности у сегменту изградње зграда и </w:t>
      </w:r>
      <w:r w:rsidRPr="000E0422">
        <w:rPr>
          <w:rFonts w:cstheme="minorHAnsi"/>
          <w:bCs/>
          <w:szCs w:val="72"/>
          <w:lang w:val="sr-Cyrl-RS"/>
        </w:rPr>
        <w:lastRenderedPageBreak/>
        <w:t xml:space="preserve">производних капацитета, носе са собом симетричне ризике. Кретање индустријске производње у највећој мери опредељено је екстерним факторима. </w:t>
      </w:r>
    </w:p>
    <w:p w14:paraId="103AAA61"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Иако је неутралисањем унутрашњих и спољашњих неравнотежа у претходном периоду повећана резистентност српске привреде на екстерне шокове, не треба губити из вида да смо мала и отворена економија која им је значајно изложена.</w:t>
      </w:r>
    </w:p>
    <w:p w14:paraId="35A71558"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 xml:space="preserve">Повољна макроекономска перспектива земље, унапређен пословни амбијент, задржавање повољних финансијских услова и ефикасна реализација инвестиционих пројеката државе умањиће неизвесност присутну у погледу спремности за инвестициона улагања и ширење производних капацитета. </w:t>
      </w:r>
    </w:p>
    <w:p w14:paraId="65EA9D18" w14:textId="77777777" w:rsidR="00C4765D" w:rsidRPr="000E0422" w:rsidRDefault="009333E2" w:rsidP="0047017C">
      <w:pPr>
        <w:autoSpaceDE w:val="0"/>
        <w:autoSpaceDN w:val="0"/>
        <w:adjustRightInd w:val="0"/>
        <w:contextualSpacing/>
        <w:rPr>
          <w:rFonts w:eastAsia="Constantia" w:cs="Times New Roman"/>
          <w:szCs w:val="24"/>
          <w:lang w:val="sr-Cyrl-RS"/>
        </w:rPr>
      </w:pPr>
      <w:r w:rsidRPr="000E0422">
        <w:rPr>
          <w:rFonts w:eastAsia="Constantia" w:cs="Times New Roman"/>
          <w:szCs w:val="24"/>
          <w:lang w:val="sr-Cyrl-RS"/>
        </w:rPr>
        <w:t xml:space="preserve">Графикон 3. </w:t>
      </w:r>
      <w:r w:rsidR="00C4765D" w:rsidRPr="000E0422">
        <w:rPr>
          <w:rFonts w:eastAsia="Constantia" w:cs="Times New Roman"/>
          <w:szCs w:val="24"/>
          <w:lang w:val="sr-Cyrl-RS"/>
        </w:rPr>
        <w:t>Пројекција кретања БДП, међугодишње стопе раста, %</w:t>
      </w:r>
    </w:p>
    <w:p w14:paraId="74999089" w14:textId="77777777" w:rsidR="004C1702" w:rsidRPr="000E0422" w:rsidRDefault="004C1702" w:rsidP="004C1702">
      <w:pPr>
        <w:autoSpaceDE w:val="0"/>
        <w:autoSpaceDN w:val="0"/>
        <w:adjustRightInd w:val="0"/>
        <w:spacing w:after="240"/>
        <w:rPr>
          <w:rFonts w:eastAsia="Constantia" w:cs="Times New Roman"/>
          <w:szCs w:val="24"/>
          <w:lang w:val="sr-Cyrl-RS"/>
        </w:rPr>
      </w:pPr>
      <w:r w:rsidRPr="000E0422">
        <w:rPr>
          <w:noProof/>
        </w:rPr>
        <w:drawing>
          <wp:inline distT="0" distB="0" distL="0" distR="0" wp14:anchorId="024FD361" wp14:editId="4B6CD973">
            <wp:extent cx="5903595" cy="1899634"/>
            <wp:effectExtent l="0" t="0" r="0" b="0"/>
            <wp:docPr id="15" name="Chart 15">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4ACA69" w14:textId="77777777" w:rsidR="000D5CE6" w:rsidRDefault="00BB0FE1" w:rsidP="0020125C">
      <w:pPr>
        <w:spacing w:after="60"/>
        <w:rPr>
          <w:lang w:val="sr-Cyrl-RS"/>
        </w:rPr>
      </w:pPr>
      <w:r w:rsidRPr="000E0422">
        <w:rPr>
          <w:lang w:val="sr-Cyrl-RS"/>
        </w:rPr>
        <w:t xml:space="preserve">Алтернативни сценарио је креиран на бази идентификованих ризика по остварење пројекције. У њега је уграђена потенцијална материјализација </w:t>
      </w:r>
      <w:r w:rsidR="00EF3959" w:rsidRPr="000E0422">
        <w:rPr>
          <w:lang w:val="sr-Cyrl-RS"/>
        </w:rPr>
        <w:t xml:space="preserve">егзогених </w:t>
      </w:r>
      <w:r w:rsidRPr="000E0422">
        <w:rPr>
          <w:lang w:val="sr-Cyrl-RS"/>
        </w:rPr>
        <w:t xml:space="preserve">ризика који су везани за </w:t>
      </w:r>
      <w:r w:rsidR="00EF3959" w:rsidRPr="000E0422">
        <w:rPr>
          <w:lang w:val="sr-Cyrl-RS"/>
        </w:rPr>
        <w:t>израженије трошковне притиске на раст инфлације услед снажнијег раста цена сировина, пре свега енергената</w:t>
      </w:r>
      <w:r w:rsidR="009902EB" w:rsidRPr="000E0422">
        <w:rPr>
          <w:lang w:val="sr-Cyrl-RS"/>
        </w:rPr>
        <w:t>,</w:t>
      </w:r>
      <w:r w:rsidR="005F7CEE" w:rsidRPr="000E0422">
        <w:rPr>
          <w:lang w:val="sr-Cyrl-RS"/>
        </w:rPr>
        <w:t xml:space="preserve"> али и последично других производа, као и</w:t>
      </w:r>
      <w:r w:rsidR="0039768E" w:rsidRPr="000E0422">
        <w:rPr>
          <w:lang w:val="sr-Cyrl-RS"/>
        </w:rPr>
        <w:t xml:space="preserve"> могуће</w:t>
      </w:r>
      <w:r w:rsidR="005F7CEE" w:rsidRPr="000E0422">
        <w:rPr>
          <w:lang w:val="sr-Cyrl-RS"/>
        </w:rPr>
        <w:t xml:space="preserve"> пооштравање </w:t>
      </w:r>
      <w:r w:rsidR="0039768E" w:rsidRPr="000E0422">
        <w:rPr>
          <w:lang w:val="sr-Cyrl-RS"/>
        </w:rPr>
        <w:t>глоба</w:t>
      </w:r>
      <w:r w:rsidR="009902EB" w:rsidRPr="000E0422">
        <w:rPr>
          <w:lang w:val="sr-Cyrl-RS"/>
        </w:rPr>
        <w:t xml:space="preserve">лних </w:t>
      </w:r>
      <w:r w:rsidR="005F7CEE" w:rsidRPr="000E0422">
        <w:rPr>
          <w:lang w:val="sr-Cyrl-RS"/>
        </w:rPr>
        <w:t xml:space="preserve">финансијских услова. Оваква кретања одразила би се на </w:t>
      </w:r>
      <w:r w:rsidR="00202F36" w:rsidRPr="000E0422">
        <w:rPr>
          <w:lang w:val="sr-Cyrl-RS"/>
        </w:rPr>
        <w:t>повећање трошкова</w:t>
      </w:r>
      <w:r w:rsidR="006A4E10" w:rsidRPr="000E0422">
        <w:rPr>
          <w:lang w:val="sr-Cyrl-RS"/>
        </w:rPr>
        <w:t xml:space="preserve"> производње</w:t>
      </w:r>
      <w:r w:rsidR="009902EB" w:rsidRPr="000E0422">
        <w:rPr>
          <w:lang w:val="sr-Cyrl-RS"/>
        </w:rPr>
        <w:t xml:space="preserve"> и</w:t>
      </w:r>
      <w:r w:rsidR="006A4E10" w:rsidRPr="000E0422">
        <w:rPr>
          <w:lang w:val="sr-Cyrl-RS"/>
        </w:rPr>
        <w:t xml:space="preserve"> </w:t>
      </w:r>
      <w:r w:rsidR="00202F36" w:rsidRPr="000E0422">
        <w:rPr>
          <w:lang w:val="sr-Cyrl-RS"/>
        </w:rPr>
        <w:t xml:space="preserve">смањење потенцијала </w:t>
      </w:r>
      <w:r w:rsidR="006A4E10" w:rsidRPr="000E0422">
        <w:rPr>
          <w:lang w:val="sr-Cyrl-RS"/>
        </w:rPr>
        <w:t>пословних субјеката</w:t>
      </w:r>
      <w:r w:rsidR="00202F36" w:rsidRPr="000E0422">
        <w:rPr>
          <w:lang w:val="sr-Cyrl-RS"/>
        </w:rPr>
        <w:t xml:space="preserve"> да инвестира</w:t>
      </w:r>
      <w:r w:rsidR="006A4E10" w:rsidRPr="000E0422">
        <w:rPr>
          <w:lang w:val="sr-Cyrl-RS"/>
        </w:rPr>
        <w:t>ју</w:t>
      </w:r>
      <w:r w:rsidR="00202F36" w:rsidRPr="000E0422">
        <w:rPr>
          <w:lang w:val="sr-Cyrl-RS"/>
        </w:rPr>
        <w:t xml:space="preserve"> у нове производне</w:t>
      </w:r>
      <w:r w:rsidR="00181FA8" w:rsidRPr="000E0422">
        <w:rPr>
          <w:lang w:val="sr-Cyrl-RS"/>
        </w:rPr>
        <w:t xml:space="preserve"> </w:t>
      </w:r>
      <w:r w:rsidR="00202F36" w:rsidRPr="000E0422">
        <w:rPr>
          <w:lang w:val="sr-Cyrl-RS"/>
        </w:rPr>
        <w:t>капацитет</w:t>
      </w:r>
      <w:r w:rsidR="009902EB" w:rsidRPr="000E0422">
        <w:rPr>
          <w:lang w:val="sr-Cyrl-RS"/>
        </w:rPr>
        <w:t xml:space="preserve">е што би имало за последицу мањи раст инвестиција од очекиваног. Поред тога, већи раст цена </w:t>
      </w:r>
      <w:r w:rsidR="005744A5" w:rsidRPr="000E0422">
        <w:rPr>
          <w:lang w:val="sr-Cyrl-RS"/>
        </w:rPr>
        <w:t>негативно би утицао и</w:t>
      </w:r>
      <w:r w:rsidR="009902EB" w:rsidRPr="000E0422">
        <w:rPr>
          <w:lang w:val="sr-Cyrl-RS"/>
        </w:rPr>
        <w:t xml:space="preserve"> на реални расположиви до</w:t>
      </w:r>
      <w:r w:rsidR="00807E41" w:rsidRPr="000E0422">
        <w:rPr>
          <w:lang w:val="sr-Cyrl-RS"/>
        </w:rPr>
        <w:t xml:space="preserve">ходак становништва и </w:t>
      </w:r>
      <w:r w:rsidR="009902EB" w:rsidRPr="000E0422">
        <w:rPr>
          <w:lang w:val="sr-Cyrl-RS"/>
        </w:rPr>
        <w:t>спорији раст приватне потрошње од првобитно очекиваног.</w:t>
      </w:r>
      <w:r w:rsidR="00202F36" w:rsidRPr="000E0422">
        <w:rPr>
          <w:lang w:val="sr-Cyrl-RS"/>
        </w:rPr>
        <w:t xml:space="preserve"> Последично</w:t>
      </w:r>
      <w:r w:rsidR="00784ABE" w:rsidRPr="000E0422">
        <w:rPr>
          <w:lang w:val="sr-Cyrl-RS"/>
        </w:rPr>
        <w:t>,</w:t>
      </w:r>
      <w:r w:rsidR="00202F36" w:rsidRPr="000E0422">
        <w:rPr>
          <w:lang w:val="sr-Cyrl-RS"/>
        </w:rPr>
        <w:t xml:space="preserve"> дошло би и до смањења очекиваног обима спољнотрговинске размене. </w:t>
      </w:r>
      <w:r w:rsidRPr="000E0422">
        <w:rPr>
          <w:lang w:val="sr-Cyrl-RS"/>
        </w:rPr>
        <w:t xml:space="preserve">Оваква кретања имала би за последицу нижу стопу укупног привредног раста у средњорочном сценарију </w:t>
      </w:r>
      <w:r w:rsidR="00710FE9" w:rsidRPr="000E0422">
        <w:rPr>
          <w:lang w:val="sr-Cyrl-RS"/>
        </w:rPr>
        <w:t>који би износио</w:t>
      </w:r>
      <w:r w:rsidRPr="000E0422">
        <w:rPr>
          <w:lang w:val="sr-Cyrl-RS"/>
        </w:rPr>
        <w:t xml:space="preserve"> </w:t>
      </w:r>
      <w:r w:rsidR="00700E5A" w:rsidRPr="000E0422">
        <w:rPr>
          <w:lang w:val="sr-Cyrl-RS"/>
        </w:rPr>
        <w:t>2,0% у 2022. години, односно 3,0% у 2023. и 3,5% у 2024</w:t>
      </w:r>
      <w:r w:rsidRPr="000E0422">
        <w:rPr>
          <w:lang w:val="sr-Cyrl-RS"/>
        </w:rPr>
        <w:t>. години.</w:t>
      </w:r>
    </w:p>
    <w:p w14:paraId="4A43F4B0" w14:textId="77777777" w:rsidR="00AC74BB" w:rsidRPr="000E0422" w:rsidRDefault="00F6081C" w:rsidP="00CA10B2">
      <w:pPr>
        <w:autoSpaceDE w:val="0"/>
        <w:autoSpaceDN w:val="0"/>
        <w:adjustRightInd w:val="0"/>
        <w:spacing w:after="60"/>
        <w:rPr>
          <w:rFonts w:eastAsia="Constantia" w:cs="Times New Roman"/>
          <w:szCs w:val="24"/>
          <w:lang w:val="sr-Cyrl-RS"/>
        </w:rPr>
      </w:pPr>
      <w:r w:rsidRPr="000E0422">
        <w:rPr>
          <w:rFonts w:eastAsia="Constantia" w:cs="Times New Roman"/>
          <w:szCs w:val="24"/>
          <w:lang w:val="sr-Cyrl-RS"/>
        </w:rPr>
        <w:t>Табела 3. Алтернативни макроекономски сценарио</w:t>
      </w:r>
    </w:p>
    <w:tbl>
      <w:tblPr>
        <w:tblStyle w:val="TableGrid1"/>
        <w:tblW w:w="4984" w:type="pct"/>
        <w:tblLayout w:type="fixed"/>
        <w:tblLook w:val="04A0" w:firstRow="1" w:lastRow="0" w:firstColumn="1" w:lastColumn="0" w:noHBand="0" w:noVBand="1"/>
      </w:tblPr>
      <w:tblGrid>
        <w:gridCol w:w="3839"/>
        <w:gridCol w:w="1310"/>
        <w:gridCol w:w="1256"/>
        <w:gridCol w:w="1273"/>
        <w:gridCol w:w="1309"/>
      </w:tblGrid>
      <w:tr w:rsidR="00766476" w:rsidRPr="000E0422" w14:paraId="201A196C" w14:textId="77777777" w:rsidTr="00765B8F">
        <w:trPr>
          <w:trHeight w:val="237"/>
        </w:trPr>
        <w:tc>
          <w:tcPr>
            <w:tcW w:w="2136" w:type="pct"/>
            <w:vMerge w:val="restart"/>
            <w:noWrap/>
            <w:hideMark/>
          </w:tcPr>
          <w:p w14:paraId="2C0ED5E9" w14:textId="77777777" w:rsidR="00BB0FE1" w:rsidRPr="000E0422" w:rsidRDefault="00BB0FE1" w:rsidP="0061418F">
            <w:pPr>
              <w:spacing w:after="0"/>
              <w:rPr>
                <w:sz w:val="20"/>
                <w:szCs w:val="20"/>
                <w:lang w:val="sr-Cyrl-RS"/>
              </w:rPr>
            </w:pPr>
          </w:p>
          <w:p w14:paraId="50311A8B" w14:textId="77777777" w:rsidR="00BB0FE1" w:rsidRPr="000E0422" w:rsidRDefault="00BB0FE1" w:rsidP="0061418F">
            <w:pPr>
              <w:spacing w:after="0"/>
              <w:rPr>
                <w:sz w:val="20"/>
                <w:szCs w:val="20"/>
                <w:lang w:val="sr-Cyrl-RS"/>
              </w:rPr>
            </w:pPr>
          </w:p>
        </w:tc>
        <w:tc>
          <w:tcPr>
            <w:tcW w:w="729" w:type="pct"/>
            <w:noWrap/>
            <w:hideMark/>
          </w:tcPr>
          <w:p w14:paraId="06D42A9B" w14:textId="77777777" w:rsidR="00BB0FE1" w:rsidRPr="000E0422" w:rsidRDefault="00BB0FE1" w:rsidP="0061418F">
            <w:pPr>
              <w:spacing w:after="0"/>
              <w:jc w:val="right"/>
              <w:rPr>
                <w:sz w:val="20"/>
                <w:szCs w:val="20"/>
                <w:lang w:val="sr-Cyrl-RS"/>
              </w:rPr>
            </w:pPr>
            <w:r w:rsidRPr="000E0422">
              <w:rPr>
                <w:sz w:val="20"/>
                <w:szCs w:val="20"/>
                <w:lang w:val="sr-Cyrl-RS"/>
              </w:rPr>
              <w:t>Процена</w:t>
            </w:r>
          </w:p>
        </w:tc>
        <w:tc>
          <w:tcPr>
            <w:tcW w:w="2135" w:type="pct"/>
            <w:gridSpan w:val="3"/>
            <w:hideMark/>
          </w:tcPr>
          <w:p w14:paraId="14732333" w14:textId="77777777" w:rsidR="00BB0FE1" w:rsidRPr="000E0422" w:rsidRDefault="00BB0FE1" w:rsidP="0061418F">
            <w:pPr>
              <w:spacing w:after="0"/>
              <w:jc w:val="center"/>
              <w:rPr>
                <w:sz w:val="20"/>
                <w:szCs w:val="20"/>
                <w:lang w:val="sr-Cyrl-RS"/>
              </w:rPr>
            </w:pPr>
            <w:r w:rsidRPr="000E0422">
              <w:rPr>
                <w:sz w:val="20"/>
                <w:szCs w:val="20"/>
                <w:lang w:val="sr-Cyrl-RS"/>
              </w:rPr>
              <w:t>Пројекција</w:t>
            </w:r>
          </w:p>
        </w:tc>
      </w:tr>
      <w:tr w:rsidR="00766476" w:rsidRPr="000E0422" w14:paraId="6658A4D0" w14:textId="77777777" w:rsidTr="00765B8F">
        <w:trPr>
          <w:trHeight w:val="196"/>
        </w:trPr>
        <w:tc>
          <w:tcPr>
            <w:tcW w:w="2136" w:type="pct"/>
            <w:vMerge/>
            <w:hideMark/>
          </w:tcPr>
          <w:p w14:paraId="244DF910" w14:textId="77777777" w:rsidR="00BB0FE1" w:rsidRPr="000E0422" w:rsidRDefault="00BB0FE1" w:rsidP="0061418F">
            <w:pPr>
              <w:spacing w:after="0"/>
              <w:rPr>
                <w:sz w:val="20"/>
                <w:szCs w:val="20"/>
                <w:lang w:val="sr-Cyrl-RS"/>
              </w:rPr>
            </w:pPr>
          </w:p>
        </w:tc>
        <w:tc>
          <w:tcPr>
            <w:tcW w:w="729" w:type="pct"/>
            <w:noWrap/>
            <w:hideMark/>
          </w:tcPr>
          <w:p w14:paraId="5E589076" w14:textId="77777777" w:rsidR="00BB0FE1" w:rsidRPr="000E0422" w:rsidRDefault="007B69F9" w:rsidP="0061418F">
            <w:pPr>
              <w:spacing w:after="0"/>
              <w:jc w:val="right"/>
              <w:rPr>
                <w:b/>
                <w:bCs/>
                <w:sz w:val="20"/>
                <w:szCs w:val="20"/>
                <w:lang w:val="sr-Cyrl-RS"/>
              </w:rPr>
            </w:pPr>
            <w:r w:rsidRPr="000E0422">
              <w:rPr>
                <w:b/>
                <w:bCs/>
                <w:sz w:val="20"/>
                <w:szCs w:val="20"/>
                <w:lang w:val="sr-Cyrl-RS"/>
              </w:rPr>
              <w:t>2021</w:t>
            </w:r>
          </w:p>
        </w:tc>
        <w:tc>
          <w:tcPr>
            <w:tcW w:w="699" w:type="pct"/>
            <w:noWrap/>
            <w:hideMark/>
          </w:tcPr>
          <w:p w14:paraId="06AADACF" w14:textId="77777777" w:rsidR="00BB0FE1" w:rsidRPr="000E0422" w:rsidRDefault="00BB0FE1" w:rsidP="0061418F">
            <w:pPr>
              <w:spacing w:after="0"/>
              <w:jc w:val="right"/>
              <w:rPr>
                <w:b/>
                <w:bCs/>
                <w:sz w:val="20"/>
                <w:szCs w:val="20"/>
                <w:lang w:val="sr-Cyrl-RS"/>
              </w:rPr>
            </w:pPr>
            <w:r w:rsidRPr="000E0422">
              <w:rPr>
                <w:b/>
                <w:bCs/>
                <w:sz w:val="20"/>
                <w:szCs w:val="20"/>
                <w:lang w:val="sr-Cyrl-RS"/>
              </w:rPr>
              <w:t>202</w:t>
            </w:r>
            <w:r w:rsidR="007B69F9" w:rsidRPr="000E0422">
              <w:rPr>
                <w:b/>
                <w:bCs/>
                <w:sz w:val="20"/>
                <w:szCs w:val="20"/>
                <w:lang w:val="sr-Cyrl-RS"/>
              </w:rPr>
              <w:t>2</w:t>
            </w:r>
          </w:p>
        </w:tc>
        <w:tc>
          <w:tcPr>
            <w:tcW w:w="708" w:type="pct"/>
            <w:noWrap/>
            <w:hideMark/>
          </w:tcPr>
          <w:p w14:paraId="6398E5CE" w14:textId="77777777" w:rsidR="00BB0FE1" w:rsidRPr="000E0422" w:rsidRDefault="007B69F9" w:rsidP="0061418F">
            <w:pPr>
              <w:spacing w:after="0"/>
              <w:jc w:val="right"/>
              <w:rPr>
                <w:b/>
                <w:bCs/>
                <w:sz w:val="20"/>
                <w:szCs w:val="20"/>
                <w:lang w:val="sr-Cyrl-RS"/>
              </w:rPr>
            </w:pPr>
            <w:r w:rsidRPr="000E0422">
              <w:rPr>
                <w:b/>
                <w:bCs/>
                <w:sz w:val="20"/>
                <w:szCs w:val="20"/>
                <w:lang w:val="sr-Cyrl-RS"/>
              </w:rPr>
              <w:t>2023</w:t>
            </w:r>
          </w:p>
        </w:tc>
        <w:tc>
          <w:tcPr>
            <w:tcW w:w="728" w:type="pct"/>
            <w:noWrap/>
            <w:hideMark/>
          </w:tcPr>
          <w:p w14:paraId="7BB4E8EC" w14:textId="77777777" w:rsidR="00BB0FE1" w:rsidRPr="000E0422" w:rsidRDefault="00BB0FE1" w:rsidP="0061418F">
            <w:pPr>
              <w:spacing w:after="0"/>
              <w:jc w:val="right"/>
              <w:rPr>
                <w:b/>
                <w:bCs/>
                <w:sz w:val="20"/>
                <w:szCs w:val="20"/>
                <w:lang w:val="sr-Cyrl-RS"/>
              </w:rPr>
            </w:pPr>
            <w:r w:rsidRPr="000E0422">
              <w:rPr>
                <w:b/>
                <w:bCs/>
                <w:sz w:val="20"/>
                <w:szCs w:val="20"/>
                <w:lang w:val="sr-Cyrl-RS"/>
              </w:rPr>
              <w:t>202</w:t>
            </w:r>
            <w:r w:rsidR="007B69F9" w:rsidRPr="000E0422">
              <w:rPr>
                <w:b/>
                <w:bCs/>
                <w:sz w:val="20"/>
                <w:szCs w:val="20"/>
                <w:lang w:val="sr-Cyrl-RS"/>
              </w:rPr>
              <w:t>4</w:t>
            </w:r>
          </w:p>
        </w:tc>
      </w:tr>
      <w:tr w:rsidR="00766476" w:rsidRPr="000E0422" w14:paraId="77655A83" w14:textId="77777777" w:rsidTr="007B69F9">
        <w:trPr>
          <w:trHeight w:val="237"/>
        </w:trPr>
        <w:tc>
          <w:tcPr>
            <w:tcW w:w="2136" w:type="pct"/>
            <w:noWrap/>
            <w:hideMark/>
          </w:tcPr>
          <w:p w14:paraId="71B79BCC" w14:textId="77777777" w:rsidR="00BB0FE1" w:rsidRPr="000E0422" w:rsidRDefault="00BB0FE1" w:rsidP="0061418F">
            <w:pPr>
              <w:spacing w:after="0"/>
              <w:rPr>
                <w:b/>
                <w:sz w:val="20"/>
                <w:szCs w:val="20"/>
                <w:lang w:val="sr-Cyrl-RS"/>
              </w:rPr>
            </w:pPr>
            <w:r w:rsidRPr="000E0422">
              <w:rPr>
                <w:b/>
                <w:sz w:val="20"/>
                <w:szCs w:val="20"/>
                <w:lang w:val="sr-Cyrl-RS"/>
              </w:rPr>
              <w:t>БДП, млрд динара (текуће цене)</w:t>
            </w:r>
          </w:p>
        </w:tc>
        <w:tc>
          <w:tcPr>
            <w:tcW w:w="729" w:type="pct"/>
            <w:tcBorders>
              <w:top w:val="single" w:sz="4" w:space="0" w:color="002060"/>
            </w:tcBorders>
            <w:noWrap/>
          </w:tcPr>
          <w:p w14:paraId="2BE0D1F4" w14:textId="77777777"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163</w:t>
            </w:r>
          </w:p>
        </w:tc>
        <w:tc>
          <w:tcPr>
            <w:tcW w:w="699" w:type="pct"/>
            <w:tcBorders>
              <w:top w:val="single" w:sz="4" w:space="0" w:color="002060"/>
            </w:tcBorders>
            <w:noWrap/>
          </w:tcPr>
          <w:p w14:paraId="6AE34665" w14:textId="77777777"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553</w:t>
            </w:r>
          </w:p>
        </w:tc>
        <w:tc>
          <w:tcPr>
            <w:tcW w:w="708" w:type="pct"/>
            <w:tcBorders>
              <w:top w:val="single" w:sz="4" w:space="0" w:color="002060"/>
            </w:tcBorders>
            <w:noWrap/>
          </w:tcPr>
          <w:p w14:paraId="2C1078D8" w14:textId="77777777"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937</w:t>
            </w:r>
          </w:p>
        </w:tc>
        <w:tc>
          <w:tcPr>
            <w:tcW w:w="728" w:type="pct"/>
            <w:tcBorders>
              <w:top w:val="single" w:sz="4" w:space="0" w:color="002060"/>
            </w:tcBorders>
            <w:noWrap/>
          </w:tcPr>
          <w:p w14:paraId="0EF8BC88" w14:textId="77777777" w:rsidR="00BB0FE1" w:rsidRPr="000E0422" w:rsidRDefault="007B69F9" w:rsidP="0061418F">
            <w:pPr>
              <w:spacing w:after="0"/>
              <w:jc w:val="right"/>
              <w:rPr>
                <w:b/>
                <w:bCs/>
                <w:sz w:val="20"/>
                <w:szCs w:val="20"/>
                <w:lang w:val="sr-Cyrl-RS"/>
              </w:rPr>
            </w:pPr>
            <w:r w:rsidRPr="000E0422">
              <w:rPr>
                <w:b/>
                <w:bCs/>
                <w:sz w:val="20"/>
                <w:szCs w:val="20"/>
                <w:lang w:val="sr-Cyrl-RS"/>
              </w:rPr>
              <w:t>7</w:t>
            </w:r>
            <w:r w:rsidR="005C3ABF">
              <w:rPr>
                <w:b/>
                <w:bCs/>
                <w:sz w:val="20"/>
                <w:szCs w:val="20"/>
                <w:lang w:val="sr-Cyrl-RS"/>
              </w:rPr>
              <w:t>.</w:t>
            </w:r>
            <w:r w:rsidRPr="000E0422">
              <w:rPr>
                <w:b/>
                <w:bCs/>
                <w:sz w:val="20"/>
                <w:szCs w:val="20"/>
                <w:lang w:val="sr-Cyrl-RS"/>
              </w:rPr>
              <w:t>374</w:t>
            </w:r>
          </w:p>
        </w:tc>
      </w:tr>
      <w:tr w:rsidR="00766476" w:rsidRPr="000E0422" w14:paraId="4D0AA0DA" w14:textId="77777777" w:rsidTr="007B69F9">
        <w:trPr>
          <w:trHeight w:val="162"/>
        </w:trPr>
        <w:tc>
          <w:tcPr>
            <w:tcW w:w="2136" w:type="pct"/>
            <w:noWrap/>
            <w:hideMark/>
          </w:tcPr>
          <w:p w14:paraId="064E3AC5" w14:textId="77777777" w:rsidR="00BB0FE1" w:rsidRPr="000E0422" w:rsidRDefault="00BB0FE1" w:rsidP="0061418F">
            <w:pPr>
              <w:spacing w:after="0"/>
              <w:rPr>
                <w:sz w:val="20"/>
                <w:szCs w:val="20"/>
                <w:lang w:val="sr-Cyrl-RS"/>
              </w:rPr>
            </w:pPr>
            <w:r w:rsidRPr="000E0422">
              <w:rPr>
                <w:sz w:val="20"/>
                <w:szCs w:val="20"/>
                <w:lang w:val="sr-Cyrl-RS"/>
              </w:rPr>
              <w:t>Реални раст БДП, %</w:t>
            </w:r>
          </w:p>
        </w:tc>
        <w:tc>
          <w:tcPr>
            <w:tcW w:w="729" w:type="pct"/>
            <w:noWrap/>
          </w:tcPr>
          <w:p w14:paraId="02314FB1" w14:textId="77777777" w:rsidR="00BB0FE1" w:rsidRPr="000E0422" w:rsidRDefault="007B69F9" w:rsidP="0061418F">
            <w:pPr>
              <w:spacing w:after="0"/>
              <w:jc w:val="right"/>
              <w:rPr>
                <w:bCs/>
                <w:sz w:val="20"/>
                <w:szCs w:val="20"/>
                <w:lang w:val="sr-Cyrl-RS"/>
              </w:rPr>
            </w:pPr>
            <w:r w:rsidRPr="000E0422">
              <w:rPr>
                <w:bCs/>
                <w:sz w:val="20"/>
                <w:szCs w:val="20"/>
                <w:lang w:val="sr-Cyrl-RS"/>
              </w:rPr>
              <w:t>7,0</w:t>
            </w:r>
          </w:p>
        </w:tc>
        <w:tc>
          <w:tcPr>
            <w:tcW w:w="699" w:type="pct"/>
            <w:noWrap/>
          </w:tcPr>
          <w:p w14:paraId="38CAEEA7" w14:textId="77777777" w:rsidR="00BB0FE1" w:rsidRPr="000E0422" w:rsidRDefault="007B69F9" w:rsidP="0061418F">
            <w:pPr>
              <w:spacing w:after="0"/>
              <w:jc w:val="right"/>
              <w:rPr>
                <w:bCs/>
                <w:sz w:val="20"/>
                <w:szCs w:val="20"/>
                <w:lang w:val="sr-Cyrl-RS"/>
              </w:rPr>
            </w:pPr>
            <w:r w:rsidRPr="000E0422">
              <w:rPr>
                <w:bCs/>
                <w:sz w:val="20"/>
                <w:szCs w:val="20"/>
                <w:lang w:val="sr-Cyrl-RS"/>
              </w:rPr>
              <w:t>2,0</w:t>
            </w:r>
          </w:p>
        </w:tc>
        <w:tc>
          <w:tcPr>
            <w:tcW w:w="708" w:type="pct"/>
            <w:noWrap/>
          </w:tcPr>
          <w:p w14:paraId="5C323CBC" w14:textId="77777777" w:rsidR="00BB0FE1" w:rsidRPr="000E0422" w:rsidRDefault="007B69F9" w:rsidP="0061418F">
            <w:pPr>
              <w:spacing w:after="0"/>
              <w:jc w:val="right"/>
              <w:rPr>
                <w:bCs/>
                <w:sz w:val="20"/>
                <w:szCs w:val="20"/>
                <w:lang w:val="sr-Cyrl-RS"/>
              </w:rPr>
            </w:pPr>
            <w:r w:rsidRPr="000E0422">
              <w:rPr>
                <w:bCs/>
                <w:sz w:val="20"/>
                <w:szCs w:val="20"/>
                <w:lang w:val="sr-Cyrl-RS"/>
              </w:rPr>
              <w:t>3,0</w:t>
            </w:r>
          </w:p>
        </w:tc>
        <w:tc>
          <w:tcPr>
            <w:tcW w:w="728" w:type="pct"/>
            <w:noWrap/>
          </w:tcPr>
          <w:p w14:paraId="0E50CE65" w14:textId="77777777" w:rsidR="00BB0FE1" w:rsidRPr="000E0422" w:rsidRDefault="007B69F9" w:rsidP="0061418F">
            <w:pPr>
              <w:spacing w:after="0"/>
              <w:jc w:val="right"/>
              <w:rPr>
                <w:bCs/>
                <w:sz w:val="20"/>
                <w:szCs w:val="20"/>
                <w:lang w:val="sr-Cyrl-RS"/>
              </w:rPr>
            </w:pPr>
            <w:r w:rsidRPr="000E0422">
              <w:rPr>
                <w:bCs/>
                <w:sz w:val="20"/>
                <w:szCs w:val="20"/>
                <w:lang w:val="sr-Cyrl-RS"/>
              </w:rPr>
              <w:t>3,5</w:t>
            </w:r>
          </w:p>
        </w:tc>
      </w:tr>
      <w:tr w:rsidR="00766476" w:rsidRPr="000E0422" w14:paraId="6920DB03" w14:textId="77777777" w:rsidTr="007B69F9">
        <w:trPr>
          <w:trHeight w:val="126"/>
        </w:trPr>
        <w:tc>
          <w:tcPr>
            <w:tcW w:w="2136" w:type="pct"/>
            <w:noWrap/>
            <w:hideMark/>
          </w:tcPr>
          <w:p w14:paraId="2BC9B2D3" w14:textId="77777777" w:rsidR="00BB0FE1" w:rsidRPr="000E0422" w:rsidRDefault="00BB0FE1" w:rsidP="0061418F">
            <w:pPr>
              <w:spacing w:after="0"/>
              <w:rPr>
                <w:sz w:val="20"/>
                <w:szCs w:val="20"/>
                <w:lang w:val="sr-Cyrl-RS"/>
              </w:rPr>
            </w:pPr>
            <w:r w:rsidRPr="000E0422">
              <w:rPr>
                <w:sz w:val="20"/>
                <w:szCs w:val="20"/>
                <w:lang w:val="sr-Cyrl-RS"/>
              </w:rPr>
              <w:t>Дефлатор БДП, %</w:t>
            </w:r>
          </w:p>
        </w:tc>
        <w:tc>
          <w:tcPr>
            <w:tcW w:w="729" w:type="pct"/>
            <w:noWrap/>
          </w:tcPr>
          <w:p w14:paraId="73DE0424" w14:textId="77777777" w:rsidR="00BB0FE1" w:rsidRPr="000E0422" w:rsidRDefault="007B69F9" w:rsidP="0061418F">
            <w:pPr>
              <w:spacing w:after="0"/>
              <w:jc w:val="right"/>
              <w:rPr>
                <w:bCs/>
                <w:sz w:val="20"/>
                <w:szCs w:val="20"/>
                <w:lang w:val="sr-Cyrl-RS"/>
              </w:rPr>
            </w:pPr>
            <w:r w:rsidRPr="000E0422">
              <w:rPr>
                <w:bCs/>
                <w:sz w:val="20"/>
                <w:szCs w:val="20"/>
                <w:lang w:val="sr-Cyrl-RS"/>
              </w:rPr>
              <w:t>4,7</w:t>
            </w:r>
          </w:p>
        </w:tc>
        <w:tc>
          <w:tcPr>
            <w:tcW w:w="699" w:type="pct"/>
            <w:noWrap/>
          </w:tcPr>
          <w:p w14:paraId="2751E1D3" w14:textId="77777777" w:rsidR="00BB0FE1" w:rsidRPr="000E0422" w:rsidRDefault="007B69F9" w:rsidP="0061418F">
            <w:pPr>
              <w:spacing w:after="0"/>
              <w:jc w:val="right"/>
              <w:rPr>
                <w:bCs/>
                <w:sz w:val="20"/>
                <w:szCs w:val="20"/>
                <w:lang w:val="sr-Cyrl-RS"/>
              </w:rPr>
            </w:pPr>
            <w:r w:rsidRPr="000E0422">
              <w:rPr>
                <w:bCs/>
                <w:sz w:val="20"/>
                <w:szCs w:val="20"/>
                <w:lang w:val="sr-Cyrl-RS"/>
              </w:rPr>
              <w:t>4,3</w:t>
            </w:r>
          </w:p>
        </w:tc>
        <w:tc>
          <w:tcPr>
            <w:tcW w:w="708" w:type="pct"/>
            <w:noWrap/>
          </w:tcPr>
          <w:p w14:paraId="0B51222A" w14:textId="77777777"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728" w:type="pct"/>
            <w:noWrap/>
          </w:tcPr>
          <w:p w14:paraId="429855D0" w14:textId="77777777" w:rsidR="00BB0FE1" w:rsidRPr="000E0422" w:rsidRDefault="007B69F9" w:rsidP="0061418F">
            <w:pPr>
              <w:spacing w:after="0"/>
              <w:jc w:val="right"/>
              <w:rPr>
                <w:bCs/>
                <w:sz w:val="20"/>
                <w:szCs w:val="20"/>
                <w:lang w:val="sr-Cyrl-RS"/>
              </w:rPr>
            </w:pPr>
            <w:r w:rsidRPr="000E0422">
              <w:rPr>
                <w:bCs/>
                <w:sz w:val="20"/>
                <w:szCs w:val="20"/>
                <w:lang w:val="sr-Cyrl-RS"/>
              </w:rPr>
              <w:t>2,7</w:t>
            </w:r>
          </w:p>
        </w:tc>
      </w:tr>
      <w:tr w:rsidR="00766476" w:rsidRPr="000E0422" w14:paraId="1ACD9F5E" w14:textId="77777777" w:rsidTr="00765B8F">
        <w:trPr>
          <w:trHeight w:val="198"/>
        </w:trPr>
        <w:tc>
          <w:tcPr>
            <w:tcW w:w="5000" w:type="pct"/>
            <w:gridSpan w:val="5"/>
            <w:noWrap/>
            <w:hideMark/>
          </w:tcPr>
          <w:p w14:paraId="2C7EE2C0" w14:textId="77777777" w:rsidR="00BB0FE1" w:rsidRPr="000E0422" w:rsidRDefault="00BB0FE1" w:rsidP="0061418F">
            <w:pPr>
              <w:spacing w:after="0"/>
              <w:rPr>
                <w:i/>
                <w:iCs/>
                <w:sz w:val="20"/>
                <w:szCs w:val="20"/>
                <w:lang w:val="sr-Cyrl-RS"/>
              </w:rPr>
            </w:pPr>
            <w:r w:rsidRPr="000E0422">
              <w:rPr>
                <w:i/>
                <w:iCs/>
                <w:sz w:val="20"/>
                <w:szCs w:val="20"/>
                <w:lang w:val="sr-Cyrl-RS"/>
              </w:rPr>
              <w:t>Реални раст појединих компоненти БДП, %</w:t>
            </w:r>
          </w:p>
        </w:tc>
      </w:tr>
      <w:tr w:rsidR="00766476" w:rsidRPr="000E0422" w14:paraId="69C921EE" w14:textId="77777777" w:rsidTr="00765B8F">
        <w:trPr>
          <w:trHeight w:val="162"/>
        </w:trPr>
        <w:tc>
          <w:tcPr>
            <w:tcW w:w="2136" w:type="pct"/>
            <w:noWrap/>
            <w:hideMark/>
          </w:tcPr>
          <w:p w14:paraId="5D6794CA" w14:textId="77777777" w:rsidR="00BB0FE1" w:rsidRPr="000E0422" w:rsidRDefault="00BB0FE1" w:rsidP="0061418F">
            <w:pPr>
              <w:spacing w:after="0"/>
              <w:rPr>
                <w:sz w:val="20"/>
                <w:szCs w:val="20"/>
                <w:lang w:val="sr-Cyrl-RS"/>
              </w:rPr>
            </w:pPr>
            <w:r w:rsidRPr="000E0422">
              <w:rPr>
                <w:sz w:val="20"/>
                <w:szCs w:val="20"/>
                <w:lang w:val="sr-Cyrl-RS"/>
              </w:rPr>
              <w:t xml:space="preserve">   Лична потрошња</w:t>
            </w:r>
          </w:p>
        </w:tc>
        <w:tc>
          <w:tcPr>
            <w:tcW w:w="729" w:type="pct"/>
            <w:noWrap/>
          </w:tcPr>
          <w:p w14:paraId="69C3F9B3" w14:textId="77777777" w:rsidR="00BB0FE1" w:rsidRPr="000E0422" w:rsidRDefault="007B69F9" w:rsidP="0061418F">
            <w:pPr>
              <w:spacing w:after="0"/>
              <w:jc w:val="right"/>
              <w:rPr>
                <w:bCs/>
                <w:sz w:val="20"/>
                <w:szCs w:val="20"/>
                <w:lang w:val="sr-Cyrl-RS"/>
              </w:rPr>
            </w:pPr>
            <w:r w:rsidRPr="000E0422">
              <w:rPr>
                <w:bCs/>
                <w:sz w:val="20"/>
                <w:szCs w:val="20"/>
                <w:lang w:val="sr-Cyrl-RS"/>
              </w:rPr>
              <w:t>6,4</w:t>
            </w:r>
          </w:p>
        </w:tc>
        <w:tc>
          <w:tcPr>
            <w:tcW w:w="699" w:type="pct"/>
            <w:noWrap/>
          </w:tcPr>
          <w:p w14:paraId="1E4F2C95" w14:textId="77777777" w:rsidR="00BB0FE1" w:rsidRPr="000E0422" w:rsidRDefault="007B69F9" w:rsidP="0061418F">
            <w:pPr>
              <w:spacing w:after="0"/>
              <w:jc w:val="right"/>
              <w:rPr>
                <w:bCs/>
                <w:sz w:val="20"/>
                <w:szCs w:val="20"/>
                <w:lang w:val="sr-Cyrl-RS"/>
              </w:rPr>
            </w:pPr>
            <w:r w:rsidRPr="000E0422">
              <w:rPr>
                <w:bCs/>
                <w:sz w:val="20"/>
                <w:szCs w:val="20"/>
                <w:lang w:val="sr-Cyrl-RS"/>
              </w:rPr>
              <w:t>2,4</w:t>
            </w:r>
          </w:p>
        </w:tc>
        <w:tc>
          <w:tcPr>
            <w:tcW w:w="708" w:type="pct"/>
            <w:noWrap/>
          </w:tcPr>
          <w:p w14:paraId="5E6E20D3" w14:textId="77777777"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728" w:type="pct"/>
            <w:noWrap/>
          </w:tcPr>
          <w:p w14:paraId="41EE308B" w14:textId="77777777" w:rsidR="00BB0FE1" w:rsidRPr="000E0422" w:rsidRDefault="007B69F9" w:rsidP="0061418F">
            <w:pPr>
              <w:spacing w:after="0"/>
              <w:jc w:val="right"/>
              <w:rPr>
                <w:bCs/>
                <w:sz w:val="20"/>
                <w:szCs w:val="20"/>
                <w:lang w:val="sr-Cyrl-RS"/>
              </w:rPr>
            </w:pPr>
            <w:r w:rsidRPr="000E0422">
              <w:rPr>
                <w:bCs/>
                <w:sz w:val="20"/>
                <w:szCs w:val="20"/>
                <w:lang w:val="sr-Cyrl-RS"/>
              </w:rPr>
              <w:t>2,9</w:t>
            </w:r>
          </w:p>
        </w:tc>
      </w:tr>
      <w:tr w:rsidR="00766476" w:rsidRPr="000E0422" w14:paraId="47AEE60F" w14:textId="77777777" w:rsidTr="00765B8F">
        <w:trPr>
          <w:trHeight w:val="135"/>
        </w:trPr>
        <w:tc>
          <w:tcPr>
            <w:tcW w:w="2136" w:type="pct"/>
            <w:noWrap/>
            <w:hideMark/>
          </w:tcPr>
          <w:p w14:paraId="642794B4" w14:textId="77777777" w:rsidR="00BB0FE1" w:rsidRPr="000E0422" w:rsidRDefault="00BB0FE1" w:rsidP="0061418F">
            <w:pPr>
              <w:spacing w:after="0"/>
              <w:rPr>
                <w:sz w:val="20"/>
                <w:szCs w:val="20"/>
                <w:lang w:val="sr-Cyrl-RS"/>
              </w:rPr>
            </w:pPr>
            <w:r w:rsidRPr="000E0422">
              <w:rPr>
                <w:sz w:val="20"/>
                <w:szCs w:val="20"/>
                <w:lang w:val="sr-Cyrl-RS"/>
              </w:rPr>
              <w:t xml:space="preserve">   Државна потрошња</w:t>
            </w:r>
          </w:p>
        </w:tc>
        <w:tc>
          <w:tcPr>
            <w:tcW w:w="729" w:type="pct"/>
            <w:noWrap/>
          </w:tcPr>
          <w:p w14:paraId="5D80B726" w14:textId="77777777"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699" w:type="pct"/>
            <w:noWrap/>
          </w:tcPr>
          <w:p w14:paraId="2DFF0D04" w14:textId="77777777" w:rsidR="00BB0FE1" w:rsidRPr="000E0422" w:rsidRDefault="007B69F9" w:rsidP="0061418F">
            <w:pPr>
              <w:spacing w:after="0"/>
              <w:jc w:val="right"/>
              <w:rPr>
                <w:bCs/>
                <w:sz w:val="20"/>
                <w:szCs w:val="20"/>
                <w:lang w:val="sr-Cyrl-RS"/>
              </w:rPr>
            </w:pPr>
            <w:r w:rsidRPr="000E0422">
              <w:rPr>
                <w:bCs/>
                <w:sz w:val="20"/>
                <w:szCs w:val="20"/>
                <w:lang w:val="sr-Cyrl-RS"/>
              </w:rPr>
              <w:t>0,9</w:t>
            </w:r>
          </w:p>
        </w:tc>
        <w:tc>
          <w:tcPr>
            <w:tcW w:w="708" w:type="pct"/>
            <w:noWrap/>
          </w:tcPr>
          <w:p w14:paraId="2CA30E9F" w14:textId="77777777" w:rsidR="00BB0FE1" w:rsidRPr="000E0422" w:rsidRDefault="007B69F9" w:rsidP="0061418F">
            <w:pPr>
              <w:spacing w:after="0"/>
              <w:jc w:val="right"/>
              <w:rPr>
                <w:bCs/>
                <w:sz w:val="20"/>
                <w:szCs w:val="20"/>
                <w:lang w:val="sr-Cyrl-RS"/>
              </w:rPr>
            </w:pPr>
            <w:r w:rsidRPr="000E0422">
              <w:rPr>
                <w:bCs/>
                <w:sz w:val="20"/>
                <w:szCs w:val="20"/>
                <w:lang w:val="sr-Cyrl-RS"/>
              </w:rPr>
              <w:t>1,0</w:t>
            </w:r>
          </w:p>
        </w:tc>
        <w:tc>
          <w:tcPr>
            <w:tcW w:w="728" w:type="pct"/>
            <w:noWrap/>
          </w:tcPr>
          <w:p w14:paraId="0674BE23" w14:textId="77777777" w:rsidR="00BB0FE1" w:rsidRPr="000E0422" w:rsidRDefault="007B69F9" w:rsidP="0061418F">
            <w:pPr>
              <w:spacing w:after="0"/>
              <w:jc w:val="right"/>
              <w:rPr>
                <w:bCs/>
                <w:sz w:val="20"/>
                <w:szCs w:val="20"/>
                <w:lang w:val="sr-Cyrl-RS"/>
              </w:rPr>
            </w:pPr>
            <w:r w:rsidRPr="000E0422">
              <w:rPr>
                <w:bCs/>
                <w:sz w:val="20"/>
                <w:szCs w:val="20"/>
                <w:lang w:val="sr-Cyrl-RS"/>
              </w:rPr>
              <w:t>1,2</w:t>
            </w:r>
          </w:p>
        </w:tc>
      </w:tr>
      <w:tr w:rsidR="00766476" w:rsidRPr="000E0422" w14:paraId="79686FA6" w14:textId="77777777" w:rsidTr="00765B8F">
        <w:trPr>
          <w:trHeight w:val="237"/>
        </w:trPr>
        <w:tc>
          <w:tcPr>
            <w:tcW w:w="2136" w:type="pct"/>
            <w:noWrap/>
            <w:hideMark/>
          </w:tcPr>
          <w:p w14:paraId="1BBCA0C6" w14:textId="77777777" w:rsidR="00BB0FE1" w:rsidRPr="000E0422" w:rsidRDefault="00BB0FE1" w:rsidP="0061418F">
            <w:pPr>
              <w:spacing w:after="0"/>
              <w:rPr>
                <w:sz w:val="20"/>
                <w:szCs w:val="20"/>
                <w:lang w:val="sr-Cyrl-RS"/>
              </w:rPr>
            </w:pPr>
            <w:r w:rsidRPr="000E0422">
              <w:rPr>
                <w:sz w:val="20"/>
                <w:szCs w:val="20"/>
                <w:lang w:val="sr-Cyrl-RS"/>
              </w:rPr>
              <w:t xml:space="preserve">   Бруто инвестиције у основн</w:t>
            </w:r>
            <w:r w:rsidR="008207C1" w:rsidRPr="008207C1">
              <w:rPr>
                <w:sz w:val="20"/>
                <w:szCs w:val="20"/>
                <w:lang w:val="sr-Cyrl-RS"/>
              </w:rPr>
              <w:t>а средства</w:t>
            </w:r>
          </w:p>
        </w:tc>
        <w:tc>
          <w:tcPr>
            <w:tcW w:w="729" w:type="pct"/>
            <w:noWrap/>
          </w:tcPr>
          <w:p w14:paraId="2E707ECF" w14:textId="77777777" w:rsidR="00BB0FE1" w:rsidRPr="000E0422" w:rsidRDefault="007B69F9" w:rsidP="0061418F">
            <w:pPr>
              <w:spacing w:after="0"/>
              <w:jc w:val="right"/>
              <w:rPr>
                <w:bCs/>
                <w:sz w:val="20"/>
                <w:szCs w:val="20"/>
                <w:lang w:val="sr-Cyrl-RS"/>
              </w:rPr>
            </w:pPr>
            <w:r w:rsidRPr="000E0422">
              <w:rPr>
                <w:bCs/>
                <w:sz w:val="20"/>
                <w:szCs w:val="20"/>
                <w:lang w:val="sr-Cyrl-RS"/>
              </w:rPr>
              <w:t>15,2</w:t>
            </w:r>
          </w:p>
        </w:tc>
        <w:tc>
          <w:tcPr>
            <w:tcW w:w="699" w:type="pct"/>
            <w:noWrap/>
          </w:tcPr>
          <w:p w14:paraId="2CBD8B7D" w14:textId="77777777" w:rsidR="00BB0FE1" w:rsidRPr="000E0422" w:rsidRDefault="007B69F9" w:rsidP="0061418F">
            <w:pPr>
              <w:spacing w:after="0"/>
              <w:jc w:val="right"/>
              <w:rPr>
                <w:bCs/>
                <w:sz w:val="20"/>
                <w:szCs w:val="20"/>
                <w:lang w:val="sr-Cyrl-RS"/>
              </w:rPr>
            </w:pPr>
            <w:r w:rsidRPr="000E0422">
              <w:rPr>
                <w:bCs/>
                <w:sz w:val="20"/>
                <w:szCs w:val="20"/>
                <w:lang w:val="sr-Cyrl-RS"/>
              </w:rPr>
              <w:t>0,6</w:t>
            </w:r>
          </w:p>
        </w:tc>
        <w:tc>
          <w:tcPr>
            <w:tcW w:w="708" w:type="pct"/>
            <w:noWrap/>
          </w:tcPr>
          <w:p w14:paraId="7E9D0E67" w14:textId="77777777" w:rsidR="00BB0FE1" w:rsidRPr="000E0422" w:rsidRDefault="007B69F9" w:rsidP="0061418F">
            <w:pPr>
              <w:spacing w:after="0"/>
              <w:jc w:val="right"/>
              <w:rPr>
                <w:bCs/>
                <w:sz w:val="20"/>
                <w:szCs w:val="20"/>
                <w:lang w:val="sr-Cyrl-RS"/>
              </w:rPr>
            </w:pPr>
            <w:r w:rsidRPr="000E0422">
              <w:rPr>
                <w:bCs/>
                <w:sz w:val="20"/>
                <w:szCs w:val="20"/>
                <w:lang w:val="sr-Cyrl-RS"/>
              </w:rPr>
              <w:t>4,3</w:t>
            </w:r>
          </w:p>
        </w:tc>
        <w:tc>
          <w:tcPr>
            <w:tcW w:w="728" w:type="pct"/>
            <w:noWrap/>
          </w:tcPr>
          <w:p w14:paraId="6A3E7702" w14:textId="77777777" w:rsidR="00BB0FE1" w:rsidRPr="000E0422" w:rsidRDefault="007B69F9" w:rsidP="0061418F">
            <w:pPr>
              <w:spacing w:after="0"/>
              <w:jc w:val="right"/>
              <w:rPr>
                <w:bCs/>
                <w:sz w:val="20"/>
                <w:szCs w:val="20"/>
                <w:lang w:val="sr-Cyrl-RS"/>
              </w:rPr>
            </w:pPr>
            <w:r w:rsidRPr="000E0422">
              <w:rPr>
                <w:bCs/>
                <w:sz w:val="20"/>
                <w:szCs w:val="20"/>
                <w:lang w:val="sr-Cyrl-RS"/>
              </w:rPr>
              <w:t>5,5</w:t>
            </w:r>
          </w:p>
        </w:tc>
      </w:tr>
      <w:tr w:rsidR="00766476" w:rsidRPr="000E0422" w14:paraId="031E2B30" w14:textId="77777777" w:rsidTr="00765B8F">
        <w:trPr>
          <w:trHeight w:val="135"/>
        </w:trPr>
        <w:tc>
          <w:tcPr>
            <w:tcW w:w="2136" w:type="pct"/>
            <w:noWrap/>
            <w:hideMark/>
          </w:tcPr>
          <w:p w14:paraId="36903109" w14:textId="77777777" w:rsidR="00BB0FE1" w:rsidRPr="000E0422" w:rsidRDefault="00BB0FE1" w:rsidP="0061418F">
            <w:pPr>
              <w:spacing w:after="0"/>
              <w:rPr>
                <w:sz w:val="20"/>
                <w:szCs w:val="20"/>
                <w:lang w:val="sr-Cyrl-RS"/>
              </w:rPr>
            </w:pPr>
            <w:r w:rsidRPr="000E0422">
              <w:rPr>
                <w:sz w:val="20"/>
                <w:szCs w:val="20"/>
                <w:lang w:val="sr-Cyrl-RS"/>
              </w:rPr>
              <w:t xml:space="preserve">   Извоз робе и услуга</w:t>
            </w:r>
          </w:p>
        </w:tc>
        <w:tc>
          <w:tcPr>
            <w:tcW w:w="729" w:type="pct"/>
            <w:noWrap/>
          </w:tcPr>
          <w:p w14:paraId="54B5F851" w14:textId="77777777" w:rsidR="00BB0FE1" w:rsidRPr="000E0422" w:rsidRDefault="007B69F9" w:rsidP="0061418F">
            <w:pPr>
              <w:spacing w:after="0"/>
              <w:jc w:val="right"/>
              <w:rPr>
                <w:bCs/>
                <w:sz w:val="20"/>
                <w:szCs w:val="20"/>
                <w:lang w:val="sr-Cyrl-RS"/>
              </w:rPr>
            </w:pPr>
            <w:r w:rsidRPr="000E0422">
              <w:rPr>
                <w:bCs/>
                <w:sz w:val="20"/>
                <w:szCs w:val="20"/>
                <w:lang w:val="sr-Cyrl-RS"/>
              </w:rPr>
              <w:t>15,9</w:t>
            </w:r>
          </w:p>
        </w:tc>
        <w:tc>
          <w:tcPr>
            <w:tcW w:w="699" w:type="pct"/>
            <w:noWrap/>
          </w:tcPr>
          <w:p w14:paraId="6404114B" w14:textId="77777777" w:rsidR="00BB0FE1" w:rsidRPr="000E0422" w:rsidRDefault="007B69F9" w:rsidP="0061418F">
            <w:pPr>
              <w:spacing w:after="0"/>
              <w:jc w:val="right"/>
              <w:rPr>
                <w:bCs/>
                <w:sz w:val="20"/>
                <w:szCs w:val="20"/>
                <w:lang w:val="sr-Cyrl-RS"/>
              </w:rPr>
            </w:pPr>
            <w:r w:rsidRPr="000E0422">
              <w:rPr>
                <w:bCs/>
                <w:sz w:val="20"/>
                <w:szCs w:val="20"/>
                <w:lang w:val="sr-Cyrl-RS"/>
              </w:rPr>
              <w:t>5,5</w:t>
            </w:r>
          </w:p>
        </w:tc>
        <w:tc>
          <w:tcPr>
            <w:tcW w:w="708" w:type="pct"/>
            <w:noWrap/>
          </w:tcPr>
          <w:p w14:paraId="0B184A3C" w14:textId="77777777" w:rsidR="00BB0FE1" w:rsidRPr="000E0422" w:rsidRDefault="007B69F9" w:rsidP="0061418F">
            <w:pPr>
              <w:spacing w:after="0"/>
              <w:jc w:val="right"/>
              <w:rPr>
                <w:bCs/>
                <w:sz w:val="20"/>
                <w:szCs w:val="20"/>
                <w:lang w:val="sr-Cyrl-RS"/>
              </w:rPr>
            </w:pPr>
            <w:r w:rsidRPr="000E0422">
              <w:rPr>
                <w:bCs/>
                <w:sz w:val="20"/>
                <w:szCs w:val="20"/>
                <w:lang w:val="sr-Cyrl-RS"/>
              </w:rPr>
              <w:t>8,9</w:t>
            </w:r>
          </w:p>
        </w:tc>
        <w:tc>
          <w:tcPr>
            <w:tcW w:w="728" w:type="pct"/>
            <w:noWrap/>
          </w:tcPr>
          <w:p w14:paraId="3DE4870F" w14:textId="77777777" w:rsidR="00BB0FE1" w:rsidRPr="000E0422" w:rsidRDefault="007B69F9" w:rsidP="0061418F">
            <w:pPr>
              <w:spacing w:after="0"/>
              <w:jc w:val="right"/>
              <w:rPr>
                <w:bCs/>
                <w:sz w:val="20"/>
                <w:szCs w:val="20"/>
                <w:lang w:val="sr-Cyrl-RS"/>
              </w:rPr>
            </w:pPr>
            <w:r w:rsidRPr="000E0422">
              <w:rPr>
                <w:bCs/>
                <w:sz w:val="20"/>
                <w:szCs w:val="20"/>
                <w:lang w:val="sr-Cyrl-RS"/>
              </w:rPr>
              <w:t>9,6</w:t>
            </w:r>
          </w:p>
        </w:tc>
      </w:tr>
      <w:tr w:rsidR="00766476" w:rsidRPr="000E0422" w14:paraId="79AC06EE" w14:textId="77777777" w:rsidTr="00765B8F">
        <w:trPr>
          <w:trHeight w:val="99"/>
        </w:trPr>
        <w:tc>
          <w:tcPr>
            <w:tcW w:w="2136" w:type="pct"/>
            <w:noWrap/>
            <w:hideMark/>
          </w:tcPr>
          <w:p w14:paraId="376B70A8" w14:textId="77777777" w:rsidR="00BB0FE1" w:rsidRPr="000E0422" w:rsidRDefault="00BB0FE1" w:rsidP="0061418F">
            <w:pPr>
              <w:spacing w:after="0"/>
              <w:rPr>
                <w:sz w:val="20"/>
                <w:szCs w:val="20"/>
                <w:lang w:val="sr-Cyrl-RS"/>
              </w:rPr>
            </w:pPr>
            <w:r w:rsidRPr="000E0422">
              <w:rPr>
                <w:sz w:val="20"/>
                <w:szCs w:val="20"/>
                <w:lang w:val="sr-Cyrl-RS"/>
              </w:rPr>
              <w:t xml:space="preserve">   Увоз робе и услуга</w:t>
            </w:r>
          </w:p>
        </w:tc>
        <w:tc>
          <w:tcPr>
            <w:tcW w:w="729" w:type="pct"/>
            <w:noWrap/>
          </w:tcPr>
          <w:p w14:paraId="2FCDBAEC" w14:textId="77777777" w:rsidR="00BB0FE1" w:rsidRPr="000E0422" w:rsidRDefault="007B69F9" w:rsidP="0061418F">
            <w:pPr>
              <w:spacing w:after="0"/>
              <w:jc w:val="right"/>
              <w:rPr>
                <w:bCs/>
                <w:sz w:val="20"/>
                <w:szCs w:val="20"/>
                <w:lang w:val="sr-Cyrl-RS"/>
              </w:rPr>
            </w:pPr>
            <w:r w:rsidRPr="000E0422">
              <w:rPr>
                <w:bCs/>
                <w:sz w:val="20"/>
                <w:szCs w:val="20"/>
                <w:lang w:val="sr-Cyrl-RS"/>
              </w:rPr>
              <w:t>14,2</w:t>
            </w:r>
          </w:p>
        </w:tc>
        <w:tc>
          <w:tcPr>
            <w:tcW w:w="699" w:type="pct"/>
            <w:noWrap/>
          </w:tcPr>
          <w:p w14:paraId="0288AAB5" w14:textId="77777777" w:rsidR="00BB0FE1" w:rsidRPr="000E0422" w:rsidRDefault="007B69F9" w:rsidP="0061418F">
            <w:pPr>
              <w:spacing w:after="0"/>
              <w:jc w:val="right"/>
              <w:rPr>
                <w:bCs/>
                <w:sz w:val="20"/>
                <w:szCs w:val="20"/>
                <w:lang w:val="sr-Cyrl-RS"/>
              </w:rPr>
            </w:pPr>
            <w:r w:rsidRPr="000E0422">
              <w:rPr>
                <w:bCs/>
                <w:sz w:val="20"/>
                <w:szCs w:val="20"/>
                <w:lang w:val="sr-Cyrl-RS"/>
              </w:rPr>
              <w:t>4,6</w:t>
            </w:r>
          </w:p>
        </w:tc>
        <w:tc>
          <w:tcPr>
            <w:tcW w:w="708" w:type="pct"/>
            <w:noWrap/>
          </w:tcPr>
          <w:p w14:paraId="5009935B" w14:textId="77777777" w:rsidR="00BB0FE1" w:rsidRPr="000E0422" w:rsidRDefault="007B69F9" w:rsidP="0061418F">
            <w:pPr>
              <w:spacing w:after="0"/>
              <w:jc w:val="right"/>
              <w:rPr>
                <w:bCs/>
                <w:sz w:val="20"/>
                <w:szCs w:val="20"/>
                <w:lang w:val="sr-Cyrl-RS"/>
              </w:rPr>
            </w:pPr>
            <w:r w:rsidRPr="000E0422">
              <w:rPr>
                <w:bCs/>
                <w:sz w:val="20"/>
                <w:szCs w:val="20"/>
                <w:lang w:val="sr-Cyrl-RS"/>
              </w:rPr>
              <w:t>7,8</w:t>
            </w:r>
          </w:p>
        </w:tc>
        <w:tc>
          <w:tcPr>
            <w:tcW w:w="728" w:type="pct"/>
            <w:noWrap/>
          </w:tcPr>
          <w:p w14:paraId="1A66ED58" w14:textId="77777777" w:rsidR="00BB0FE1" w:rsidRPr="000E0422" w:rsidRDefault="007B69F9" w:rsidP="0061418F">
            <w:pPr>
              <w:spacing w:after="0"/>
              <w:jc w:val="right"/>
              <w:rPr>
                <w:bCs/>
                <w:sz w:val="20"/>
                <w:szCs w:val="20"/>
                <w:lang w:val="sr-Cyrl-RS"/>
              </w:rPr>
            </w:pPr>
            <w:r w:rsidRPr="000E0422">
              <w:rPr>
                <w:bCs/>
                <w:sz w:val="20"/>
                <w:szCs w:val="20"/>
                <w:lang w:val="sr-Cyrl-RS"/>
              </w:rPr>
              <w:t>8,3</w:t>
            </w:r>
          </w:p>
        </w:tc>
      </w:tr>
    </w:tbl>
    <w:p w14:paraId="38CDD53A" w14:textId="505987EB" w:rsidR="005F26DA" w:rsidRPr="000E0422" w:rsidRDefault="00735870" w:rsidP="0020125C">
      <w:pPr>
        <w:keepNext/>
        <w:keepLines/>
        <w:spacing w:before="240" w:after="240"/>
        <w:outlineLvl w:val="0"/>
        <w:rPr>
          <w:rFonts w:eastAsiaTheme="majorEastAsia" w:cs="Times New Roman"/>
          <w:b/>
          <w:sz w:val="26"/>
          <w:szCs w:val="26"/>
          <w:lang w:val="sr-Cyrl-RS"/>
        </w:rPr>
      </w:pPr>
      <w:bookmarkStart w:id="15" w:name="_Toc89375522"/>
      <w:r>
        <w:rPr>
          <w:rFonts w:eastAsiaTheme="majorEastAsia" w:cs="Times New Roman"/>
          <w:b/>
          <w:sz w:val="26"/>
          <w:szCs w:val="26"/>
        </w:rPr>
        <w:lastRenderedPageBreak/>
        <w:t>4</w:t>
      </w:r>
      <w:r w:rsidR="0020125C">
        <w:rPr>
          <w:rFonts w:eastAsiaTheme="majorEastAsia" w:cs="Times New Roman"/>
          <w:b/>
          <w:sz w:val="26"/>
          <w:szCs w:val="26"/>
          <w:lang w:val="sr-Cyrl-RS"/>
        </w:rPr>
        <w:t>. ФИСКАЛНИ ОКВИР</w:t>
      </w:r>
      <w:bookmarkEnd w:id="15"/>
    </w:p>
    <w:p w14:paraId="4B79D5F4" w14:textId="6F7E36C7" w:rsidR="005F26DA" w:rsidRPr="00735870" w:rsidRDefault="00735870" w:rsidP="0020125C">
      <w:pPr>
        <w:keepNext/>
        <w:keepLines/>
        <w:spacing w:before="120"/>
        <w:outlineLvl w:val="1"/>
        <w:rPr>
          <w:rFonts w:eastAsiaTheme="majorEastAsia" w:cs="Times New Roman"/>
          <w:b/>
          <w:szCs w:val="26"/>
          <w:lang w:val="sr-Cyrl-RS"/>
        </w:rPr>
      </w:pPr>
      <w:bookmarkStart w:id="16" w:name="_Toc89375523"/>
      <w:r w:rsidRPr="00735870">
        <w:rPr>
          <w:rFonts w:eastAsiaTheme="majorEastAsia" w:cs="Times New Roman"/>
          <w:b/>
          <w:szCs w:val="26"/>
        </w:rPr>
        <w:t>4.</w:t>
      </w:r>
      <w:r w:rsidR="005F26DA" w:rsidRPr="00735870">
        <w:rPr>
          <w:rFonts w:eastAsiaTheme="majorEastAsia" w:cs="Times New Roman"/>
          <w:b/>
          <w:szCs w:val="26"/>
          <w:lang w:val="sr-Cyrl-RS"/>
        </w:rPr>
        <w:t>1. СТРАТЕГИЈА ЈАВНЕ ПОЛИТИКЕ И СРЕДЊОРОЧНИ ЦИЉЕВИ</w:t>
      </w:r>
      <w:bookmarkEnd w:id="16"/>
    </w:p>
    <w:p w14:paraId="1C11E136" w14:textId="77777777" w:rsidR="005F26DA" w:rsidRPr="000E0422" w:rsidRDefault="005F26DA" w:rsidP="0020125C">
      <w:pPr>
        <w:spacing w:after="60"/>
        <w:rPr>
          <w:lang w:val="sr-Cyrl-RS"/>
        </w:rPr>
      </w:pPr>
      <w:r w:rsidRPr="000E0422">
        <w:rPr>
          <w:lang w:val="sr-Cyrl-RS"/>
        </w:rPr>
        <w:t>Наставак борбе са пандемијом коронавируса и привредни опоравак обележили су 2021. годину. Почетком године обезбеђен је нови пакет мера подршке привреди и становништву у износу од око 4,2% БДП. Пакетом је предвиђена директна помоћ привреди и грађанима, уз додатне мере намењене секторима чије је пословање у највећој мери ограничено мерама за сузбијање епидемије (угоститељство, транспорт, хотелијерство и туристички сектор). Поред директне помоћи, овим пакетом мера, обезбеђена су додатна средства за очување ликвидности привредних субјеката и продужен рок за коришћење овог облика помоћи, а повећан је и износ средстава намењених сектору здравства.</w:t>
      </w:r>
    </w:p>
    <w:p w14:paraId="74F999D9" w14:textId="77777777" w:rsidR="005F26DA" w:rsidRPr="000E0422" w:rsidRDefault="005F26DA" w:rsidP="0020125C">
      <w:pPr>
        <w:spacing w:after="60"/>
        <w:rPr>
          <w:lang w:val="sr-Cyrl-RS"/>
        </w:rPr>
      </w:pPr>
      <w:r w:rsidRPr="000E0422">
        <w:rPr>
          <w:lang w:val="sr-Cyrl-RS"/>
        </w:rPr>
        <w:t>Пакет мера је додатно помогао опоравак привреде што се рефлектовало кроз бољу наплату прихода и последично мањи дефицит и ниво јавног дуга на крају године. Другим ребалансом је предвиђен дефицит опште државе од 4,9% БДП и ниво јавног дуга од 58,2% БДП, уз повећање износа средстава намењених инфраструктурним пројектима.</w:t>
      </w:r>
    </w:p>
    <w:p w14:paraId="269013BE" w14:textId="77777777" w:rsidR="005F26DA" w:rsidRPr="000E0422" w:rsidRDefault="005F26DA" w:rsidP="0020125C">
      <w:pPr>
        <w:spacing w:after="60"/>
        <w:rPr>
          <w:lang w:val="sr-Cyrl-RS"/>
        </w:rPr>
      </w:pPr>
      <w:r w:rsidRPr="000E0422">
        <w:rPr>
          <w:lang w:val="sr-Cyrl-RS"/>
        </w:rPr>
        <w:t>Глобална пандемија још није завршена тако да је предстојећи период пун неизвесности. Планирање економске и, посебно, фискалне политике првенствено ће зависити од сузбијања пандемије и њеног окончања. Опште је опредељење да се у периоду након кризе изазване пандемијом омогући постепено уравнотежење и стабилизација јавних финансија, како би се смањило учешће јавног дуга у БДП и створиле основе за стабилан привредни раст. До тада, потребно је обезбедити простор за правовремену реакцију фискалне политике у случају продубљивања кризе. Евентуална фискална интервенција државе у циљу минимизирања ефеката кризе свакако ће бити комбинована са настојањима да се не зауставе развојни програми и инфраструктурни пројекти финансирани из буџета.</w:t>
      </w:r>
    </w:p>
    <w:p w14:paraId="005227E2" w14:textId="77777777" w:rsidR="005F26DA" w:rsidRPr="000E0422" w:rsidRDefault="005F26DA" w:rsidP="0020125C">
      <w:pPr>
        <w:spacing w:after="60"/>
        <w:rPr>
          <w:lang w:val="sr-Cyrl-RS"/>
        </w:rPr>
      </w:pPr>
      <w:r w:rsidRPr="000E0422">
        <w:rPr>
          <w:lang w:val="sr-Cyrl-RS"/>
        </w:rPr>
        <w:t>Средњорочни фискални оквир предвиђа умерено напуштање експанзивне фискалне политике. С обзиром на неизвесну економску ситуацију, буџет ће свакако представљати „сигурносну мрежу” у случају ескалације неповољних кретања. Са једне стране обезбедиће се континуитет развојних и социјалних програма, а са друге стране обезбедиће се одрживост јавних финансија и наставак смањења нивоа јавног дуга у смислу учешћа у БДП. Имајући у виду очекивана макроекономска кретања, предвиђени годишњи фискални дефицити омогућавају смањење учешћа дуга опште државе у БДП и у наредном периоду.</w:t>
      </w:r>
    </w:p>
    <w:p w14:paraId="6AD0C3FE" w14:textId="77777777" w:rsidR="005F26DA" w:rsidRPr="000E0422" w:rsidRDefault="005F26DA" w:rsidP="0020125C">
      <w:pPr>
        <w:spacing w:after="60"/>
        <w:rPr>
          <w:lang w:val="sr-Cyrl-RS"/>
        </w:rPr>
      </w:pPr>
      <w:r w:rsidRPr="000E0422">
        <w:rPr>
          <w:lang w:val="sr-Cyrl-RS"/>
        </w:rPr>
        <w:t>Фискална политика ће у наредном периоду бити фокусирана на наставак смањења укупног пореског оптерећења рада чиме се додатно растерећује привреда, односно повећава конкурентност приватног сектора. На расходној страни, приоритет ће имати инфраструктурни и капитални пројекти, те политика пензија и плата. При томе ће се водити рачуна да се повећањем ове две, највеће, категорије расхода не изађе из планираног одрживог оквира. Додатно, стабилности јавних финансија и одрживом фискалном оквиру допринеће планиране измене Закона о буџетском систему, којима ће, између осталог, бити редизајниран скуп фискалних правила, општих и посебних, те дефинисане посебне мере и консеквенце у случају њиховог непоштовања. Посебан акценат биће стављен на измену општих правила која се односе на јавни дуг и дефицит опште државе, те посебних правила везаних за одрживи ниво расхода за плате и пензије.</w:t>
      </w:r>
    </w:p>
    <w:p w14:paraId="65FBDEA2" w14:textId="1A018AC6" w:rsidR="005F26DA" w:rsidRPr="00735870" w:rsidRDefault="00735870" w:rsidP="0020125C">
      <w:pPr>
        <w:keepNext/>
        <w:keepLines/>
        <w:spacing w:before="120"/>
        <w:outlineLvl w:val="1"/>
        <w:rPr>
          <w:rFonts w:eastAsia="Calibri" w:cs="Times New Roman"/>
          <w:b/>
          <w:szCs w:val="24"/>
          <w:lang w:val="sr-Cyrl-RS"/>
        </w:rPr>
      </w:pPr>
      <w:bookmarkStart w:id="17" w:name="_Toc89375524"/>
      <w:r w:rsidRPr="00735870">
        <w:rPr>
          <w:rFonts w:eastAsia="Calibri" w:cs="Times New Roman"/>
          <w:b/>
          <w:szCs w:val="24"/>
        </w:rPr>
        <w:t>4.</w:t>
      </w:r>
      <w:r w:rsidR="005F26DA" w:rsidRPr="00735870">
        <w:rPr>
          <w:rFonts w:eastAsia="Calibri" w:cs="Times New Roman"/>
          <w:b/>
          <w:szCs w:val="24"/>
          <w:lang w:val="sr-Cyrl-RS"/>
        </w:rPr>
        <w:t>2. ИЗВРШЕЊЕ БУЏЕТА У 2021. ГОДИНИ</w:t>
      </w:r>
      <w:bookmarkEnd w:id="17"/>
    </w:p>
    <w:p w14:paraId="0A98E2B8" w14:textId="77777777" w:rsidR="005F26DA" w:rsidRPr="000E0422" w:rsidRDefault="005F26DA" w:rsidP="0020125C">
      <w:pPr>
        <w:spacing w:after="60"/>
        <w:rPr>
          <w:lang w:val="sr-Cyrl-RS" w:eastAsia="ja-JP"/>
        </w:rPr>
      </w:pPr>
      <w:r w:rsidRPr="000E0422">
        <w:rPr>
          <w:lang w:val="sr-Cyrl-RS" w:eastAsia="ja-JP"/>
        </w:rPr>
        <w:t xml:space="preserve">Фискални дефицит опште државе у 2021. години, према последњим проценама, износиће 4,9% БДП, што је значајно мање у односу на априлска предвиђања када је </w:t>
      </w:r>
      <w:r w:rsidRPr="000E0422">
        <w:rPr>
          <w:lang w:val="sr-Cyrl-RS" w:eastAsia="ja-JP"/>
        </w:rPr>
        <w:lastRenderedPageBreak/>
        <w:t>дефицит планиран у износу од 6,9% БДП. Посматрано у односу на резултат предвиђен оригиналним буџетом за 2021. годину дефицит је већи за 1,9 п.п. (планирани дефицит износио је 3% БДП). Следећи фактори довели су до ревизије фискалног резултата опште државе у текућој години:</w:t>
      </w:r>
    </w:p>
    <w:p w14:paraId="263E559B" w14:textId="10546028"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 xml:space="preserve">операционализација трећег пакета економске подршке привреди услед продуженог трајања пандемије </w:t>
      </w:r>
      <w:r w:rsidR="0063502F">
        <w:rPr>
          <w:szCs w:val="24"/>
          <w:lang w:val="sr-Cyrl-RS"/>
        </w:rPr>
        <w:t>Ковид</w:t>
      </w:r>
      <w:r w:rsidRPr="000E0422">
        <w:rPr>
          <w:rFonts w:eastAsia="MS PGothic" w:cs="Times New Roman"/>
          <w:szCs w:val="24"/>
          <w:lang w:val="sr-Cyrl-RS" w:eastAsia="ja-JP"/>
        </w:rPr>
        <w:t>-19;</w:t>
      </w:r>
    </w:p>
    <w:p w14:paraId="4066EDF4" w14:textId="77777777"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обезбеђивање додатних средстава за здравствену заштиту становништва;</w:t>
      </w:r>
    </w:p>
    <w:p w14:paraId="47C390E4" w14:textId="77777777"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повећано улагање у инфраструктурне пројекте у циљу опоравка и подстицаја привредног раста;</w:t>
      </w:r>
    </w:p>
    <w:p w14:paraId="349A6035" w14:textId="77777777" w:rsidR="005F26DA" w:rsidRPr="000E0422" w:rsidRDefault="005F26DA" w:rsidP="004D22FA">
      <w:pPr>
        <w:numPr>
          <w:ilvl w:val="0"/>
          <w:numId w:val="10"/>
        </w:numPr>
        <w:rPr>
          <w:rFonts w:eastAsia="MS PGothic" w:cs="Times New Roman"/>
          <w:szCs w:val="24"/>
          <w:lang w:val="sr-Cyrl-RS" w:eastAsia="ja-JP"/>
        </w:rPr>
      </w:pPr>
      <w:r w:rsidRPr="000E0422">
        <w:rPr>
          <w:rFonts w:eastAsia="MS PGothic" w:cs="Times New Roman"/>
          <w:szCs w:val="24"/>
          <w:lang w:val="sr-Cyrl-RS" w:eastAsia="ja-JP"/>
        </w:rPr>
        <w:t>значајна ревизија пројекције прихода опште државе.</w:t>
      </w:r>
    </w:p>
    <w:p w14:paraId="2169A1E1" w14:textId="4C27DDD7" w:rsidR="005F26DA" w:rsidRPr="00052B37" w:rsidRDefault="005F26DA" w:rsidP="00052B37">
      <w:pPr>
        <w:spacing w:after="60"/>
        <w:rPr>
          <w:lang w:val="sr-Cyrl-RS" w:eastAsia="ja-JP"/>
        </w:rPr>
      </w:pPr>
      <w:r w:rsidRPr="00052B37">
        <w:rPr>
          <w:lang w:val="sr-Cyrl-RS" w:eastAsia="ja-JP"/>
        </w:rPr>
        <w:t xml:space="preserve">Тренд смањења учешћа јавног дуга у БДП, присутан од 2016. године, услед кризе изазване пандемијом </w:t>
      </w:r>
      <w:r w:rsidR="00052B37" w:rsidRPr="00052B37">
        <w:rPr>
          <w:lang w:val="sr-Cyrl-RS" w:eastAsia="ja-JP"/>
        </w:rPr>
        <w:t xml:space="preserve">Ковид-19 </w:t>
      </w:r>
      <w:r w:rsidRPr="00052B37">
        <w:rPr>
          <w:lang w:val="sr-Cyrl-RS" w:eastAsia="ja-JP"/>
        </w:rPr>
        <w:t>током 2020. и 2021. године, привремено је прекинут. У наредном периоду се очекује да ће услед стабилизације економских кретања, убрзаног привредног опоравка и планираног кретања фискалног резултата у средњем року, путања јавног дуга поново бити опадајућа.</w:t>
      </w:r>
    </w:p>
    <w:p w14:paraId="6C73F94C" w14:textId="77777777" w:rsidR="005F26DA" w:rsidRPr="000E0422" w:rsidRDefault="005F26DA" w:rsidP="00563037">
      <w:pPr>
        <w:keepNext/>
        <w:keepLines/>
        <w:rPr>
          <w:rFonts w:eastAsia="Calibri" w:cs="Times New Roman"/>
          <w:spacing w:val="-4"/>
          <w:szCs w:val="24"/>
          <w:lang w:val="sr-Cyrl-RS"/>
        </w:rPr>
      </w:pPr>
      <w:r w:rsidRPr="000E0422">
        <w:rPr>
          <w:rFonts w:eastAsia="Calibri" w:cs="Times New Roman"/>
          <w:spacing w:val="-4"/>
          <w:szCs w:val="24"/>
          <w:lang w:val="sr-Cyrl-RS"/>
        </w:rPr>
        <w:t>Графикон 4.Фискални резултат опште државе у периоду од 2015. до 2021. године, % БДП</w:t>
      </w:r>
    </w:p>
    <w:p w14:paraId="382FBA2B" w14:textId="77777777" w:rsidR="005F26DA" w:rsidRPr="000E0422" w:rsidRDefault="005F26DA" w:rsidP="00563037">
      <w:pPr>
        <w:spacing w:after="0" w:line="276" w:lineRule="auto"/>
        <w:jc w:val="center"/>
        <w:rPr>
          <w:rFonts w:eastAsia="Calibri" w:cs="Times New Roman"/>
          <w:szCs w:val="24"/>
          <w:lang w:val="sr-Cyrl-RS"/>
        </w:rPr>
      </w:pPr>
      <w:r w:rsidRPr="000E0422">
        <w:rPr>
          <w:rFonts w:eastAsia="Calibri" w:cs="Times New Roman"/>
          <w:noProof/>
          <w:szCs w:val="24"/>
        </w:rPr>
        <w:drawing>
          <wp:inline distT="0" distB="0" distL="0" distR="0" wp14:anchorId="29DEE6E0" wp14:editId="674BDE8A">
            <wp:extent cx="5162550" cy="1810385"/>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05CA48" w14:textId="77777777" w:rsidR="005F26DA" w:rsidRPr="000E0422" w:rsidRDefault="005F26DA" w:rsidP="00E02533">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14:paraId="5B8FA883" w14:textId="77777777" w:rsidR="005F26DA" w:rsidRPr="000E0422" w:rsidRDefault="005F26DA" w:rsidP="00E02533">
      <w:pPr>
        <w:spacing w:after="60"/>
        <w:rPr>
          <w:lang w:val="sr-Cyrl-RS" w:eastAsia="ja-JP"/>
        </w:rPr>
      </w:pPr>
      <w:r w:rsidRPr="000E0422">
        <w:rPr>
          <w:lang w:val="sr-Cyrl-RS" w:eastAsia="ja-JP"/>
        </w:rPr>
        <w:t>Пандемија изазвана коронавирусом током читаве 2020. године имала је изразито негативне здравствене, економске и шире друштвене последице, како у читавом свету, тако и у Републици Србији. Од марта 2020. године, када је регистрован први случај обољевања у Републици Србији, на снази су епидемиолошке мере различитог интензитета у циљу очувања здравља грађана и умањења притиска на јавно здравство. Криза изазвана пандемијом коронавируса настављена је и у 2021. години. Епидемиолошке мере различитог степена ограничења присутне су и даље широм света. Република Србија обезбедила је, и поред свих тешкоћа у набавци вакцина, довољне количине за масовну вакцинацију становништва.</w:t>
      </w:r>
    </w:p>
    <w:p w14:paraId="31408B13" w14:textId="77777777" w:rsidR="005F26DA" w:rsidRPr="000E0422" w:rsidRDefault="005F26DA" w:rsidP="00E02533">
      <w:pPr>
        <w:spacing w:after="60"/>
        <w:rPr>
          <w:lang w:val="sr-Cyrl-RS" w:eastAsia="ja-JP"/>
        </w:rPr>
      </w:pPr>
      <w:r w:rsidRPr="000E0422">
        <w:rPr>
          <w:lang w:val="sr-Cyrl-RS" w:eastAsia="ja-JP"/>
        </w:rPr>
        <w:t>Током 2020. године реализовани су први и други пакет мера економске подршке привреди и становништву за превазилажење кризе изазване пандемијом. Процењени обим ова два пакета износио је 12,8% БДП, док су, према прелиминарним подацима, реализоване мере у вредности од 11,6% БДП. Економски пакет подршке привреди и становништву значајно је допринео ублажавању негативних ефеката кризе и резултирао је мањим падом привреде, посебно у поређењу са другим европским економијама, а избегнуте су и турбуленције на тржишту радне снаге.</w:t>
      </w:r>
    </w:p>
    <w:p w14:paraId="14241772" w14:textId="77777777" w:rsidR="005F26DA" w:rsidRPr="000E0422" w:rsidRDefault="005F26DA" w:rsidP="00E02533">
      <w:pPr>
        <w:spacing w:after="60"/>
        <w:rPr>
          <w:lang w:val="sr-Cyrl-RS" w:eastAsia="ja-JP"/>
        </w:rPr>
      </w:pPr>
      <w:r w:rsidRPr="000E0422">
        <w:rPr>
          <w:lang w:val="sr-Cyrl-RS" w:eastAsia="ja-JP"/>
        </w:rPr>
        <w:t xml:space="preserve">Борба са пандемијом настављена је и током 2021. године. Примена епидемиолошких мера је на снази уз истовремену вакцинацију становништва. Позитивни ефекти претходног програма економске подршке пренели су се и на почетак 2021. године, али продужено деловање пандемије, са неизвесним временским трајањем, условило је потребу за новим пакетом подршке привреди и становништву. Сагледавањем </w:t>
      </w:r>
      <w:r w:rsidRPr="000E0422">
        <w:rPr>
          <w:lang w:val="sr-Cyrl-RS" w:eastAsia="ja-JP"/>
        </w:rPr>
        <w:lastRenderedPageBreak/>
        <w:t>економских кретања током четвртог квартала претходне године и првог квартала 2021. године, стања на тржишту рада, ефеката спроведеног сета мера, a у условима пролонгираног трајања сложене епидемиолошке ситуације, Влада је одлучила да донесе додатни пакет мера подршке привреди и становништву. Како би се очували постигнути резултати и достигли пројектовани циљеви опоравка економске активности у 2021. години, неопходно је било издвојити додатна средства подршке, са акцентом на оне делатности које су диспропорционално погођене продуженом применом епидемиолошких мера. Већа издвајања предвиђена су и у виду помоћи најугроженијим категоријама становништва. Пакет мера помоћи је у одређеној мери модификован након реализације током првог и другог квартала текуће године, при чему је износ директне помоћи становишту оснажен додатним средствима.</w:t>
      </w:r>
    </w:p>
    <w:p w14:paraId="47A42517" w14:textId="77777777" w:rsidR="005F26DA" w:rsidRPr="000E0422" w:rsidRDefault="005F26DA" w:rsidP="00E02533">
      <w:pPr>
        <w:spacing w:after="60"/>
        <w:rPr>
          <w:lang w:val="sr-Cyrl-RS" w:eastAsia="ja-JP"/>
        </w:rPr>
      </w:pPr>
      <w:r w:rsidRPr="000E0422">
        <w:rPr>
          <w:lang w:val="sr-Cyrl-RS" w:eastAsia="ja-JP"/>
        </w:rPr>
        <w:t>Пакет мера у 2021. години предвиђен је у обиму од 4,2% БДП. Утицај пакета мера на фискални резултат у 2021. години процењен је на 2,3% БДП. Директна помоћ привреди у циљу очувања радних места, у висини половине минималне зараде, у трајању од три месеца, обезбеђена је свим предузећима која су исказала интересовање, уз услов да не смање број запослених за више од 10% три месеца након истека примања помоћи. Поред опште помоћи привреди предвиђена је и додатна помоћ посебно угроженим секторима (угоститељство, транспорт – аутобуски превоз, одређени сегмент хотелијерства, туристички сектор). Поред директне помоћи обезбеђена су и средства за додатну ликвидност привреди у износу од 500 милиона евра, те дужи рок за коришћење овог облика помоћи. У циљу стимулисања агрегатне тражње и убрзања опоравка производних, али и услужних делатности, након попуштања епидемиолошких мера, као и претходне године, предвиђена је исплата новчане помоћи свим пунолетним грађанима. Додатни подстицај у односу на општу помоћ добили су и вакцинисани грађани старији од 16 година.</w:t>
      </w:r>
    </w:p>
    <w:p w14:paraId="7F2FB16D" w14:textId="77777777" w:rsidR="005F26DA" w:rsidRPr="000E0422" w:rsidRDefault="0075627A" w:rsidP="00563037">
      <w:pPr>
        <w:tabs>
          <w:tab w:val="left" w:pos="993"/>
        </w:tabs>
        <w:spacing w:after="0"/>
        <w:rPr>
          <w:rFonts w:eastAsia="Calibri" w:cs="Times New Roman"/>
          <w:szCs w:val="24"/>
          <w:lang w:val="sr-Cyrl-RS"/>
        </w:rPr>
      </w:pPr>
      <w:r>
        <w:rPr>
          <w:rFonts w:eastAsia="Calibri" w:cs="Times New Roman"/>
          <w:szCs w:val="24"/>
          <w:lang w:val="sr-Cyrl-RS"/>
        </w:rPr>
        <w:t>Табела 4</w:t>
      </w:r>
      <w:r w:rsidR="005F26DA" w:rsidRPr="000E0422">
        <w:rPr>
          <w:rFonts w:eastAsia="Calibri" w:cs="Times New Roman"/>
          <w:szCs w:val="24"/>
          <w:lang w:val="sr-Cyrl-RS"/>
        </w:rPr>
        <w:t xml:space="preserve">. </w:t>
      </w:r>
      <w:r w:rsidR="005F26DA" w:rsidRPr="000E0422">
        <w:rPr>
          <w:rFonts w:eastAsia="Calibri" w:cs="Times New Roman"/>
          <w:szCs w:val="24"/>
          <w:lang w:val="sr-Cyrl-RS"/>
        </w:rPr>
        <w:fldChar w:fldCharType="begin"/>
      </w:r>
      <w:r w:rsidR="005F26DA" w:rsidRPr="000E0422">
        <w:rPr>
          <w:rFonts w:eastAsia="Calibri" w:cs="Times New Roman"/>
          <w:szCs w:val="24"/>
          <w:lang w:val="sr-Cyrl-RS"/>
        </w:rPr>
        <w:instrText xml:space="preserve"> LINK Excel.Sheet.12 "C:\\Users\\ljubica.matic\\AppData\\Local\\Microsoft\\Windows\\Temporary Internet Files\\Content.Outlook\\65ACNDVM\\COVID-19 mere srp eng.xlsx" "srp!R1C3:R25C7" \a \f 4 \h  \* MERGEFORMAT </w:instrText>
      </w:r>
      <w:r w:rsidR="005F26DA" w:rsidRPr="000E0422">
        <w:rPr>
          <w:rFonts w:eastAsia="Calibri" w:cs="Times New Roman"/>
          <w:szCs w:val="24"/>
          <w:lang w:val="sr-Cyrl-RS"/>
        </w:rPr>
        <w:fldChar w:fldCharType="separate"/>
      </w:r>
      <w:r w:rsidR="005F26DA" w:rsidRPr="000E0422">
        <w:rPr>
          <w:rFonts w:eastAsia="Calibri" w:cs="Times New Roman"/>
          <w:szCs w:val="24"/>
          <w:lang w:val="sr-Cyrl-RS"/>
        </w:rPr>
        <w:t>Преглед пакета мера за подршку привреди и становништву у 2021. години</w:t>
      </w:r>
    </w:p>
    <w:tbl>
      <w:tblPr>
        <w:tblStyle w:val="GridTable6Colorful-Accent15"/>
        <w:tblpPr w:leftFromText="180" w:rightFromText="180" w:vertAnchor="text" w:horzAnchor="margin" w:tblpY="253"/>
        <w:tblW w:w="9501" w:type="dxa"/>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ayout w:type="fixed"/>
        <w:tblLook w:val="04A0" w:firstRow="1" w:lastRow="0" w:firstColumn="1" w:lastColumn="0" w:noHBand="0" w:noVBand="1"/>
      </w:tblPr>
      <w:tblGrid>
        <w:gridCol w:w="7804"/>
        <w:gridCol w:w="848"/>
        <w:gridCol w:w="849"/>
      </w:tblGrid>
      <w:tr w:rsidR="005F26DA" w:rsidRPr="000E0422" w14:paraId="6056AD9D" w14:textId="77777777" w:rsidTr="0056303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vMerge w:val="restart"/>
            <w:tcBorders>
              <w:top w:val="single" w:sz="4" w:space="0" w:color="002060"/>
              <w:bottom w:val="single" w:sz="4" w:space="0" w:color="002060"/>
            </w:tcBorders>
            <w:noWrap/>
            <w:vAlign w:val="center"/>
            <w:hideMark/>
          </w:tcPr>
          <w:p w14:paraId="63B6AD23" w14:textId="77777777" w:rsidR="005F26DA" w:rsidRPr="000E0422" w:rsidRDefault="005F26DA" w:rsidP="00563037">
            <w:pPr>
              <w:tabs>
                <w:tab w:val="center" w:pos="3794"/>
                <w:tab w:val="left" w:pos="4425"/>
                <w:tab w:val="right" w:pos="7588"/>
              </w:tabs>
              <w:jc w:val="center"/>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2021</w:t>
            </w:r>
          </w:p>
        </w:tc>
        <w:tc>
          <w:tcPr>
            <w:tcW w:w="1697" w:type="dxa"/>
            <w:gridSpan w:val="2"/>
            <w:tcBorders>
              <w:top w:val="single" w:sz="4" w:space="0" w:color="002060"/>
              <w:bottom w:val="single" w:sz="4" w:space="0" w:color="002060"/>
            </w:tcBorders>
            <w:hideMark/>
          </w:tcPr>
          <w:p w14:paraId="721D125F" w14:textId="77777777" w:rsidR="005F26DA" w:rsidRPr="000E0422" w:rsidRDefault="005F26DA" w:rsidP="00563037">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План</w:t>
            </w:r>
          </w:p>
        </w:tc>
      </w:tr>
      <w:tr w:rsidR="005F26DA" w:rsidRPr="000E0422" w14:paraId="5F0C163A" w14:textId="77777777" w:rsidTr="00563037">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7804" w:type="dxa"/>
            <w:vMerge/>
            <w:tcBorders>
              <w:top w:val="single" w:sz="4" w:space="0" w:color="002060"/>
              <w:bottom w:val="single" w:sz="4" w:space="0" w:color="002060"/>
            </w:tcBorders>
            <w:noWrap/>
            <w:hideMark/>
          </w:tcPr>
          <w:p w14:paraId="784F3779" w14:textId="77777777" w:rsidR="005F26DA" w:rsidRPr="000E0422" w:rsidRDefault="005F26DA" w:rsidP="00563037">
            <w:pPr>
              <w:spacing w:after="160"/>
              <w:rPr>
                <w:rFonts w:eastAsia="Times New Roman" w:cs="Times New Roman"/>
                <w:b w:val="0"/>
                <w:color w:val="auto"/>
                <w:sz w:val="18"/>
                <w:szCs w:val="18"/>
                <w:lang w:val="sr-Cyrl-RS"/>
              </w:rPr>
            </w:pPr>
          </w:p>
        </w:tc>
        <w:tc>
          <w:tcPr>
            <w:tcW w:w="848" w:type="dxa"/>
            <w:tcBorders>
              <w:top w:val="single" w:sz="4" w:space="0" w:color="002060"/>
              <w:bottom w:val="single" w:sz="4" w:space="0" w:color="002060"/>
            </w:tcBorders>
            <w:shd w:val="clear" w:color="auto" w:fill="auto"/>
            <w:noWrap/>
            <w:hideMark/>
          </w:tcPr>
          <w:p w14:paraId="12101C30"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у млрд дин.</w:t>
            </w:r>
          </w:p>
        </w:tc>
        <w:tc>
          <w:tcPr>
            <w:tcW w:w="849" w:type="dxa"/>
            <w:tcBorders>
              <w:top w:val="single" w:sz="4" w:space="0" w:color="002060"/>
              <w:bottom w:val="single" w:sz="4" w:space="0" w:color="002060"/>
            </w:tcBorders>
            <w:shd w:val="clear" w:color="auto" w:fill="auto"/>
            <w:noWrap/>
            <w:hideMark/>
          </w:tcPr>
          <w:p w14:paraId="0F162167"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у %БДП</w:t>
            </w:r>
          </w:p>
        </w:tc>
      </w:tr>
      <w:tr w:rsidR="005F26DA" w:rsidRPr="000E0422" w14:paraId="2A22F50E"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single" w:sz="4" w:space="0" w:color="002060"/>
              <w:bottom w:val="nil"/>
            </w:tcBorders>
            <w:shd w:val="clear" w:color="auto" w:fill="auto"/>
            <w:noWrap/>
            <w:hideMark/>
          </w:tcPr>
          <w:p w14:paraId="6DBD968B"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Директна подршка приватном сектору</w:t>
            </w:r>
          </w:p>
        </w:tc>
        <w:tc>
          <w:tcPr>
            <w:tcW w:w="848" w:type="dxa"/>
            <w:tcBorders>
              <w:top w:val="single" w:sz="4" w:space="0" w:color="002060"/>
              <w:bottom w:val="nil"/>
            </w:tcBorders>
            <w:shd w:val="clear" w:color="auto" w:fill="auto"/>
            <w:noWrap/>
            <w:hideMark/>
          </w:tcPr>
          <w:p w14:paraId="1D454CC8"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single" w:sz="4" w:space="0" w:color="002060"/>
              <w:bottom w:val="nil"/>
            </w:tcBorders>
            <w:shd w:val="clear" w:color="auto" w:fill="auto"/>
            <w:noWrap/>
            <w:hideMark/>
          </w:tcPr>
          <w:p w14:paraId="069F58EB"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7A613F85" w14:textId="77777777" w:rsidTr="0056303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1A1FF115"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подршка приватном сектору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3 месеца 50% минималне зараде свим предузетницима, микро, малим, средњим и великим предузећима</w:t>
            </w:r>
          </w:p>
        </w:tc>
        <w:tc>
          <w:tcPr>
            <w:tcW w:w="848" w:type="dxa"/>
            <w:tcBorders>
              <w:top w:val="nil"/>
              <w:bottom w:val="nil"/>
            </w:tcBorders>
            <w:shd w:val="clear" w:color="auto" w:fill="auto"/>
            <w:noWrap/>
            <w:hideMark/>
          </w:tcPr>
          <w:p w14:paraId="567061AF"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52</w:t>
            </w:r>
          </w:p>
        </w:tc>
        <w:tc>
          <w:tcPr>
            <w:tcW w:w="849" w:type="dxa"/>
            <w:tcBorders>
              <w:top w:val="nil"/>
              <w:bottom w:val="nil"/>
            </w:tcBorders>
            <w:shd w:val="clear" w:color="auto" w:fill="auto"/>
            <w:noWrap/>
            <w:hideMark/>
          </w:tcPr>
          <w:p w14:paraId="3060531D"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0.8</w:t>
            </w:r>
          </w:p>
        </w:tc>
      </w:tr>
      <w:tr w:rsidR="005F26DA" w:rsidRPr="000E0422" w14:paraId="104AF189"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7FCED629"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Директна помоћ хотелима у градским срединама</w:t>
            </w:r>
          </w:p>
        </w:tc>
        <w:tc>
          <w:tcPr>
            <w:tcW w:w="848" w:type="dxa"/>
            <w:tcBorders>
              <w:top w:val="nil"/>
              <w:bottom w:val="nil"/>
            </w:tcBorders>
            <w:shd w:val="clear" w:color="auto" w:fill="auto"/>
            <w:noWrap/>
            <w:hideMark/>
          </w:tcPr>
          <w:p w14:paraId="3CFAE50C"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w:t>
            </w:r>
          </w:p>
        </w:tc>
        <w:tc>
          <w:tcPr>
            <w:tcW w:w="849" w:type="dxa"/>
            <w:tcBorders>
              <w:top w:val="nil"/>
              <w:bottom w:val="nil"/>
            </w:tcBorders>
            <w:shd w:val="clear" w:color="auto" w:fill="auto"/>
            <w:noWrap/>
            <w:hideMark/>
          </w:tcPr>
          <w:p w14:paraId="0031C478"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14:paraId="4294D51D"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2620C241"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секторска подршка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угоститељство, туристичке агенције, хотели и rent a car агенције</w:t>
            </w:r>
          </w:p>
        </w:tc>
        <w:tc>
          <w:tcPr>
            <w:tcW w:w="848" w:type="dxa"/>
            <w:tcBorders>
              <w:top w:val="nil"/>
              <w:bottom w:val="nil"/>
            </w:tcBorders>
            <w:shd w:val="clear" w:color="auto" w:fill="auto"/>
            <w:noWrap/>
            <w:hideMark/>
          </w:tcPr>
          <w:p w14:paraId="51C90345"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4,1</w:t>
            </w:r>
          </w:p>
        </w:tc>
        <w:tc>
          <w:tcPr>
            <w:tcW w:w="849" w:type="dxa"/>
            <w:tcBorders>
              <w:top w:val="nil"/>
              <w:bottom w:val="nil"/>
            </w:tcBorders>
            <w:shd w:val="clear" w:color="auto" w:fill="auto"/>
            <w:noWrap/>
            <w:hideMark/>
          </w:tcPr>
          <w:p w14:paraId="278F614F"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0,1</w:t>
            </w:r>
          </w:p>
        </w:tc>
      </w:tr>
      <w:tr w:rsidR="005F26DA" w:rsidRPr="000E0422" w14:paraId="5CEA8011"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62C082F7"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Самостални уметници</w:t>
            </w:r>
          </w:p>
        </w:tc>
        <w:tc>
          <w:tcPr>
            <w:tcW w:w="848" w:type="dxa"/>
            <w:tcBorders>
              <w:top w:val="nil"/>
              <w:bottom w:val="nil"/>
            </w:tcBorders>
            <w:shd w:val="clear" w:color="auto" w:fill="auto"/>
            <w:noWrap/>
            <w:hideMark/>
          </w:tcPr>
          <w:p w14:paraId="0E6D17DF"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0,3</w:t>
            </w:r>
          </w:p>
        </w:tc>
        <w:tc>
          <w:tcPr>
            <w:tcW w:w="849" w:type="dxa"/>
            <w:tcBorders>
              <w:top w:val="nil"/>
              <w:bottom w:val="nil"/>
            </w:tcBorders>
            <w:shd w:val="clear" w:color="auto" w:fill="auto"/>
            <w:noWrap/>
            <w:hideMark/>
          </w:tcPr>
          <w:p w14:paraId="0A398D32"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14:paraId="3ACDF61F" w14:textId="77777777" w:rsidTr="0056303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2B400244"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секторска подршка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сектор превозника путника у друмском саобраћају и аутобуских станица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600 € по аутобусу</w:t>
            </w:r>
          </w:p>
        </w:tc>
        <w:tc>
          <w:tcPr>
            <w:tcW w:w="848" w:type="dxa"/>
            <w:tcBorders>
              <w:top w:val="nil"/>
              <w:bottom w:val="nil"/>
            </w:tcBorders>
            <w:shd w:val="clear" w:color="auto" w:fill="auto"/>
            <w:noWrap/>
            <w:hideMark/>
          </w:tcPr>
          <w:p w14:paraId="51A3A85E"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2,7</w:t>
            </w:r>
          </w:p>
        </w:tc>
        <w:tc>
          <w:tcPr>
            <w:tcW w:w="849" w:type="dxa"/>
            <w:tcBorders>
              <w:top w:val="nil"/>
              <w:bottom w:val="nil"/>
            </w:tcBorders>
            <w:shd w:val="clear" w:color="auto" w:fill="auto"/>
            <w:noWrap/>
            <w:hideMark/>
          </w:tcPr>
          <w:p w14:paraId="0E7F0ACC"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14:paraId="4E3EEFBE"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14:paraId="0A67DE14"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14:paraId="4DBF5E6F"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60,3</w:t>
            </w:r>
          </w:p>
        </w:tc>
        <w:tc>
          <w:tcPr>
            <w:tcW w:w="849" w:type="dxa"/>
            <w:tcBorders>
              <w:top w:val="nil"/>
              <w:bottom w:val="nil"/>
            </w:tcBorders>
            <w:shd w:val="clear" w:color="auto" w:fill="E7E6E6"/>
            <w:noWrap/>
            <w:hideMark/>
          </w:tcPr>
          <w:p w14:paraId="4196B8DE"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14:paraId="487C1E8A"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5F8036B8"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Мере за очување ликвидности приватног сектора</w:t>
            </w:r>
          </w:p>
        </w:tc>
        <w:tc>
          <w:tcPr>
            <w:tcW w:w="848" w:type="dxa"/>
            <w:tcBorders>
              <w:top w:val="nil"/>
              <w:bottom w:val="nil"/>
            </w:tcBorders>
            <w:shd w:val="clear" w:color="auto" w:fill="auto"/>
            <w:noWrap/>
            <w:hideMark/>
          </w:tcPr>
          <w:p w14:paraId="54C023DC"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nil"/>
              <w:bottom w:val="nil"/>
            </w:tcBorders>
            <w:shd w:val="clear" w:color="auto" w:fill="auto"/>
            <w:noWrap/>
            <w:hideMark/>
          </w:tcPr>
          <w:p w14:paraId="6A2C81CA"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0769773D"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5CAC6D25" w14:textId="45DC5EA5"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Продужење постојеће гарантне шеме за подршку економији током кризе </w:t>
            </w:r>
            <w:r w:rsidR="0063502F" w:rsidRPr="0063502F">
              <w:rPr>
                <w:rFonts w:eastAsia="Times New Roman" w:cs="Times New Roman"/>
                <w:b w:val="0"/>
                <w:color w:val="auto"/>
                <w:sz w:val="18"/>
                <w:szCs w:val="18"/>
                <w:lang w:val="sr-Cyrl-RS"/>
              </w:rPr>
              <w:t>Ковид</w:t>
            </w:r>
            <w:r w:rsidRPr="000E0422">
              <w:rPr>
                <w:rFonts w:eastAsia="Times New Roman" w:cs="Times New Roman"/>
                <w:b w:val="0"/>
                <w:color w:val="auto"/>
                <w:sz w:val="18"/>
                <w:szCs w:val="18"/>
                <w:lang w:val="sr-Cyrl-RS"/>
              </w:rPr>
              <w:t>-19</w:t>
            </w:r>
          </w:p>
        </w:tc>
        <w:tc>
          <w:tcPr>
            <w:tcW w:w="848" w:type="dxa"/>
            <w:tcBorders>
              <w:top w:val="nil"/>
              <w:bottom w:val="nil"/>
            </w:tcBorders>
            <w:shd w:val="clear" w:color="auto" w:fill="auto"/>
            <w:noWrap/>
            <w:hideMark/>
          </w:tcPr>
          <w:p w14:paraId="5DE41C8D"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w:t>
            </w:r>
          </w:p>
        </w:tc>
        <w:tc>
          <w:tcPr>
            <w:tcW w:w="849" w:type="dxa"/>
            <w:tcBorders>
              <w:top w:val="nil"/>
              <w:bottom w:val="nil"/>
            </w:tcBorders>
            <w:shd w:val="clear" w:color="auto" w:fill="auto"/>
            <w:noWrap/>
            <w:hideMark/>
          </w:tcPr>
          <w:p w14:paraId="13282D95"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14:paraId="4DDB7B8C"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741004EC"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Успостављање нове гарантне шеме за подршку најугроженијим секторима/предузећима</w:t>
            </w:r>
          </w:p>
        </w:tc>
        <w:tc>
          <w:tcPr>
            <w:tcW w:w="848" w:type="dxa"/>
            <w:tcBorders>
              <w:top w:val="nil"/>
              <w:bottom w:val="nil"/>
            </w:tcBorders>
            <w:shd w:val="clear" w:color="auto" w:fill="auto"/>
            <w:noWrap/>
            <w:hideMark/>
          </w:tcPr>
          <w:p w14:paraId="2599C08E"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w:t>
            </w:r>
          </w:p>
        </w:tc>
        <w:tc>
          <w:tcPr>
            <w:tcW w:w="849" w:type="dxa"/>
            <w:tcBorders>
              <w:top w:val="nil"/>
              <w:bottom w:val="nil"/>
            </w:tcBorders>
            <w:shd w:val="clear" w:color="auto" w:fill="auto"/>
            <w:noWrap/>
            <w:hideMark/>
          </w:tcPr>
          <w:p w14:paraId="167CD3F1"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14:paraId="61B3A7D4"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14:paraId="781F9022"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14:paraId="6DE9663B"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120,0</w:t>
            </w:r>
          </w:p>
        </w:tc>
        <w:tc>
          <w:tcPr>
            <w:tcW w:w="849" w:type="dxa"/>
            <w:tcBorders>
              <w:top w:val="nil"/>
              <w:bottom w:val="nil"/>
            </w:tcBorders>
            <w:shd w:val="clear" w:color="auto" w:fill="E7E6E6"/>
            <w:noWrap/>
            <w:hideMark/>
          </w:tcPr>
          <w:p w14:paraId="2E03C545"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1,9</w:t>
            </w:r>
          </w:p>
        </w:tc>
      </w:tr>
      <w:tr w:rsidR="005F26DA" w:rsidRPr="000E0422" w14:paraId="257530B2"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443A5FF5"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Остале мере</w:t>
            </w:r>
          </w:p>
        </w:tc>
        <w:tc>
          <w:tcPr>
            <w:tcW w:w="848" w:type="dxa"/>
            <w:tcBorders>
              <w:top w:val="nil"/>
              <w:bottom w:val="nil"/>
            </w:tcBorders>
            <w:shd w:val="clear" w:color="auto" w:fill="auto"/>
            <w:noWrap/>
            <w:hideMark/>
          </w:tcPr>
          <w:p w14:paraId="0E802215"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nil"/>
              <w:bottom w:val="nil"/>
            </w:tcBorders>
            <w:shd w:val="clear" w:color="auto" w:fill="auto"/>
            <w:noWrap/>
            <w:hideMark/>
          </w:tcPr>
          <w:p w14:paraId="64A83E91"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40600D01"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1BD9E559"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Фискални подстицај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подстицање домаће тражње</w:t>
            </w:r>
          </w:p>
        </w:tc>
        <w:tc>
          <w:tcPr>
            <w:tcW w:w="848" w:type="dxa"/>
            <w:tcBorders>
              <w:top w:val="nil"/>
              <w:bottom w:val="nil"/>
            </w:tcBorders>
            <w:shd w:val="clear" w:color="auto" w:fill="auto"/>
            <w:noWrap/>
            <w:hideMark/>
          </w:tcPr>
          <w:p w14:paraId="11404227"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73,1</w:t>
            </w:r>
          </w:p>
        </w:tc>
        <w:tc>
          <w:tcPr>
            <w:tcW w:w="849" w:type="dxa"/>
            <w:tcBorders>
              <w:top w:val="nil"/>
              <w:bottom w:val="nil"/>
            </w:tcBorders>
            <w:shd w:val="clear" w:color="auto" w:fill="auto"/>
            <w:noWrap/>
            <w:hideMark/>
          </w:tcPr>
          <w:p w14:paraId="69369C32"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w:t>
            </w:r>
          </w:p>
          <w:p w14:paraId="6F1315AF"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p w14:paraId="4A33CD84"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5CD70F88"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tcPr>
          <w:p w14:paraId="3FDFC737" w14:textId="77777777" w:rsidR="005F26DA" w:rsidRPr="000E0422" w:rsidRDefault="005F26DA" w:rsidP="00563037">
            <w:pPr>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Бонус за вакцинацију</w:t>
            </w:r>
          </w:p>
        </w:tc>
        <w:tc>
          <w:tcPr>
            <w:tcW w:w="848" w:type="dxa"/>
            <w:tcBorders>
              <w:top w:val="nil"/>
              <w:bottom w:val="nil"/>
            </w:tcBorders>
            <w:shd w:val="clear" w:color="auto" w:fill="auto"/>
            <w:noWrap/>
          </w:tcPr>
          <w:p w14:paraId="06EA5962" w14:textId="77777777" w:rsidR="005F26DA" w:rsidRPr="000E0422" w:rsidRDefault="005F26DA" w:rsidP="005630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7,1</w:t>
            </w:r>
          </w:p>
        </w:tc>
        <w:tc>
          <w:tcPr>
            <w:tcW w:w="849" w:type="dxa"/>
            <w:tcBorders>
              <w:top w:val="nil"/>
              <w:bottom w:val="nil"/>
            </w:tcBorders>
            <w:shd w:val="clear" w:color="auto" w:fill="auto"/>
            <w:noWrap/>
          </w:tcPr>
          <w:p w14:paraId="6773B441" w14:textId="77777777" w:rsidR="005F26DA" w:rsidRPr="000E0422" w:rsidRDefault="005F26DA" w:rsidP="005630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0,1</w:t>
            </w:r>
          </w:p>
        </w:tc>
      </w:tr>
      <w:tr w:rsidR="005F26DA" w:rsidRPr="000E0422" w14:paraId="63E4BB4A"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14:paraId="417BC027"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14:paraId="438779A6"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80,2</w:t>
            </w:r>
          </w:p>
        </w:tc>
        <w:tc>
          <w:tcPr>
            <w:tcW w:w="849" w:type="dxa"/>
            <w:tcBorders>
              <w:top w:val="nil"/>
              <w:bottom w:val="nil"/>
            </w:tcBorders>
            <w:shd w:val="clear" w:color="auto" w:fill="E7E6E6"/>
            <w:noWrap/>
            <w:hideMark/>
          </w:tcPr>
          <w:p w14:paraId="3F52BB35"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1,3</w:t>
            </w:r>
          </w:p>
        </w:tc>
      </w:tr>
      <w:tr w:rsidR="005F26DA" w:rsidRPr="000E0422" w14:paraId="2DFD5A32"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58F1FA52"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Процена утицаја фискалних мера</w:t>
            </w:r>
          </w:p>
        </w:tc>
        <w:tc>
          <w:tcPr>
            <w:tcW w:w="848" w:type="dxa"/>
            <w:tcBorders>
              <w:top w:val="nil"/>
              <w:bottom w:val="nil"/>
            </w:tcBorders>
            <w:shd w:val="clear" w:color="auto" w:fill="auto"/>
            <w:noWrap/>
            <w:hideMark/>
          </w:tcPr>
          <w:p w14:paraId="561CFFF8"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140,5</w:t>
            </w:r>
          </w:p>
        </w:tc>
        <w:tc>
          <w:tcPr>
            <w:tcW w:w="849" w:type="dxa"/>
            <w:tcBorders>
              <w:top w:val="nil"/>
              <w:bottom w:val="nil"/>
            </w:tcBorders>
            <w:shd w:val="clear" w:color="auto" w:fill="auto"/>
            <w:noWrap/>
            <w:hideMark/>
          </w:tcPr>
          <w:p w14:paraId="3194A150"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2,3</w:t>
            </w:r>
          </w:p>
        </w:tc>
      </w:tr>
      <w:tr w:rsidR="005F26DA" w:rsidRPr="000E0422" w14:paraId="5E114A27"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single" w:sz="4" w:space="0" w:color="002060"/>
            </w:tcBorders>
            <w:shd w:val="clear" w:color="auto" w:fill="E7E6E6"/>
            <w:noWrap/>
            <w:hideMark/>
          </w:tcPr>
          <w:p w14:paraId="6B7A0BB9"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Укупан пакет мера</w:t>
            </w:r>
          </w:p>
        </w:tc>
        <w:tc>
          <w:tcPr>
            <w:tcW w:w="848" w:type="dxa"/>
            <w:tcBorders>
              <w:top w:val="nil"/>
              <w:bottom w:val="single" w:sz="4" w:space="0" w:color="002060"/>
            </w:tcBorders>
            <w:shd w:val="clear" w:color="auto" w:fill="E7E6E6"/>
            <w:noWrap/>
            <w:hideMark/>
          </w:tcPr>
          <w:p w14:paraId="4420B710"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260,5</w:t>
            </w:r>
          </w:p>
        </w:tc>
        <w:tc>
          <w:tcPr>
            <w:tcW w:w="849" w:type="dxa"/>
            <w:tcBorders>
              <w:top w:val="nil"/>
              <w:bottom w:val="single" w:sz="4" w:space="0" w:color="002060"/>
            </w:tcBorders>
            <w:shd w:val="clear" w:color="auto" w:fill="E7E6E6"/>
            <w:noWrap/>
            <w:hideMark/>
          </w:tcPr>
          <w:p w14:paraId="361BA838"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4,2</w:t>
            </w:r>
          </w:p>
        </w:tc>
      </w:tr>
    </w:tbl>
    <w:p w14:paraId="5856A3E4" w14:textId="77777777" w:rsidR="005F26DA" w:rsidRPr="000E0422" w:rsidRDefault="005F26DA" w:rsidP="00563037">
      <w:pPr>
        <w:spacing w:after="0" w:line="276" w:lineRule="auto"/>
        <w:jc w:val="left"/>
        <w:rPr>
          <w:rFonts w:eastAsia="MS PGothic" w:cs="Times New Roman"/>
          <w:szCs w:val="24"/>
          <w:lang w:val="sr-Cyrl-RS" w:eastAsia="ja-JP"/>
        </w:rPr>
      </w:pPr>
      <w:r w:rsidRPr="000E0422">
        <w:rPr>
          <w:rFonts w:eastAsia="Calibri" w:cs="Times New Roman"/>
          <w:szCs w:val="24"/>
          <w:lang w:val="sr-Cyrl-RS"/>
        </w:rPr>
        <w:fldChar w:fldCharType="end"/>
      </w:r>
    </w:p>
    <w:p w14:paraId="0EDA46FC" w14:textId="77777777" w:rsidR="005F26DA" w:rsidRPr="000E0422" w:rsidRDefault="005F26DA" w:rsidP="00E02533">
      <w:pPr>
        <w:spacing w:after="60"/>
        <w:rPr>
          <w:lang w:val="sr-Cyrl-RS" w:eastAsia="ja-JP"/>
        </w:rPr>
      </w:pPr>
      <w:r w:rsidRPr="000E0422">
        <w:rPr>
          <w:lang w:val="sr-Cyrl-RS" w:eastAsia="ja-JP"/>
        </w:rPr>
        <w:lastRenderedPageBreak/>
        <w:t>Упоредо са ревизијом приходне и расходне стране и усвајањем другог ребаланса буџета Републике Србије, ревидиран је и фискални оквир опште државе за 2021. и наредне три године. Иновирани фискални оквир за 2021. годину предвиђа фискални дефицит од 4,9% БДП. У односу на оригинално планирани фискални оквир, процена прихода повећана је за 254,9 млрд динара. На страни расхода дошло је до повећања за 380,1 млрд динара, уз значајне промене у њиховој структури.</w:t>
      </w:r>
    </w:p>
    <w:p w14:paraId="66E1ED43" w14:textId="77777777" w:rsidR="005F26DA" w:rsidRPr="000E0422" w:rsidRDefault="005F26DA" w:rsidP="00E02533">
      <w:pPr>
        <w:spacing w:after="60"/>
        <w:rPr>
          <w:lang w:val="sr-Cyrl-RS" w:eastAsia="ja-JP"/>
        </w:rPr>
      </w:pPr>
      <w:r w:rsidRPr="000E0422">
        <w:rPr>
          <w:lang w:val="sr-Cyrl-RS" w:eastAsia="ja-JP"/>
        </w:rPr>
        <w:t>Ревизија стопе реалног раста БДП за 2021. годину најважнији је фактор измена у висини приходне стране, с тим што је оригинална пројекција прихода опште државе била конзервативна, услед опрезности и почетне неизвесности у погледу укупних макроекономских кретања, нарочито на тржишту рада. Негативни ефекти пандемије, као и епидемиолошких мера, на економска и кретања прихода буџета, мањи су него што се првобитно очекивало. Бржи је опоравак производних делатности на глобалном нивоу и успешно је спроведен програм мера економске подршке у земљи.</w:t>
      </w:r>
    </w:p>
    <w:p w14:paraId="04581AA1" w14:textId="77777777"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 xml:space="preserve">Табела </w:t>
      </w:r>
      <w:r>
        <w:rPr>
          <w:rFonts w:eastAsia="MS PGothic" w:cs="Times New Roman"/>
          <w:szCs w:val="24"/>
          <w:lang w:eastAsia="ja-JP"/>
        </w:rPr>
        <w:t>5</w:t>
      </w:r>
      <w:r w:rsidR="005F26DA" w:rsidRPr="000E0422">
        <w:rPr>
          <w:rFonts w:eastAsia="MS PGothic" w:cs="Times New Roman"/>
          <w:szCs w:val="24"/>
          <w:lang w:val="sr-Cyrl-RS" w:eastAsia="ja-JP"/>
        </w:rPr>
        <w:t>. Приходи, расходи и резултат сектора државе у 2021. години, у млрд динара</w:t>
      </w:r>
    </w:p>
    <w:tbl>
      <w:tblPr>
        <w:tblW w:w="4980" w:type="pct"/>
        <w:jc w:val="center"/>
        <w:tblLook w:val="04A0" w:firstRow="1" w:lastRow="0" w:firstColumn="1" w:lastColumn="0" w:noHBand="0" w:noVBand="1"/>
      </w:tblPr>
      <w:tblGrid>
        <w:gridCol w:w="2606"/>
        <w:gridCol w:w="1276"/>
        <w:gridCol w:w="1277"/>
        <w:gridCol w:w="1277"/>
        <w:gridCol w:w="1277"/>
        <w:gridCol w:w="1277"/>
      </w:tblGrid>
      <w:tr w:rsidR="005F26DA" w:rsidRPr="000E0422" w14:paraId="0C599AF6" w14:textId="77777777" w:rsidTr="00563037">
        <w:trPr>
          <w:trHeight w:val="328"/>
          <w:tblHeader/>
          <w:jc w:val="center"/>
        </w:trPr>
        <w:tc>
          <w:tcPr>
            <w:tcW w:w="1450" w:type="pct"/>
            <w:tcBorders>
              <w:top w:val="single" w:sz="4" w:space="0" w:color="002060"/>
            </w:tcBorders>
            <w:shd w:val="clear" w:color="auto" w:fill="auto"/>
            <w:noWrap/>
            <w:vAlign w:val="center"/>
            <w:hideMark/>
          </w:tcPr>
          <w:p w14:paraId="43024C8F" w14:textId="77777777" w:rsidR="005F26DA" w:rsidRPr="000E0422" w:rsidRDefault="005F26DA" w:rsidP="00563037">
            <w:pPr>
              <w:spacing w:after="0"/>
              <w:jc w:val="center"/>
              <w:rPr>
                <w:rFonts w:eastAsia="Times New Roman" w:cs="Times New Roman"/>
                <w:bCs/>
                <w:sz w:val="18"/>
                <w:szCs w:val="18"/>
                <w:lang w:val="sr-Cyrl-RS" w:eastAsia="sr-Cyrl-RS"/>
              </w:rPr>
            </w:pPr>
            <w:r w:rsidRPr="000E0422">
              <w:rPr>
                <w:rFonts w:eastAsia="Times New Roman" w:cs="Times New Roman"/>
                <w:bCs/>
                <w:sz w:val="18"/>
                <w:szCs w:val="18"/>
                <w:lang w:val="sr-Cyrl-RS" w:eastAsia="sr-Cyrl-RS"/>
              </w:rPr>
              <w:t> </w:t>
            </w:r>
          </w:p>
        </w:tc>
        <w:tc>
          <w:tcPr>
            <w:tcW w:w="710" w:type="pct"/>
            <w:tcBorders>
              <w:top w:val="single" w:sz="4" w:space="0" w:color="002060"/>
              <w:bottom w:val="single" w:sz="4" w:space="0" w:color="002060"/>
            </w:tcBorders>
            <w:shd w:val="clear" w:color="auto" w:fill="auto"/>
            <w:vAlign w:val="center"/>
            <w:hideMark/>
          </w:tcPr>
          <w:p w14:paraId="4A3FDB05"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буџет 2021</w:t>
            </w:r>
          </w:p>
        </w:tc>
        <w:tc>
          <w:tcPr>
            <w:tcW w:w="710" w:type="pct"/>
            <w:tcBorders>
              <w:top w:val="single" w:sz="4" w:space="0" w:color="002060"/>
              <w:bottom w:val="single" w:sz="4" w:space="0" w:color="002060"/>
            </w:tcBorders>
            <w:shd w:val="clear" w:color="auto" w:fill="auto"/>
            <w:vAlign w:val="center"/>
            <w:hideMark/>
          </w:tcPr>
          <w:p w14:paraId="0EC23D30"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нова процена 2021</w:t>
            </w:r>
          </w:p>
        </w:tc>
        <w:tc>
          <w:tcPr>
            <w:tcW w:w="710" w:type="pct"/>
            <w:tcBorders>
              <w:top w:val="single" w:sz="4" w:space="0" w:color="002060"/>
              <w:bottom w:val="single" w:sz="4" w:space="0" w:color="002060"/>
            </w:tcBorders>
            <w:shd w:val="clear" w:color="auto" w:fill="auto"/>
            <w:vAlign w:val="center"/>
            <w:hideMark/>
          </w:tcPr>
          <w:p w14:paraId="4CB22344"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Разлика новa/буџет</w:t>
            </w:r>
          </w:p>
        </w:tc>
        <w:tc>
          <w:tcPr>
            <w:tcW w:w="710" w:type="pct"/>
            <w:tcBorders>
              <w:top w:val="single" w:sz="4" w:space="0" w:color="002060"/>
              <w:bottom w:val="single" w:sz="4" w:space="0" w:color="002060"/>
            </w:tcBorders>
            <w:shd w:val="clear" w:color="auto" w:fill="auto"/>
            <w:vAlign w:val="center"/>
            <w:hideMark/>
          </w:tcPr>
          <w:p w14:paraId="68FFD6D2"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 промена</w:t>
            </w:r>
          </w:p>
        </w:tc>
        <w:tc>
          <w:tcPr>
            <w:tcW w:w="710" w:type="pct"/>
            <w:tcBorders>
              <w:top w:val="single" w:sz="4" w:space="0" w:color="002060"/>
              <w:bottom w:val="single" w:sz="4" w:space="0" w:color="002060"/>
            </w:tcBorders>
            <w:shd w:val="clear" w:color="auto" w:fill="auto"/>
            <w:vAlign w:val="center"/>
            <w:hideMark/>
          </w:tcPr>
          <w:p w14:paraId="39E11E71"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2021 нова пр. % БДП</w:t>
            </w:r>
          </w:p>
        </w:tc>
      </w:tr>
      <w:tr w:rsidR="005F26DA" w:rsidRPr="000E0422" w14:paraId="01FA3491" w14:textId="77777777" w:rsidTr="00563037">
        <w:trPr>
          <w:trHeight w:val="162"/>
          <w:jc w:val="center"/>
        </w:trPr>
        <w:tc>
          <w:tcPr>
            <w:tcW w:w="1450" w:type="pct"/>
            <w:shd w:val="clear" w:color="auto" w:fill="E7E6E6"/>
            <w:noWrap/>
            <w:vAlign w:val="center"/>
            <w:hideMark/>
          </w:tcPr>
          <w:p w14:paraId="649A94E6"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ПРИХОДИ</w:t>
            </w:r>
          </w:p>
        </w:tc>
        <w:tc>
          <w:tcPr>
            <w:tcW w:w="710" w:type="pct"/>
            <w:tcBorders>
              <w:top w:val="single" w:sz="4" w:space="0" w:color="002060"/>
            </w:tcBorders>
            <w:shd w:val="clear" w:color="auto" w:fill="E7E6E6"/>
            <w:hideMark/>
          </w:tcPr>
          <w:p w14:paraId="194F2AFA"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2.423,9</w:t>
            </w:r>
          </w:p>
        </w:tc>
        <w:tc>
          <w:tcPr>
            <w:tcW w:w="710" w:type="pct"/>
            <w:tcBorders>
              <w:top w:val="single" w:sz="4" w:space="0" w:color="002060"/>
            </w:tcBorders>
            <w:shd w:val="clear" w:color="auto" w:fill="E7E6E6"/>
            <w:noWrap/>
            <w:hideMark/>
          </w:tcPr>
          <w:p w14:paraId="0D30701F"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2.678,9</w:t>
            </w:r>
          </w:p>
        </w:tc>
        <w:tc>
          <w:tcPr>
            <w:tcW w:w="710" w:type="pct"/>
            <w:tcBorders>
              <w:top w:val="single" w:sz="4" w:space="0" w:color="002060"/>
            </w:tcBorders>
            <w:shd w:val="clear" w:color="auto" w:fill="E7E6E6"/>
            <w:hideMark/>
          </w:tcPr>
          <w:p w14:paraId="164A0AB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254,9</w:t>
            </w:r>
          </w:p>
        </w:tc>
        <w:tc>
          <w:tcPr>
            <w:tcW w:w="710" w:type="pct"/>
            <w:tcBorders>
              <w:top w:val="single" w:sz="4" w:space="0" w:color="002060"/>
            </w:tcBorders>
            <w:shd w:val="clear" w:color="auto" w:fill="E7E6E6"/>
            <w:hideMark/>
          </w:tcPr>
          <w:p w14:paraId="3188C8F9"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10,5</w:t>
            </w:r>
          </w:p>
        </w:tc>
        <w:tc>
          <w:tcPr>
            <w:tcW w:w="710" w:type="pct"/>
            <w:tcBorders>
              <w:top w:val="single" w:sz="4" w:space="0" w:color="002060"/>
            </w:tcBorders>
            <w:shd w:val="clear" w:color="auto" w:fill="E7E6E6"/>
            <w:noWrap/>
            <w:hideMark/>
          </w:tcPr>
          <w:p w14:paraId="6792B36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43,5</w:t>
            </w:r>
          </w:p>
        </w:tc>
      </w:tr>
      <w:tr w:rsidR="005F26DA" w:rsidRPr="000E0422" w14:paraId="073E6F2C" w14:textId="77777777" w:rsidTr="00563037">
        <w:trPr>
          <w:trHeight w:val="155"/>
          <w:jc w:val="center"/>
        </w:trPr>
        <w:tc>
          <w:tcPr>
            <w:tcW w:w="1450" w:type="pct"/>
            <w:shd w:val="clear" w:color="auto" w:fill="auto"/>
            <w:noWrap/>
            <w:vAlign w:val="center"/>
            <w:hideMark/>
          </w:tcPr>
          <w:p w14:paraId="76BF5B97"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приходи</w:t>
            </w:r>
          </w:p>
        </w:tc>
        <w:tc>
          <w:tcPr>
            <w:tcW w:w="710" w:type="pct"/>
            <w:shd w:val="clear" w:color="auto" w:fill="auto"/>
            <w:hideMark/>
          </w:tcPr>
          <w:p w14:paraId="2629A38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2.404,4</w:t>
            </w:r>
          </w:p>
        </w:tc>
        <w:tc>
          <w:tcPr>
            <w:tcW w:w="710" w:type="pct"/>
            <w:shd w:val="clear" w:color="auto" w:fill="auto"/>
            <w:noWrap/>
            <w:hideMark/>
          </w:tcPr>
          <w:p w14:paraId="26740DC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2.658,8</w:t>
            </w:r>
          </w:p>
        </w:tc>
        <w:tc>
          <w:tcPr>
            <w:tcW w:w="710" w:type="pct"/>
            <w:shd w:val="clear" w:color="auto" w:fill="auto"/>
            <w:hideMark/>
          </w:tcPr>
          <w:p w14:paraId="4D422014"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254,4</w:t>
            </w:r>
          </w:p>
        </w:tc>
        <w:tc>
          <w:tcPr>
            <w:tcW w:w="710" w:type="pct"/>
            <w:shd w:val="clear" w:color="auto" w:fill="auto"/>
            <w:hideMark/>
          </w:tcPr>
          <w:p w14:paraId="7CD5785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c>
          <w:tcPr>
            <w:tcW w:w="710" w:type="pct"/>
            <w:shd w:val="clear" w:color="auto" w:fill="auto"/>
            <w:noWrap/>
            <w:hideMark/>
          </w:tcPr>
          <w:p w14:paraId="247713C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43,1</w:t>
            </w:r>
          </w:p>
        </w:tc>
      </w:tr>
      <w:tr w:rsidR="005F26DA" w:rsidRPr="000E0422" w14:paraId="7FB45112" w14:textId="77777777" w:rsidTr="00563037">
        <w:trPr>
          <w:trHeight w:val="155"/>
          <w:jc w:val="center"/>
        </w:trPr>
        <w:tc>
          <w:tcPr>
            <w:tcW w:w="1450" w:type="pct"/>
            <w:shd w:val="clear" w:color="auto" w:fill="auto"/>
            <w:noWrap/>
            <w:vAlign w:val="center"/>
            <w:hideMark/>
          </w:tcPr>
          <w:p w14:paraId="013B8F1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Порески приходи</w:t>
            </w:r>
          </w:p>
        </w:tc>
        <w:tc>
          <w:tcPr>
            <w:tcW w:w="710" w:type="pct"/>
            <w:shd w:val="clear" w:color="auto" w:fill="auto"/>
            <w:hideMark/>
          </w:tcPr>
          <w:p w14:paraId="64EDA10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2.171,1</w:t>
            </w:r>
          </w:p>
        </w:tc>
        <w:tc>
          <w:tcPr>
            <w:tcW w:w="710" w:type="pct"/>
            <w:shd w:val="clear" w:color="auto" w:fill="auto"/>
            <w:hideMark/>
          </w:tcPr>
          <w:p w14:paraId="0B4849F1"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2.397,3</w:t>
            </w:r>
          </w:p>
        </w:tc>
        <w:tc>
          <w:tcPr>
            <w:tcW w:w="710" w:type="pct"/>
            <w:shd w:val="clear" w:color="auto" w:fill="auto"/>
            <w:hideMark/>
          </w:tcPr>
          <w:p w14:paraId="6F4955CD"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226,2</w:t>
            </w:r>
          </w:p>
        </w:tc>
        <w:tc>
          <w:tcPr>
            <w:tcW w:w="710" w:type="pct"/>
            <w:shd w:val="clear" w:color="auto" w:fill="auto"/>
            <w:hideMark/>
          </w:tcPr>
          <w:p w14:paraId="6B6D7C9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10,4</w:t>
            </w:r>
          </w:p>
        </w:tc>
        <w:tc>
          <w:tcPr>
            <w:tcW w:w="710" w:type="pct"/>
            <w:shd w:val="clear" w:color="auto" w:fill="auto"/>
            <w:noWrap/>
            <w:hideMark/>
          </w:tcPr>
          <w:p w14:paraId="625205C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38,9</w:t>
            </w:r>
          </w:p>
        </w:tc>
      </w:tr>
      <w:tr w:rsidR="005F26DA" w:rsidRPr="000E0422" w14:paraId="206DB01E" w14:textId="77777777" w:rsidTr="00563037">
        <w:trPr>
          <w:trHeight w:val="155"/>
          <w:jc w:val="center"/>
        </w:trPr>
        <w:tc>
          <w:tcPr>
            <w:tcW w:w="1450" w:type="pct"/>
            <w:shd w:val="clear" w:color="auto" w:fill="auto"/>
            <w:noWrap/>
            <w:vAlign w:val="center"/>
            <w:hideMark/>
          </w:tcPr>
          <w:p w14:paraId="43971F11"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доходак грађана</w:t>
            </w:r>
          </w:p>
        </w:tc>
        <w:tc>
          <w:tcPr>
            <w:tcW w:w="710" w:type="pct"/>
            <w:shd w:val="clear" w:color="auto" w:fill="auto"/>
            <w:hideMark/>
          </w:tcPr>
          <w:p w14:paraId="178FAF0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225,4</w:t>
            </w:r>
          </w:p>
        </w:tc>
        <w:tc>
          <w:tcPr>
            <w:tcW w:w="710" w:type="pct"/>
            <w:shd w:val="clear" w:color="auto" w:fill="auto"/>
            <w:noWrap/>
            <w:hideMark/>
          </w:tcPr>
          <w:p w14:paraId="7E39C5C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253,0</w:t>
            </w:r>
          </w:p>
        </w:tc>
        <w:tc>
          <w:tcPr>
            <w:tcW w:w="710" w:type="pct"/>
            <w:shd w:val="clear" w:color="auto" w:fill="auto"/>
            <w:hideMark/>
          </w:tcPr>
          <w:p w14:paraId="09654C45"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27,6</w:t>
            </w:r>
          </w:p>
        </w:tc>
        <w:tc>
          <w:tcPr>
            <w:tcW w:w="710" w:type="pct"/>
            <w:shd w:val="clear" w:color="auto" w:fill="auto"/>
            <w:hideMark/>
          </w:tcPr>
          <w:p w14:paraId="0E2BB8F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12,2</w:t>
            </w:r>
          </w:p>
        </w:tc>
        <w:tc>
          <w:tcPr>
            <w:tcW w:w="710" w:type="pct"/>
            <w:shd w:val="clear" w:color="auto" w:fill="auto"/>
            <w:noWrap/>
            <w:hideMark/>
          </w:tcPr>
          <w:p w14:paraId="3E64145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4,1</w:t>
            </w:r>
          </w:p>
        </w:tc>
      </w:tr>
      <w:tr w:rsidR="005F26DA" w:rsidRPr="000E0422" w14:paraId="7CC0AB7F" w14:textId="77777777" w:rsidTr="00563037">
        <w:trPr>
          <w:trHeight w:val="155"/>
          <w:jc w:val="center"/>
        </w:trPr>
        <w:tc>
          <w:tcPr>
            <w:tcW w:w="1450" w:type="pct"/>
            <w:shd w:val="clear" w:color="auto" w:fill="auto"/>
            <w:noWrap/>
            <w:vAlign w:val="center"/>
            <w:hideMark/>
          </w:tcPr>
          <w:p w14:paraId="2B0A2632"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добит правних лица</w:t>
            </w:r>
          </w:p>
        </w:tc>
        <w:tc>
          <w:tcPr>
            <w:tcW w:w="710" w:type="pct"/>
            <w:shd w:val="clear" w:color="auto" w:fill="auto"/>
            <w:hideMark/>
          </w:tcPr>
          <w:p w14:paraId="3F6827F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107,1</w:t>
            </w:r>
          </w:p>
        </w:tc>
        <w:tc>
          <w:tcPr>
            <w:tcW w:w="710" w:type="pct"/>
            <w:shd w:val="clear" w:color="auto" w:fill="auto"/>
            <w:noWrap/>
            <w:hideMark/>
          </w:tcPr>
          <w:p w14:paraId="19D182A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157,0</w:t>
            </w:r>
          </w:p>
        </w:tc>
        <w:tc>
          <w:tcPr>
            <w:tcW w:w="710" w:type="pct"/>
            <w:shd w:val="clear" w:color="auto" w:fill="auto"/>
            <w:hideMark/>
          </w:tcPr>
          <w:p w14:paraId="158EE1D2"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49,9</w:t>
            </w:r>
          </w:p>
        </w:tc>
        <w:tc>
          <w:tcPr>
            <w:tcW w:w="710" w:type="pct"/>
            <w:shd w:val="clear" w:color="auto" w:fill="auto"/>
            <w:hideMark/>
          </w:tcPr>
          <w:p w14:paraId="2579E6E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46,6</w:t>
            </w:r>
          </w:p>
        </w:tc>
        <w:tc>
          <w:tcPr>
            <w:tcW w:w="710" w:type="pct"/>
            <w:shd w:val="clear" w:color="auto" w:fill="auto"/>
            <w:noWrap/>
            <w:hideMark/>
          </w:tcPr>
          <w:p w14:paraId="509B9C1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2,5</w:t>
            </w:r>
          </w:p>
        </w:tc>
      </w:tr>
      <w:tr w:rsidR="005F26DA" w:rsidRPr="000E0422" w14:paraId="5113B1B2" w14:textId="77777777" w:rsidTr="00563037">
        <w:trPr>
          <w:trHeight w:val="155"/>
          <w:jc w:val="center"/>
        </w:trPr>
        <w:tc>
          <w:tcPr>
            <w:tcW w:w="1450" w:type="pct"/>
            <w:shd w:val="clear" w:color="auto" w:fill="auto"/>
            <w:noWrap/>
            <w:vAlign w:val="center"/>
            <w:hideMark/>
          </w:tcPr>
          <w:p w14:paraId="0680125D"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ПДВ</w:t>
            </w:r>
          </w:p>
        </w:tc>
        <w:tc>
          <w:tcPr>
            <w:tcW w:w="710" w:type="pct"/>
            <w:shd w:val="clear" w:color="auto" w:fill="auto"/>
            <w:hideMark/>
          </w:tcPr>
          <w:p w14:paraId="7A4D2A8F"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600,3</w:t>
            </w:r>
          </w:p>
        </w:tc>
        <w:tc>
          <w:tcPr>
            <w:tcW w:w="710" w:type="pct"/>
            <w:shd w:val="clear" w:color="auto" w:fill="auto"/>
            <w:noWrap/>
            <w:hideMark/>
          </w:tcPr>
          <w:p w14:paraId="7D66B9AA"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654,0</w:t>
            </w:r>
          </w:p>
        </w:tc>
        <w:tc>
          <w:tcPr>
            <w:tcW w:w="710" w:type="pct"/>
            <w:shd w:val="clear" w:color="auto" w:fill="auto"/>
            <w:hideMark/>
          </w:tcPr>
          <w:p w14:paraId="68EDA99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53,7</w:t>
            </w:r>
          </w:p>
        </w:tc>
        <w:tc>
          <w:tcPr>
            <w:tcW w:w="710" w:type="pct"/>
            <w:shd w:val="clear" w:color="auto" w:fill="auto"/>
            <w:hideMark/>
          </w:tcPr>
          <w:p w14:paraId="008EEE6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8,9</w:t>
            </w:r>
          </w:p>
        </w:tc>
        <w:tc>
          <w:tcPr>
            <w:tcW w:w="710" w:type="pct"/>
            <w:shd w:val="clear" w:color="auto" w:fill="auto"/>
            <w:noWrap/>
            <w:hideMark/>
          </w:tcPr>
          <w:p w14:paraId="065DA1C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r>
      <w:tr w:rsidR="005F26DA" w:rsidRPr="000E0422" w14:paraId="2F2F22C0" w14:textId="77777777" w:rsidTr="00563037">
        <w:trPr>
          <w:trHeight w:val="155"/>
          <w:jc w:val="center"/>
        </w:trPr>
        <w:tc>
          <w:tcPr>
            <w:tcW w:w="1450" w:type="pct"/>
            <w:shd w:val="clear" w:color="auto" w:fill="auto"/>
            <w:noWrap/>
            <w:vAlign w:val="center"/>
            <w:hideMark/>
          </w:tcPr>
          <w:p w14:paraId="7B94E8AA"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Акцизе</w:t>
            </w:r>
          </w:p>
        </w:tc>
        <w:tc>
          <w:tcPr>
            <w:tcW w:w="710" w:type="pct"/>
            <w:shd w:val="clear" w:color="auto" w:fill="auto"/>
            <w:hideMark/>
          </w:tcPr>
          <w:p w14:paraId="1AAEAB09"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315,8</w:t>
            </w:r>
          </w:p>
        </w:tc>
        <w:tc>
          <w:tcPr>
            <w:tcW w:w="710" w:type="pct"/>
            <w:shd w:val="clear" w:color="auto" w:fill="auto"/>
            <w:noWrap/>
            <w:hideMark/>
          </w:tcPr>
          <w:p w14:paraId="39E433B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329,2</w:t>
            </w:r>
          </w:p>
        </w:tc>
        <w:tc>
          <w:tcPr>
            <w:tcW w:w="710" w:type="pct"/>
            <w:shd w:val="clear" w:color="auto" w:fill="auto"/>
            <w:hideMark/>
          </w:tcPr>
          <w:p w14:paraId="029FC25B"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13,4</w:t>
            </w:r>
          </w:p>
        </w:tc>
        <w:tc>
          <w:tcPr>
            <w:tcW w:w="710" w:type="pct"/>
            <w:shd w:val="clear" w:color="auto" w:fill="auto"/>
            <w:hideMark/>
          </w:tcPr>
          <w:p w14:paraId="45EFC14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w:t>
            </w:r>
          </w:p>
        </w:tc>
        <w:tc>
          <w:tcPr>
            <w:tcW w:w="710" w:type="pct"/>
            <w:shd w:val="clear" w:color="auto" w:fill="auto"/>
            <w:noWrap/>
            <w:hideMark/>
          </w:tcPr>
          <w:p w14:paraId="19D583D4"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5,3</w:t>
            </w:r>
          </w:p>
        </w:tc>
      </w:tr>
      <w:tr w:rsidR="005F26DA" w:rsidRPr="000E0422" w14:paraId="09C36648" w14:textId="77777777" w:rsidTr="00563037">
        <w:trPr>
          <w:trHeight w:val="155"/>
          <w:jc w:val="center"/>
        </w:trPr>
        <w:tc>
          <w:tcPr>
            <w:tcW w:w="1450" w:type="pct"/>
            <w:shd w:val="clear" w:color="auto" w:fill="auto"/>
            <w:noWrap/>
            <w:vAlign w:val="center"/>
            <w:hideMark/>
          </w:tcPr>
          <w:p w14:paraId="3E54E53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Царине</w:t>
            </w:r>
          </w:p>
        </w:tc>
        <w:tc>
          <w:tcPr>
            <w:tcW w:w="710" w:type="pct"/>
            <w:shd w:val="clear" w:color="auto" w:fill="auto"/>
            <w:hideMark/>
          </w:tcPr>
          <w:p w14:paraId="59EA0AB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53,1</w:t>
            </w:r>
          </w:p>
        </w:tc>
        <w:tc>
          <w:tcPr>
            <w:tcW w:w="710" w:type="pct"/>
            <w:shd w:val="clear" w:color="auto" w:fill="auto"/>
            <w:noWrap/>
            <w:hideMark/>
          </w:tcPr>
          <w:p w14:paraId="02A97D2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59,0</w:t>
            </w:r>
          </w:p>
        </w:tc>
        <w:tc>
          <w:tcPr>
            <w:tcW w:w="710" w:type="pct"/>
            <w:shd w:val="clear" w:color="auto" w:fill="auto"/>
            <w:hideMark/>
          </w:tcPr>
          <w:p w14:paraId="3B33DC66"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5,9</w:t>
            </w:r>
          </w:p>
        </w:tc>
        <w:tc>
          <w:tcPr>
            <w:tcW w:w="710" w:type="pct"/>
            <w:shd w:val="clear" w:color="auto" w:fill="auto"/>
            <w:hideMark/>
          </w:tcPr>
          <w:p w14:paraId="4F9AFF9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11,1</w:t>
            </w:r>
          </w:p>
        </w:tc>
        <w:tc>
          <w:tcPr>
            <w:tcW w:w="710" w:type="pct"/>
            <w:shd w:val="clear" w:color="auto" w:fill="auto"/>
            <w:noWrap/>
            <w:hideMark/>
          </w:tcPr>
          <w:p w14:paraId="084CEA41"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w:t>
            </w:r>
          </w:p>
        </w:tc>
      </w:tr>
      <w:tr w:rsidR="005F26DA" w:rsidRPr="000E0422" w14:paraId="0016EF8A" w14:textId="77777777" w:rsidTr="00563037">
        <w:trPr>
          <w:trHeight w:val="155"/>
          <w:jc w:val="center"/>
        </w:trPr>
        <w:tc>
          <w:tcPr>
            <w:tcW w:w="1450" w:type="pct"/>
            <w:shd w:val="clear" w:color="auto" w:fill="auto"/>
            <w:noWrap/>
            <w:vAlign w:val="center"/>
            <w:hideMark/>
          </w:tcPr>
          <w:p w14:paraId="2837812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порески приходи</w:t>
            </w:r>
          </w:p>
        </w:tc>
        <w:tc>
          <w:tcPr>
            <w:tcW w:w="710" w:type="pct"/>
            <w:shd w:val="clear" w:color="auto" w:fill="auto"/>
            <w:hideMark/>
          </w:tcPr>
          <w:p w14:paraId="746229A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84,9</w:t>
            </w:r>
          </w:p>
        </w:tc>
        <w:tc>
          <w:tcPr>
            <w:tcW w:w="710" w:type="pct"/>
            <w:shd w:val="clear" w:color="auto" w:fill="auto"/>
            <w:noWrap/>
            <w:hideMark/>
          </w:tcPr>
          <w:p w14:paraId="74E3E06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90,0</w:t>
            </w:r>
          </w:p>
        </w:tc>
        <w:tc>
          <w:tcPr>
            <w:tcW w:w="710" w:type="pct"/>
            <w:shd w:val="clear" w:color="auto" w:fill="auto"/>
            <w:hideMark/>
          </w:tcPr>
          <w:p w14:paraId="6523A973"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5,1</w:t>
            </w:r>
          </w:p>
        </w:tc>
        <w:tc>
          <w:tcPr>
            <w:tcW w:w="710" w:type="pct"/>
            <w:shd w:val="clear" w:color="auto" w:fill="auto"/>
            <w:hideMark/>
          </w:tcPr>
          <w:p w14:paraId="2428943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6,0</w:t>
            </w:r>
          </w:p>
        </w:tc>
        <w:tc>
          <w:tcPr>
            <w:tcW w:w="710" w:type="pct"/>
            <w:shd w:val="clear" w:color="auto" w:fill="auto"/>
            <w:noWrap/>
            <w:hideMark/>
          </w:tcPr>
          <w:p w14:paraId="43CBE4D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1,5</w:t>
            </w:r>
          </w:p>
        </w:tc>
      </w:tr>
      <w:tr w:rsidR="005F26DA" w:rsidRPr="000E0422" w14:paraId="06CB6D5E" w14:textId="77777777" w:rsidTr="00563037">
        <w:trPr>
          <w:trHeight w:val="155"/>
          <w:jc w:val="center"/>
        </w:trPr>
        <w:tc>
          <w:tcPr>
            <w:tcW w:w="1450" w:type="pct"/>
            <w:shd w:val="clear" w:color="auto" w:fill="auto"/>
            <w:noWrap/>
            <w:vAlign w:val="center"/>
            <w:hideMark/>
          </w:tcPr>
          <w:p w14:paraId="0AF03609"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Доприноси</w:t>
            </w:r>
          </w:p>
        </w:tc>
        <w:tc>
          <w:tcPr>
            <w:tcW w:w="710" w:type="pct"/>
            <w:shd w:val="clear" w:color="auto" w:fill="auto"/>
            <w:hideMark/>
          </w:tcPr>
          <w:p w14:paraId="3C55B3E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784,5</w:t>
            </w:r>
          </w:p>
        </w:tc>
        <w:tc>
          <w:tcPr>
            <w:tcW w:w="710" w:type="pct"/>
            <w:shd w:val="clear" w:color="auto" w:fill="auto"/>
            <w:noWrap/>
            <w:hideMark/>
          </w:tcPr>
          <w:p w14:paraId="3EE2F0F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855,0</w:t>
            </w:r>
          </w:p>
        </w:tc>
        <w:tc>
          <w:tcPr>
            <w:tcW w:w="710" w:type="pct"/>
            <w:shd w:val="clear" w:color="auto" w:fill="auto"/>
            <w:hideMark/>
          </w:tcPr>
          <w:p w14:paraId="2341F6EA"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70,5</w:t>
            </w:r>
          </w:p>
        </w:tc>
        <w:tc>
          <w:tcPr>
            <w:tcW w:w="710" w:type="pct"/>
            <w:shd w:val="clear" w:color="auto" w:fill="auto"/>
            <w:hideMark/>
          </w:tcPr>
          <w:p w14:paraId="34AA2CA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9,0</w:t>
            </w:r>
          </w:p>
        </w:tc>
        <w:tc>
          <w:tcPr>
            <w:tcW w:w="710" w:type="pct"/>
            <w:shd w:val="clear" w:color="auto" w:fill="auto"/>
            <w:noWrap/>
            <w:hideMark/>
          </w:tcPr>
          <w:p w14:paraId="7F80AF2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13,9</w:t>
            </w:r>
          </w:p>
        </w:tc>
      </w:tr>
      <w:tr w:rsidR="005F26DA" w:rsidRPr="000E0422" w14:paraId="65D82C08" w14:textId="77777777" w:rsidTr="00563037">
        <w:trPr>
          <w:trHeight w:val="155"/>
          <w:jc w:val="center"/>
        </w:trPr>
        <w:tc>
          <w:tcPr>
            <w:tcW w:w="1450" w:type="pct"/>
            <w:shd w:val="clear" w:color="auto" w:fill="auto"/>
            <w:noWrap/>
            <w:vAlign w:val="center"/>
            <w:hideMark/>
          </w:tcPr>
          <w:p w14:paraId="452F63AC"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Непорески приходи</w:t>
            </w:r>
          </w:p>
        </w:tc>
        <w:tc>
          <w:tcPr>
            <w:tcW w:w="710" w:type="pct"/>
            <w:shd w:val="clear" w:color="auto" w:fill="auto"/>
            <w:hideMark/>
          </w:tcPr>
          <w:p w14:paraId="460FA3F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233,3</w:t>
            </w:r>
          </w:p>
        </w:tc>
        <w:tc>
          <w:tcPr>
            <w:tcW w:w="710" w:type="pct"/>
            <w:shd w:val="clear" w:color="auto" w:fill="auto"/>
            <w:noWrap/>
            <w:hideMark/>
          </w:tcPr>
          <w:p w14:paraId="6112E6F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261,6</w:t>
            </w:r>
          </w:p>
        </w:tc>
        <w:tc>
          <w:tcPr>
            <w:tcW w:w="710" w:type="pct"/>
            <w:shd w:val="clear" w:color="auto" w:fill="auto"/>
            <w:hideMark/>
          </w:tcPr>
          <w:p w14:paraId="2D338B91"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28,2</w:t>
            </w:r>
          </w:p>
        </w:tc>
        <w:tc>
          <w:tcPr>
            <w:tcW w:w="710" w:type="pct"/>
            <w:shd w:val="clear" w:color="auto" w:fill="auto"/>
            <w:hideMark/>
          </w:tcPr>
          <w:p w14:paraId="2D7DFA7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12,1</w:t>
            </w:r>
          </w:p>
        </w:tc>
        <w:tc>
          <w:tcPr>
            <w:tcW w:w="710" w:type="pct"/>
            <w:shd w:val="clear" w:color="auto" w:fill="auto"/>
            <w:noWrap/>
            <w:hideMark/>
          </w:tcPr>
          <w:p w14:paraId="54FF6BD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4,2</w:t>
            </w:r>
          </w:p>
        </w:tc>
      </w:tr>
      <w:tr w:rsidR="005F26DA" w:rsidRPr="000E0422" w14:paraId="552B756A" w14:textId="77777777" w:rsidTr="00563037">
        <w:trPr>
          <w:trHeight w:val="155"/>
          <w:jc w:val="center"/>
        </w:trPr>
        <w:tc>
          <w:tcPr>
            <w:tcW w:w="1450" w:type="pct"/>
            <w:shd w:val="clear" w:color="auto" w:fill="auto"/>
            <w:noWrap/>
            <w:vAlign w:val="center"/>
            <w:hideMark/>
          </w:tcPr>
          <w:p w14:paraId="311E197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Донације</w:t>
            </w:r>
          </w:p>
        </w:tc>
        <w:tc>
          <w:tcPr>
            <w:tcW w:w="710" w:type="pct"/>
            <w:shd w:val="clear" w:color="auto" w:fill="auto"/>
            <w:hideMark/>
          </w:tcPr>
          <w:p w14:paraId="6AC35C3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19,5</w:t>
            </w:r>
          </w:p>
        </w:tc>
        <w:tc>
          <w:tcPr>
            <w:tcW w:w="710" w:type="pct"/>
            <w:shd w:val="clear" w:color="auto" w:fill="auto"/>
            <w:noWrap/>
            <w:hideMark/>
          </w:tcPr>
          <w:p w14:paraId="63B5AB7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20,1</w:t>
            </w:r>
          </w:p>
        </w:tc>
        <w:tc>
          <w:tcPr>
            <w:tcW w:w="710" w:type="pct"/>
            <w:shd w:val="clear" w:color="auto" w:fill="auto"/>
            <w:hideMark/>
          </w:tcPr>
          <w:p w14:paraId="4B7F7C8C"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0,6</w:t>
            </w:r>
          </w:p>
        </w:tc>
        <w:tc>
          <w:tcPr>
            <w:tcW w:w="710" w:type="pct"/>
            <w:shd w:val="clear" w:color="auto" w:fill="auto"/>
            <w:hideMark/>
          </w:tcPr>
          <w:p w14:paraId="74D9E6E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2,8</w:t>
            </w:r>
          </w:p>
        </w:tc>
        <w:tc>
          <w:tcPr>
            <w:tcW w:w="710" w:type="pct"/>
            <w:shd w:val="clear" w:color="auto" w:fill="auto"/>
            <w:noWrap/>
            <w:hideMark/>
          </w:tcPr>
          <w:p w14:paraId="667C99F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0,3</w:t>
            </w:r>
          </w:p>
        </w:tc>
      </w:tr>
      <w:tr w:rsidR="005F26DA" w:rsidRPr="000E0422" w14:paraId="182233C7" w14:textId="77777777" w:rsidTr="00563037">
        <w:trPr>
          <w:trHeight w:val="155"/>
          <w:jc w:val="center"/>
        </w:trPr>
        <w:tc>
          <w:tcPr>
            <w:tcW w:w="1450" w:type="pct"/>
            <w:shd w:val="clear" w:color="auto" w:fill="E7E6E6"/>
            <w:noWrap/>
            <w:vAlign w:val="center"/>
            <w:hideMark/>
          </w:tcPr>
          <w:p w14:paraId="7F4457CB"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РАСХОДИ</w:t>
            </w:r>
          </w:p>
        </w:tc>
        <w:tc>
          <w:tcPr>
            <w:tcW w:w="710" w:type="pct"/>
            <w:shd w:val="clear" w:color="auto" w:fill="E7E6E6"/>
            <w:hideMark/>
          </w:tcPr>
          <w:p w14:paraId="7BE90359"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2.603,3</w:t>
            </w:r>
          </w:p>
        </w:tc>
        <w:tc>
          <w:tcPr>
            <w:tcW w:w="710" w:type="pct"/>
            <w:shd w:val="clear" w:color="auto" w:fill="E7E6E6"/>
            <w:noWrap/>
            <w:hideMark/>
          </w:tcPr>
          <w:p w14:paraId="3532703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2.983,4</w:t>
            </w:r>
          </w:p>
        </w:tc>
        <w:tc>
          <w:tcPr>
            <w:tcW w:w="710" w:type="pct"/>
            <w:shd w:val="clear" w:color="auto" w:fill="E7E6E6"/>
            <w:hideMark/>
          </w:tcPr>
          <w:p w14:paraId="6B086DDC"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380,1</w:t>
            </w:r>
          </w:p>
        </w:tc>
        <w:tc>
          <w:tcPr>
            <w:tcW w:w="710" w:type="pct"/>
            <w:shd w:val="clear" w:color="auto" w:fill="E7E6E6"/>
            <w:hideMark/>
          </w:tcPr>
          <w:p w14:paraId="3D6B766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14,6</w:t>
            </w:r>
          </w:p>
        </w:tc>
        <w:tc>
          <w:tcPr>
            <w:tcW w:w="710" w:type="pct"/>
            <w:shd w:val="clear" w:color="auto" w:fill="E7E6E6"/>
            <w:noWrap/>
            <w:hideMark/>
          </w:tcPr>
          <w:p w14:paraId="5EA9189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48,4</w:t>
            </w:r>
          </w:p>
        </w:tc>
      </w:tr>
      <w:tr w:rsidR="005F26DA" w:rsidRPr="000E0422" w14:paraId="6D64D72C" w14:textId="77777777" w:rsidTr="00563037">
        <w:trPr>
          <w:trHeight w:val="155"/>
          <w:jc w:val="center"/>
        </w:trPr>
        <w:tc>
          <w:tcPr>
            <w:tcW w:w="1450" w:type="pct"/>
            <w:shd w:val="clear" w:color="auto" w:fill="auto"/>
            <w:noWrap/>
            <w:vAlign w:val="center"/>
            <w:hideMark/>
          </w:tcPr>
          <w:p w14:paraId="73290C9E"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расходи</w:t>
            </w:r>
          </w:p>
        </w:tc>
        <w:tc>
          <w:tcPr>
            <w:tcW w:w="710" w:type="pct"/>
            <w:shd w:val="clear" w:color="auto" w:fill="auto"/>
            <w:hideMark/>
          </w:tcPr>
          <w:p w14:paraId="08D5F38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2.237,2</w:t>
            </w:r>
          </w:p>
        </w:tc>
        <w:tc>
          <w:tcPr>
            <w:tcW w:w="710" w:type="pct"/>
            <w:shd w:val="clear" w:color="auto" w:fill="auto"/>
            <w:noWrap/>
            <w:hideMark/>
          </w:tcPr>
          <w:p w14:paraId="12EB30C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2.473,3</w:t>
            </w:r>
          </w:p>
        </w:tc>
        <w:tc>
          <w:tcPr>
            <w:tcW w:w="710" w:type="pct"/>
            <w:shd w:val="clear" w:color="auto" w:fill="auto"/>
            <w:hideMark/>
          </w:tcPr>
          <w:p w14:paraId="63BAC30A"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236,1</w:t>
            </w:r>
          </w:p>
        </w:tc>
        <w:tc>
          <w:tcPr>
            <w:tcW w:w="710" w:type="pct"/>
            <w:shd w:val="clear" w:color="auto" w:fill="auto"/>
            <w:hideMark/>
          </w:tcPr>
          <w:p w14:paraId="0ED94FC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c>
          <w:tcPr>
            <w:tcW w:w="710" w:type="pct"/>
            <w:shd w:val="clear" w:color="auto" w:fill="auto"/>
            <w:noWrap/>
            <w:hideMark/>
          </w:tcPr>
          <w:p w14:paraId="41D6ED9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40,1</w:t>
            </w:r>
          </w:p>
        </w:tc>
      </w:tr>
      <w:tr w:rsidR="005F26DA" w:rsidRPr="000E0422" w14:paraId="4FDCA62F" w14:textId="77777777" w:rsidTr="00563037">
        <w:trPr>
          <w:trHeight w:val="155"/>
          <w:jc w:val="center"/>
        </w:trPr>
        <w:tc>
          <w:tcPr>
            <w:tcW w:w="1450" w:type="pct"/>
            <w:shd w:val="clear" w:color="auto" w:fill="auto"/>
            <w:noWrap/>
            <w:vAlign w:val="center"/>
            <w:hideMark/>
          </w:tcPr>
          <w:p w14:paraId="509FAAB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Расходи за запослене</w:t>
            </w:r>
          </w:p>
        </w:tc>
        <w:tc>
          <w:tcPr>
            <w:tcW w:w="710" w:type="pct"/>
            <w:shd w:val="clear" w:color="auto" w:fill="auto"/>
            <w:hideMark/>
          </w:tcPr>
          <w:p w14:paraId="186538E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602,5</w:t>
            </w:r>
          </w:p>
        </w:tc>
        <w:tc>
          <w:tcPr>
            <w:tcW w:w="710" w:type="pct"/>
            <w:shd w:val="clear" w:color="auto" w:fill="auto"/>
            <w:noWrap/>
            <w:hideMark/>
          </w:tcPr>
          <w:p w14:paraId="7E43AFA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628,6</w:t>
            </w:r>
          </w:p>
        </w:tc>
        <w:tc>
          <w:tcPr>
            <w:tcW w:w="710" w:type="pct"/>
            <w:shd w:val="clear" w:color="auto" w:fill="auto"/>
            <w:hideMark/>
          </w:tcPr>
          <w:p w14:paraId="05B6A869"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26,1</w:t>
            </w:r>
          </w:p>
        </w:tc>
        <w:tc>
          <w:tcPr>
            <w:tcW w:w="710" w:type="pct"/>
            <w:shd w:val="clear" w:color="auto" w:fill="auto"/>
            <w:hideMark/>
          </w:tcPr>
          <w:p w14:paraId="4B6778A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w:t>
            </w:r>
          </w:p>
        </w:tc>
        <w:tc>
          <w:tcPr>
            <w:tcW w:w="710" w:type="pct"/>
            <w:shd w:val="clear" w:color="auto" w:fill="auto"/>
            <w:noWrap/>
            <w:hideMark/>
          </w:tcPr>
          <w:p w14:paraId="5B8D1E9F"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10,2</w:t>
            </w:r>
          </w:p>
        </w:tc>
      </w:tr>
      <w:tr w:rsidR="005F26DA" w:rsidRPr="000E0422" w14:paraId="26C453F8" w14:textId="77777777" w:rsidTr="00563037">
        <w:trPr>
          <w:trHeight w:val="155"/>
          <w:jc w:val="center"/>
        </w:trPr>
        <w:tc>
          <w:tcPr>
            <w:tcW w:w="1450" w:type="pct"/>
            <w:shd w:val="clear" w:color="auto" w:fill="auto"/>
            <w:noWrap/>
            <w:vAlign w:val="center"/>
            <w:hideMark/>
          </w:tcPr>
          <w:p w14:paraId="5EE02C8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Куповина робе и услуга</w:t>
            </w:r>
          </w:p>
        </w:tc>
        <w:tc>
          <w:tcPr>
            <w:tcW w:w="710" w:type="pct"/>
            <w:shd w:val="clear" w:color="auto" w:fill="auto"/>
            <w:hideMark/>
          </w:tcPr>
          <w:p w14:paraId="5919B7A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458,5</w:t>
            </w:r>
          </w:p>
        </w:tc>
        <w:tc>
          <w:tcPr>
            <w:tcW w:w="710" w:type="pct"/>
            <w:shd w:val="clear" w:color="auto" w:fill="auto"/>
            <w:noWrap/>
            <w:hideMark/>
          </w:tcPr>
          <w:p w14:paraId="4AA81FE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495,3</w:t>
            </w:r>
          </w:p>
        </w:tc>
        <w:tc>
          <w:tcPr>
            <w:tcW w:w="710" w:type="pct"/>
            <w:shd w:val="clear" w:color="auto" w:fill="auto"/>
            <w:hideMark/>
          </w:tcPr>
          <w:p w14:paraId="2EDC68F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36,9</w:t>
            </w:r>
          </w:p>
        </w:tc>
        <w:tc>
          <w:tcPr>
            <w:tcW w:w="710" w:type="pct"/>
            <w:shd w:val="clear" w:color="auto" w:fill="auto"/>
            <w:hideMark/>
          </w:tcPr>
          <w:p w14:paraId="58B2835F"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8,0</w:t>
            </w:r>
          </w:p>
        </w:tc>
        <w:tc>
          <w:tcPr>
            <w:tcW w:w="710" w:type="pct"/>
            <w:shd w:val="clear" w:color="auto" w:fill="auto"/>
            <w:noWrap/>
            <w:hideMark/>
          </w:tcPr>
          <w:p w14:paraId="5366B89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8,0</w:t>
            </w:r>
          </w:p>
        </w:tc>
      </w:tr>
      <w:tr w:rsidR="005F26DA" w:rsidRPr="000E0422" w14:paraId="749A5FB3" w14:textId="77777777" w:rsidTr="00563037">
        <w:trPr>
          <w:trHeight w:val="155"/>
          <w:jc w:val="center"/>
        </w:trPr>
        <w:tc>
          <w:tcPr>
            <w:tcW w:w="1450" w:type="pct"/>
            <w:shd w:val="clear" w:color="auto" w:fill="auto"/>
            <w:noWrap/>
            <w:vAlign w:val="center"/>
            <w:hideMark/>
          </w:tcPr>
          <w:p w14:paraId="54D6262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Отплата камата</w:t>
            </w:r>
          </w:p>
        </w:tc>
        <w:tc>
          <w:tcPr>
            <w:tcW w:w="710" w:type="pct"/>
            <w:shd w:val="clear" w:color="auto" w:fill="auto"/>
            <w:hideMark/>
          </w:tcPr>
          <w:p w14:paraId="3681ECC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113,6</w:t>
            </w:r>
          </w:p>
        </w:tc>
        <w:tc>
          <w:tcPr>
            <w:tcW w:w="710" w:type="pct"/>
            <w:shd w:val="clear" w:color="auto" w:fill="auto"/>
            <w:noWrap/>
            <w:hideMark/>
          </w:tcPr>
          <w:p w14:paraId="31653C8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113,9</w:t>
            </w:r>
          </w:p>
        </w:tc>
        <w:tc>
          <w:tcPr>
            <w:tcW w:w="710" w:type="pct"/>
            <w:shd w:val="clear" w:color="auto" w:fill="auto"/>
            <w:hideMark/>
          </w:tcPr>
          <w:p w14:paraId="13CFBD4B"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0,3</w:t>
            </w:r>
          </w:p>
        </w:tc>
        <w:tc>
          <w:tcPr>
            <w:tcW w:w="710" w:type="pct"/>
            <w:shd w:val="clear" w:color="auto" w:fill="auto"/>
            <w:hideMark/>
          </w:tcPr>
          <w:p w14:paraId="239DAD3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0,3</w:t>
            </w:r>
          </w:p>
        </w:tc>
        <w:tc>
          <w:tcPr>
            <w:tcW w:w="710" w:type="pct"/>
            <w:shd w:val="clear" w:color="auto" w:fill="auto"/>
            <w:noWrap/>
            <w:hideMark/>
          </w:tcPr>
          <w:p w14:paraId="730A7E4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1,8</w:t>
            </w:r>
          </w:p>
        </w:tc>
      </w:tr>
      <w:tr w:rsidR="005F26DA" w:rsidRPr="000E0422" w14:paraId="590B3470" w14:textId="77777777" w:rsidTr="00563037">
        <w:trPr>
          <w:trHeight w:val="155"/>
          <w:jc w:val="center"/>
        </w:trPr>
        <w:tc>
          <w:tcPr>
            <w:tcW w:w="1450" w:type="pct"/>
            <w:shd w:val="clear" w:color="auto" w:fill="auto"/>
            <w:noWrap/>
            <w:vAlign w:val="center"/>
            <w:hideMark/>
          </w:tcPr>
          <w:p w14:paraId="61563902"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Субвенције</w:t>
            </w:r>
          </w:p>
        </w:tc>
        <w:tc>
          <w:tcPr>
            <w:tcW w:w="710" w:type="pct"/>
            <w:shd w:val="clear" w:color="auto" w:fill="auto"/>
            <w:hideMark/>
          </w:tcPr>
          <w:p w14:paraId="43D5D99E"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130,7</w:t>
            </w:r>
          </w:p>
        </w:tc>
        <w:tc>
          <w:tcPr>
            <w:tcW w:w="710" w:type="pct"/>
            <w:shd w:val="clear" w:color="auto" w:fill="auto"/>
            <w:noWrap/>
            <w:hideMark/>
          </w:tcPr>
          <w:p w14:paraId="7E0A5EB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213,4</w:t>
            </w:r>
          </w:p>
        </w:tc>
        <w:tc>
          <w:tcPr>
            <w:tcW w:w="710" w:type="pct"/>
            <w:shd w:val="clear" w:color="auto" w:fill="auto"/>
            <w:hideMark/>
          </w:tcPr>
          <w:p w14:paraId="6EE03D9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82,7</w:t>
            </w:r>
          </w:p>
        </w:tc>
        <w:tc>
          <w:tcPr>
            <w:tcW w:w="710" w:type="pct"/>
            <w:shd w:val="clear" w:color="auto" w:fill="auto"/>
            <w:hideMark/>
          </w:tcPr>
          <w:p w14:paraId="2BA6A83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63,3</w:t>
            </w:r>
          </w:p>
        </w:tc>
        <w:tc>
          <w:tcPr>
            <w:tcW w:w="710" w:type="pct"/>
            <w:shd w:val="clear" w:color="auto" w:fill="auto"/>
            <w:noWrap/>
            <w:hideMark/>
          </w:tcPr>
          <w:p w14:paraId="3390E76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3,5</w:t>
            </w:r>
          </w:p>
        </w:tc>
      </w:tr>
      <w:tr w:rsidR="005F26DA" w:rsidRPr="000E0422" w14:paraId="7B414CE8" w14:textId="77777777" w:rsidTr="00563037">
        <w:trPr>
          <w:trHeight w:val="155"/>
          <w:jc w:val="center"/>
        </w:trPr>
        <w:tc>
          <w:tcPr>
            <w:tcW w:w="1450" w:type="pct"/>
            <w:shd w:val="clear" w:color="auto" w:fill="auto"/>
            <w:noWrap/>
            <w:vAlign w:val="center"/>
            <w:hideMark/>
          </w:tcPr>
          <w:p w14:paraId="1DE77F7C"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Социјална помоћ и трансфери</w:t>
            </w:r>
          </w:p>
        </w:tc>
        <w:tc>
          <w:tcPr>
            <w:tcW w:w="710" w:type="pct"/>
            <w:shd w:val="clear" w:color="auto" w:fill="auto"/>
            <w:hideMark/>
          </w:tcPr>
          <w:p w14:paraId="551286DF"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847,8</w:t>
            </w:r>
          </w:p>
        </w:tc>
        <w:tc>
          <w:tcPr>
            <w:tcW w:w="710" w:type="pct"/>
            <w:shd w:val="clear" w:color="auto" w:fill="auto"/>
            <w:noWrap/>
            <w:hideMark/>
          </w:tcPr>
          <w:p w14:paraId="42CCF62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857,8</w:t>
            </w:r>
          </w:p>
        </w:tc>
        <w:tc>
          <w:tcPr>
            <w:tcW w:w="710" w:type="pct"/>
            <w:shd w:val="clear" w:color="auto" w:fill="auto"/>
            <w:hideMark/>
          </w:tcPr>
          <w:p w14:paraId="4C0BE12D"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10,0</w:t>
            </w:r>
          </w:p>
        </w:tc>
        <w:tc>
          <w:tcPr>
            <w:tcW w:w="710" w:type="pct"/>
            <w:shd w:val="clear" w:color="auto" w:fill="auto"/>
            <w:hideMark/>
          </w:tcPr>
          <w:p w14:paraId="7ECA5F39"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w:t>
            </w:r>
          </w:p>
        </w:tc>
        <w:tc>
          <w:tcPr>
            <w:tcW w:w="710" w:type="pct"/>
            <w:shd w:val="clear" w:color="auto" w:fill="auto"/>
            <w:noWrap/>
            <w:hideMark/>
          </w:tcPr>
          <w:p w14:paraId="34B412C8"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13,9</w:t>
            </w:r>
          </w:p>
        </w:tc>
      </w:tr>
      <w:tr w:rsidR="005F26DA" w:rsidRPr="000E0422" w14:paraId="4C67FAA1" w14:textId="77777777" w:rsidTr="00563037">
        <w:trPr>
          <w:trHeight w:val="155"/>
          <w:jc w:val="center"/>
        </w:trPr>
        <w:tc>
          <w:tcPr>
            <w:tcW w:w="1450" w:type="pct"/>
            <w:shd w:val="clear" w:color="auto" w:fill="auto"/>
            <w:noWrap/>
            <w:vAlign w:val="center"/>
            <w:hideMark/>
          </w:tcPr>
          <w:p w14:paraId="133060B6"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од чега пензије</w:t>
            </w:r>
          </w:p>
        </w:tc>
        <w:tc>
          <w:tcPr>
            <w:tcW w:w="710" w:type="pct"/>
            <w:shd w:val="clear" w:color="auto" w:fill="auto"/>
            <w:hideMark/>
          </w:tcPr>
          <w:p w14:paraId="41FAE67B"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621,0</w:t>
            </w:r>
          </w:p>
        </w:tc>
        <w:tc>
          <w:tcPr>
            <w:tcW w:w="710" w:type="pct"/>
            <w:shd w:val="clear" w:color="auto" w:fill="auto"/>
            <w:noWrap/>
            <w:hideMark/>
          </w:tcPr>
          <w:p w14:paraId="5168D7A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612,0</w:t>
            </w:r>
          </w:p>
        </w:tc>
        <w:tc>
          <w:tcPr>
            <w:tcW w:w="710" w:type="pct"/>
            <w:shd w:val="clear" w:color="auto" w:fill="auto"/>
            <w:hideMark/>
          </w:tcPr>
          <w:p w14:paraId="3E25C269"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-9,0</w:t>
            </w:r>
          </w:p>
        </w:tc>
        <w:tc>
          <w:tcPr>
            <w:tcW w:w="710" w:type="pct"/>
            <w:shd w:val="clear" w:color="auto" w:fill="auto"/>
            <w:hideMark/>
          </w:tcPr>
          <w:p w14:paraId="49A01E7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-1,4</w:t>
            </w:r>
          </w:p>
        </w:tc>
        <w:tc>
          <w:tcPr>
            <w:tcW w:w="710" w:type="pct"/>
            <w:shd w:val="clear" w:color="auto" w:fill="auto"/>
            <w:noWrap/>
            <w:hideMark/>
          </w:tcPr>
          <w:p w14:paraId="1EBCCF43"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9,9</w:t>
            </w:r>
          </w:p>
        </w:tc>
      </w:tr>
      <w:tr w:rsidR="005F26DA" w:rsidRPr="000E0422" w14:paraId="7E04B6B0" w14:textId="77777777" w:rsidTr="00563037">
        <w:trPr>
          <w:trHeight w:val="155"/>
          <w:jc w:val="center"/>
        </w:trPr>
        <w:tc>
          <w:tcPr>
            <w:tcW w:w="1450" w:type="pct"/>
            <w:shd w:val="clear" w:color="auto" w:fill="auto"/>
            <w:noWrap/>
            <w:vAlign w:val="center"/>
            <w:hideMark/>
          </w:tcPr>
          <w:p w14:paraId="4C06E2A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текући расходи</w:t>
            </w:r>
          </w:p>
        </w:tc>
        <w:tc>
          <w:tcPr>
            <w:tcW w:w="710" w:type="pct"/>
            <w:shd w:val="clear" w:color="auto" w:fill="auto"/>
            <w:hideMark/>
          </w:tcPr>
          <w:p w14:paraId="3F321DA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84,2</w:t>
            </w:r>
          </w:p>
        </w:tc>
        <w:tc>
          <w:tcPr>
            <w:tcW w:w="710" w:type="pct"/>
            <w:shd w:val="clear" w:color="auto" w:fill="auto"/>
            <w:noWrap/>
            <w:hideMark/>
          </w:tcPr>
          <w:p w14:paraId="00A8424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164,3</w:t>
            </w:r>
          </w:p>
        </w:tc>
        <w:tc>
          <w:tcPr>
            <w:tcW w:w="710" w:type="pct"/>
            <w:shd w:val="clear" w:color="auto" w:fill="auto"/>
            <w:hideMark/>
          </w:tcPr>
          <w:p w14:paraId="520235AA"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80,1</w:t>
            </w:r>
          </w:p>
        </w:tc>
        <w:tc>
          <w:tcPr>
            <w:tcW w:w="710" w:type="pct"/>
            <w:shd w:val="clear" w:color="auto" w:fill="auto"/>
            <w:hideMark/>
          </w:tcPr>
          <w:p w14:paraId="39D19F3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95,2</w:t>
            </w:r>
          </w:p>
        </w:tc>
        <w:tc>
          <w:tcPr>
            <w:tcW w:w="710" w:type="pct"/>
            <w:shd w:val="clear" w:color="auto" w:fill="auto"/>
            <w:noWrap/>
            <w:hideMark/>
          </w:tcPr>
          <w:p w14:paraId="39D6BC5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2,7</w:t>
            </w:r>
          </w:p>
        </w:tc>
      </w:tr>
      <w:tr w:rsidR="005F26DA" w:rsidRPr="000E0422" w14:paraId="7BD8C0DD" w14:textId="77777777" w:rsidTr="00563037">
        <w:trPr>
          <w:trHeight w:val="155"/>
          <w:jc w:val="center"/>
        </w:trPr>
        <w:tc>
          <w:tcPr>
            <w:tcW w:w="1450" w:type="pct"/>
            <w:shd w:val="clear" w:color="auto" w:fill="auto"/>
            <w:noWrap/>
            <w:vAlign w:val="center"/>
            <w:hideMark/>
          </w:tcPr>
          <w:p w14:paraId="15E170A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Капитални расходи</w:t>
            </w:r>
          </w:p>
        </w:tc>
        <w:tc>
          <w:tcPr>
            <w:tcW w:w="710" w:type="pct"/>
            <w:shd w:val="clear" w:color="auto" w:fill="auto"/>
            <w:hideMark/>
          </w:tcPr>
          <w:p w14:paraId="04AB941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330,6</w:t>
            </w:r>
          </w:p>
        </w:tc>
        <w:tc>
          <w:tcPr>
            <w:tcW w:w="710" w:type="pct"/>
            <w:shd w:val="clear" w:color="auto" w:fill="auto"/>
            <w:noWrap/>
            <w:hideMark/>
          </w:tcPr>
          <w:p w14:paraId="455D96B1"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479,4</w:t>
            </w:r>
          </w:p>
        </w:tc>
        <w:tc>
          <w:tcPr>
            <w:tcW w:w="710" w:type="pct"/>
            <w:shd w:val="clear" w:color="auto" w:fill="auto"/>
            <w:hideMark/>
          </w:tcPr>
          <w:p w14:paraId="326AD7B2"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148,8</w:t>
            </w:r>
          </w:p>
        </w:tc>
        <w:tc>
          <w:tcPr>
            <w:tcW w:w="710" w:type="pct"/>
            <w:shd w:val="clear" w:color="auto" w:fill="auto"/>
            <w:hideMark/>
          </w:tcPr>
          <w:p w14:paraId="47E1A7DF"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45,0</w:t>
            </w:r>
          </w:p>
        </w:tc>
        <w:tc>
          <w:tcPr>
            <w:tcW w:w="710" w:type="pct"/>
            <w:shd w:val="clear" w:color="auto" w:fill="auto"/>
            <w:noWrap/>
            <w:hideMark/>
          </w:tcPr>
          <w:p w14:paraId="36F1F88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7,8</w:t>
            </w:r>
          </w:p>
        </w:tc>
      </w:tr>
      <w:tr w:rsidR="005F26DA" w:rsidRPr="000E0422" w14:paraId="39DAEFFB" w14:textId="77777777" w:rsidTr="00563037">
        <w:trPr>
          <w:trHeight w:val="155"/>
          <w:jc w:val="center"/>
        </w:trPr>
        <w:tc>
          <w:tcPr>
            <w:tcW w:w="1450" w:type="pct"/>
            <w:shd w:val="clear" w:color="auto" w:fill="auto"/>
            <w:noWrap/>
            <w:vAlign w:val="center"/>
            <w:hideMark/>
          </w:tcPr>
          <w:p w14:paraId="456BCC5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Нето буџетске позајмице</w:t>
            </w:r>
          </w:p>
        </w:tc>
        <w:tc>
          <w:tcPr>
            <w:tcW w:w="710" w:type="pct"/>
            <w:shd w:val="clear" w:color="auto" w:fill="auto"/>
            <w:hideMark/>
          </w:tcPr>
          <w:p w14:paraId="538B927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23,7</w:t>
            </w:r>
          </w:p>
        </w:tc>
        <w:tc>
          <w:tcPr>
            <w:tcW w:w="710" w:type="pct"/>
            <w:shd w:val="clear" w:color="auto" w:fill="auto"/>
            <w:noWrap/>
            <w:hideMark/>
          </w:tcPr>
          <w:p w14:paraId="2C7E4C5A"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22,4</w:t>
            </w:r>
          </w:p>
        </w:tc>
        <w:tc>
          <w:tcPr>
            <w:tcW w:w="710" w:type="pct"/>
            <w:shd w:val="clear" w:color="auto" w:fill="auto"/>
            <w:hideMark/>
          </w:tcPr>
          <w:p w14:paraId="0443D4DE"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-1,3</w:t>
            </w:r>
          </w:p>
        </w:tc>
        <w:tc>
          <w:tcPr>
            <w:tcW w:w="710" w:type="pct"/>
            <w:shd w:val="clear" w:color="auto" w:fill="auto"/>
            <w:hideMark/>
          </w:tcPr>
          <w:p w14:paraId="3949F6A8"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-5,4</w:t>
            </w:r>
          </w:p>
        </w:tc>
        <w:tc>
          <w:tcPr>
            <w:tcW w:w="710" w:type="pct"/>
            <w:shd w:val="clear" w:color="auto" w:fill="auto"/>
            <w:noWrap/>
            <w:hideMark/>
          </w:tcPr>
          <w:p w14:paraId="658852B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0,4</w:t>
            </w:r>
          </w:p>
        </w:tc>
      </w:tr>
      <w:tr w:rsidR="005F26DA" w:rsidRPr="000E0422" w14:paraId="68A42198" w14:textId="77777777" w:rsidTr="00563037">
        <w:trPr>
          <w:trHeight w:val="155"/>
          <w:jc w:val="center"/>
        </w:trPr>
        <w:tc>
          <w:tcPr>
            <w:tcW w:w="1450" w:type="pct"/>
            <w:shd w:val="clear" w:color="auto" w:fill="auto"/>
            <w:noWrap/>
            <w:vAlign w:val="center"/>
            <w:hideMark/>
          </w:tcPr>
          <w:p w14:paraId="1F35496D"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Активиране гаранције</w:t>
            </w:r>
          </w:p>
        </w:tc>
        <w:tc>
          <w:tcPr>
            <w:tcW w:w="710" w:type="pct"/>
            <w:shd w:val="clear" w:color="auto" w:fill="auto"/>
            <w:hideMark/>
          </w:tcPr>
          <w:p w14:paraId="5A4E9AE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11,7</w:t>
            </w:r>
          </w:p>
        </w:tc>
        <w:tc>
          <w:tcPr>
            <w:tcW w:w="710" w:type="pct"/>
            <w:shd w:val="clear" w:color="auto" w:fill="auto"/>
            <w:noWrap/>
            <w:hideMark/>
          </w:tcPr>
          <w:p w14:paraId="1498CA7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8,2</w:t>
            </w:r>
          </w:p>
        </w:tc>
        <w:tc>
          <w:tcPr>
            <w:tcW w:w="710" w:type="pct"/>
            <w:shd w:val="clear" w:color="auto" w:fill="auto"/>
            <w:hideMark/>
          </w:tcPr>
          <w:p w14:paraId="449BDC18"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-3,5</w:t>
            </w:r>
          </w:p>
        </w:tc>
        <w:tc>
          <w:tcPr>
            <w:tcW w:w="710" w:type="pct"/>
            <w:shd w:val="clear" w:color="auto" w:fill="auto"/>
            <w:hideMark/>
          </w:tcPr>
          <w:p w14:paraId="2A576CA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-29,8</w:t>
            </w:r>
          </w:p>
        </w:tc>
        <w:tc>
          <w:tcPr>
            <w:tcW w:w="710" w:type="pct"/>
            <w:shd w:val="clear" w:color="auto" w:fill="auto"/>
            <w:noWrap/>
            <w:hideMark/>
          </w:tcPr>
          <w:p w14:paraId="76EFCD4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0,1</w:t>
            </w:r>
          </w:p>
        </w:tc>
      </w:tr>
      <w:tr w:rsidR="005F26DA" w:rsidRPr="000E0422" w14:paraId="5DD05208" w14:textId="77777777" w:rsidTr="00563037">
        <w:trPr>
          <w:trHeight w:val="155"/>
          <w:jc w:val="center"/>
        </w:trPr>
        <w:tc>
          <w:tcPr>
            <w:tcW w:w="1450" w:type="pct"/>
            <w:shd w:val="clear" w:color="auto" w:fill="E7E6E6"/>
            <w:noWrap/>
            <w:vAlign w:val="center"/>
            <w:hideMark/>
          </w:tcPr>
          <w:p w14:paraId="7BA9B296"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Резултат</w:t>
            </w:r>
          </w:p>
        </w:tc>
        <w:tc>
          <w:tcPr>
            <w:tcW w:w="710" w:type="pct"/>
            <w:shd w:val="clear" w:color="auto" w:fill="E7E6E6"/>
            <w:hideMark/>
          </w:tcPr>
          <w:p w14:paraId="383513B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-179,3</w:t>
            </w:r>
          </w:p>
        </w:tc>
        <w:tc>
          <w:tcPr>
            <w:tcW w:w="710" w:type="pct"/>
            <w:shd w:val="clear" w:color="auto" w:fill="E7E6E6"/>
            <w:noWrap/>
            <w:hideMark/>
          </w:tcPr>
          <w:p w14:paraId="67410FB1"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-304,5</w:t>
            </w:r>
          </w:p>
        </w:tc>
        <w:tc>
          <w:tcPr>
            <w:tcW w:w="710" w:type="pct"/>
            <w:shd w:val="clear" w:color="auto" w:fill="E7E6E6"/>
            <w:hideMark/>
          </w:tcPr>
          <w:p w14:paraId="4603E173"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-125,2</w:t>
            </w:r>
          </w:p>
        </w:tc>
        <w:tc>
          <w:tcPr>
            <w:tcW w:w="710" w:type="pct"/>
            <w:shd w:val="clear" w:color="auto" w:fill="E7E6E6"/>
            <w:hideMark/>
          </w:tcPr>
          <w:p w14:paraId="1DECE50D" w14:textId="77777777" w:rsidR="005F26DA" w:rsidRPr="000E0422" w:rsidRDefault="005F26DA" w:rsidP="00563037">
            <w:pPr>
              <w:spacing w:after="0"/>
              <w:ind w:right="340"/>
              <w:jc w:val="right"/>
              <w:rPr>
                <w:rFonts w:eastAsia="Calibri" w:cs="Times New Roman"/>
                <w:sz w:val="18"/>
                <w:szCs w:val="18"/>
                <w:lang w:val="sr-Cyrl-RS"/>
              </w:rPr>
            </w:pPr>
          </w:p>
        </w:tc>
        <w:tc>
          <w:tcPr>
            <w:tcW w:w="710" w:type="pct"/>
            <w:shd w:val="clear" w:color="auto" w:fill="E7E6E6"/>
            <w:noWrap/>
            <w:hideMark/>
          </w:tcPr>
          <w:p w14:paraId="241BE94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-4,9</w:t>
            </w:r>
          </w:p>
        </w:tc>
      </w:tr>
      <w:tr w:rsidR="005F26DA" w:rsidRPr="000E0422" w14:paraId="0E4F78C7" w14:textId="77777777" w:rsidTr="00563037">
        <w:trPr>
          <w:trHeight w:val="155"/>
          <w:jc w:val="center"/>
        </w:trPr>
        <w:tc>
          <w:tcPr>
            <w:tcW w:w="1450" w:type="pct"/>
            <w:tcBorders>
              <w:bottom w:val="single" w:sz="4" w:space="0" w:color="002060"/>
            </w:tcBorders>
            <w:shd w:val="clear" w:color="auto" w:fill="auto"/>
            <w:noWrap/>
            <w:vAlign w:val="center"/>
            <w:hideMark/>
          </w:tcPr>
          <w:p w14:paraId="1BE7DA92"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Резултат у % БДП</w:t>
            </w:r>
          </w:p>
        </w:tc>
        <w:tc>
          <w:tcPr>
            <w:tcW w:w="710" w:type="pct"/>
            <w:tcBorders>
              <w:bottom w:val="single" w:sz="4" w:space="0" w:color="002060"/>
            </w:tcBorders>
            <w:shd w:val="clear" w:color="auto" w:fill="auto"/>
            <w:hideMark/>
          </w:tcPr>
          <w:p w14:paraId="28B8C87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-3,0</w:t>
            </w:r>
          </w:p>
        </w:tc>
        <w:tc>
          <w:tcPr>
            <w:tcW w:w="710" w:type="pct"/>
            <w:tcBorders>
              <w:bottom w:val="single" w:sz="4" w:space="0" w:color="002060"/>
            </w:tcBorders>
            <w:shd w:val="clear" w:color="auto" w:fill="auto"/>
            <w:hideMark/>
          </w:tcPr>
          <w:p w14:paraId="53EF444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-4,9</w:t>
            </w:r>
          </w:p>
        </w:tc>
        <w:tc>
          <w:tcPr>
            <w:tcW w:w="710" w:type="pct"/>
            <w:tcBorders>
              <w:bottom w:val="single" w:sz="4" w:space="0" w:color="002060"/>
            </w:tcBorders>
            <w:shd w:val="clear" w:color="auto" w:fill="auto"/>
            <w:hideMark/>
          </w:tcPr>
          <w:p w14:paraId="1D1A9FAD"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-1,9</w:t>
            </w:r>
          </w:p>
        </w:tc>
        <w:tc>
          <w:tcPr>
            <w:tcW w:w="710" w:type="pct"/>
            <w:tcBorders>
              <w:bottom w:val="single" w:sz="4" w:space="0" w:color="002060"/>
            </w:tcBorders>
            <w:shd w:val="clear" w:color="auto" w:fill="auto"/>
            <w:hideMark/>
          </w:tcPr>
          <w:p w14:paraId="216C6174" w14:textId="77777777" w:rsidR="005F26DA" w:rsidRPr="000E0422" w:rsidRDefault="005F26DA" w:rsidP="00563037">
            <w:pPr>
              <w:spacing w:after="0"/>
              <w:ind w:right="340"/>
              <w:jc w:val="right"/>
              <w:rPr>
                <w:rFonts w:eastAsia="Calibri" w:cs="Times New Roman"/>
                <w:sz w:val="18"/>
                <w:szCs w:val="18"/>
                <w:lang w:val="sr-Cyrl-RS"/>
              </w:rPr>
            </w:pPr>
          </w:p>
        </w:tc>
        <w:tc>
          <w:tcPr>
            <w:tcW w:w="710" w:type="pct"/>
            <w:tcBorders>
              <w:bottom w:val="single" w:sz="4" w:space="0" w:color="002060"/>
            </w:tcBorders>
            <w:shd w:val="clear" w:color="auto" w:fill="auto"/>
            <w:hideMark/>
          </w:tcPr>
          <w:p w14:paraId="55E35C0E" w14:textId="77777777" w:rsidR="005F26DA" w:rsidRPr="000E0422" w:rsidRDefault="005F26DA" w:rsidP="00563037">
            <w:pPr>
              <w:spacing w:after="0"/>
              <w:ind w:right="340"/>
              <w:jc w:val="right"/>
              <w:rPr>
                <w:rFonts w:eastAsia="Calibri" w:cs="Times New Roman"/>
                <w:sz w:val="18"/>
                <w:szCs w:val="18"/>
                <w:lang w:val="sr-Cyrl-RS"/>
              </w:rPr>
            </w:pPr>
          </w:p>
        </w:tc>
      </w:tr>
    </w:tbl>
    <w:p w14:paraId="19D92F28" w14:textId="77777777" w:rsidR="005F26DA" w:rsidRPr="000E0422" w:rsidRDefault="005F26DA" w:rsidP="00563037">
      <w:pPr>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14:paraId="3BF2C23C"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Најважнији фактори који су довели до измене у висини и структури прихода опште државе су:</w:t>
      </w:r>
    </w:p>
    <w:p w14:paraId="6B12542E"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базни ефекат (боље остварење на крају претходне године);</w:t>
      </w:r>
    </w:p>
    <w:p w14:paraId="3934677E"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убрзање економске активности тј. ревизија стопе реалног раста БДП навише са 6% на 7%;</w:t>
      </w:r>
    </w:p>
    <w:p w14:paraId="2A730D23"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конзервативно планирање одређених категорија пореских прихода (услед неизвесности у вези тока и ефеката продужене пандемије);</w:t>
      </w:r>
    </w:p>
    <w:p w14:paraId="1ACBD2AE"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наплата пореских прихода током 2021. године;</w:t>
      </w:r>
    </w:p>
    <w:p w14:paraId="185E2452"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повољнија кретања на тржишту рада од предвиђених;</w:t>
      </w:r>
    </w:p>
    <w:p w14:paraId="6EA41FB9"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опоравак спољнотрговинске размене;</w:t>
      </w:r>
    </w:p>
    <w:p w14:paraId="2961F66B"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уплата првобитно непланираних непореских прихода и донација;</w:t>
      </w:r>
    </w:p>
    <w:p w14:paraId="2E37243D" w14:textId="77777777" w:rsidR="005F26DA" w:rsidRPr="000E0422" w:rsidRDefault="005F26DA" w:rsidP="004D22FA">
      <w:pPr>
        <w:pStyle w:val="ListParagraph"/>
        <w:widowControl w:val="0"/>
        <w:numPr>
          <w:ilvl w:val="0"/>
          <w:numId w:val="11"/>
        </w:numPr>
        <w:ind w:left="714" w:hanging="357"/>
        <w:rPr>
          <w:rFonts w:cs="Times New Roman"/>
          <w:sz w:val="24"/>
          <w:szCs w:val="24"/>
          <w:lang w:val="sr-Cyrl-RS"/>
        </w:rPr>
      </w:pPr>
      <w:r w:rsidRPr="000E0422">
        <w:rPr>
          <w:rFonts w:cs="Times New Roman"/>
          <w:sz w:val="24"/>
          <w:szCs w:val="24"/>
          <w:lang w:val="sr-Cyrl-RS"/>
        </w:rPr>
        <w:lastRenderedPageBreak/>
        <w:t>позитиван утицај програма економских мера на привредну активност и личну потрошњу.</w:t>
      </w:r>
    </w:p>
    <w:p w14:paraId="147608F0" w14:textId="77777777" w:rsidR="005F26DA" w:rsidRPr="000E0422" w:rsidRDefault="005F26DA" w:rsidP="00E02533">
      <w:pPr>
        <w:spacing w:after="60"/>
        <w:rPr>
          <w:lang w:val="sr-Cyrl-RS" w:eastAsia="ja-JP"/>
        </w:rPr>
      </w:pPr>
      <w:r w:rsidRPr="000E0422">
        <w:rPr>
          <w:lang w:val="sr-Cyrl-RS" w:eastAsia="ja-JP"/>
        </w:rPr>
        <w:t>Пројекција прихода од пореза на доходак грађана повећана је за 27,6 млрд динара у односу на оригинални износ. Приликом израде оригиналне пројекције прихода од пореза на зараде, узете су у обзир пројекције кретања просечних зарада и запослености, процене о превременом враћању дела одложених пореза током 2020. године, као и процене ефеката подизања неопорезивог дела зараде у 2021. години. Исте претпоставке се користе и за пројекцију прихода од социјалних доприноса који чине највећи појединачни приход на нивоу опште државе.</w:t>
      </w:r>
    </w:p>
    <w:p w14:paraId="0F418B53" w14:textId="77777777" w:rsidR="005F26DA" w:rsidRPr="000E0422" w:rsidRDefault="005F26DA" w:rsidP="00E02533">
      <w:pPr>
        <w:spacing w:after="60"/>
        <w:rPr>
          <w:lang w:val="sr-Cyrl-RS" w:eastAsia="ja-JP"/>
        </w:rPr>
      </w:pPr>
      <w:r w:rsidRPr="000E0422">
        <w:rPr>
          <w:lang w:val="sr-Cyrl-RS" w:eastAsia="ja-JP"/>
        </w:rPr>
        <w:t>Реализација ових прихода крајем 2020. године била је изнад очекивања, а подаци о запослености и кретању просечних зарада указују на одржану стабилност на тржишту рада. Такав тренд настављен је и током првог квартала 2021. године. Током другог и трећег квартала текуће године позитивни трендови на тржишту рада су настављени, чиме су се стекли услови за још једну ревизију овог пореског облика навише. Процена о враћању дела одложених пореза и доприноса током 2021. године, незнатно је коригована на основу података о уплатама током године. На сличан начин извршена је ревизија пројекције прихода од социјалних доприноса при чему је она повећана за 70,5 млрд динара.</w:t>
      </w:r>
    </w:p>
    <w:p w14:paraId="608AA21A" w14:textId="77777777" w:rsidR="005F26DA" w:rsidRPr="000E0422" w:rsidRDefault="005F26DA" w:rsidP="00E02533">
      <w:pPr>
        <w:widowControl w:val="0"/>
        <w:spacing w:after="60"/>
        <w:rPr>
          <w:rFonts w:eastAsia="MS PGothic" w:cs="Times New Roman"/>
          <w:szCs w:val="24"/>
          <w:lang w:val="sr-Cyrl-RS" w:eastAsia="ja-JP"/>
        </w:rPr>
      </w:pPr>
      <w:r w:rsidRPr="000E0422">
        <w:rPr>
          <w:rFonts w:eastAsia="MS PGothic" w:cs="Times New Roman"/>
          <w:szCs w:val="24"/>
          <w:lang w:val="sr-Cyrl-RS" w:eastAsia="ja-JP"/>
        </w:rPr>
        <w:t>Остатак пореза на доходак чине остали облици као што су порез на дивиденде, порез на приходе од камата, годишњи порез на доходак, порез на приходе од закупа непокретности и др. Претходним програмом мера, током 2020. године, био је предвиђен мораторијум на исплату дивиденди код компанија које користе подршку државе. Како највећи део профитабилних компанија није користио државну помоћ, дивиденде су исплаћене својим акционарима у редовној динамици. Део компанија који је користио државну помоћ, исплатио је дивиденде по истеку мораторијума, почетком 2021. године. Почетком године је забележен снажан скок уплата пореза на дивиденде, те је ревидирана пројекција прихода по том основа.</w:t>
      </w:r>
    </w:p>
    <w:p w14:paraId="4179AD11" w14:textId="77777777" w:rsidR="005F26DA" w:rsidRPr="000E0422" w:rsidRDefault="005F26DA" w:rsidP="00E02533">
      <w:pPr>
        <w:spacing w:after="60"/>
        <w:rPr>
          <w:lang w:val="sr-Cyrl-RS" w:eastAsia="ja-JP"/>
        </w:rPr>
      </w:pPr>
      <w:r w:rsidRPr="000E0422">
        <w:rPr>
          <w:lang w:val="sr-Cyrl-RS" w:eastAsia="ja-JP"/>
        </w:rPr>
        <w:t>Пројекција прихода од пореза на добит повећана је за око 50 млрд динара у односу на оригиналан буџетски план за 2021. годину, иако није модификована приликом априлске ревизије. Основни разлог за корекцију у овом износу је опрезност приликом претходне процене, имајући у виду да подаци о профитабилности у 2020. години у тренутку израде априлске пројекције нису били познати. И поред тога што је у 2020. години забележено успоравање привредне активности, добит привредних друштва забележила је раст, што је додатно повећало износ плаћеног пореза на добит. Као последица тога, веће су и уплате по основу пореза на дивиденде које исплаћују правна лица.</w:t>
      </w:r>
    </w:p>
    <w:p w14:paraId="73F1350C" w14:textId="77777777" w:rsidR="005F26DA" w:rsidRPr="000E0422" w:rsidRDefault="005F26DA" w:rsidP="00E02533">
      <w:pPr>
        <w:spacing w:after="60"/>
        <w:rPr>
          <w:lang w:val="sr-Cyrl-RS" w:eastAsia="ja-JP"/>
        </w:rPr>
      </w:pPr>
      <w:r w:rsidRPr="000E0422">
        <w:rPr>
          <w:lang w:val="sr-Cyrl-RS" w:eastAsia="ja-JP"/>
        </w:rPr>
        <w:t>Порез на додату вредност пројектован је у висини од 654 млрд динара што представља повећање од 53,7 млрд у односу на оригиналну пројекцију. Приликом доношења априлског ребаланса, пројекција ПДВ није мењана. Током првог квартала забележене су умерено боље стопе раста од очекиваних, али неизвесност у вези неповољне епидемиолошке ситуације и даље спровођење епидемиолошких мера, захтевали су опрезност приликом ревидирања процене прихода. Током другог и трећег квартала, стопа раста наплате ПДВ је додатно убрзана, чиме су се стекли услови за значајнију ревизију овог пореског облика навише. Разлози за убрзани расте наплате су снажнији оправак личне потрошње, ефекти стимулативних мера државе на потрошњу, повољнији биланс у сектору туризма и осталим услужним делатностима чиме је подстакнута потрошња на домаћем тржишту итд.</w:t>
      </w:r>
    </w:p>
    <w:p w14:paraId="078CFF54" w14:textId="77777777" w:rsidR="005F26DA" w:rsidRPr="000E0422" w:rsidRDefault="005F26DA" w:rsidP="00E02533">
      <w:pPr>
        <w:spacing w:after="60"/>
        <w:rPr>
          <w:lang w:val="sr-Cyrl-RS" w:eastAsia="ja-JP"/>
        </w:rPr>
      </w:pPr>
      <w:r w:rsidRPr="000E0422">
        <w:rPr>
          <w:lang w:val="sr-Cyrl-RS" w:eastAsia="ja-JP"/>
        </w:rPr>
        <w:t xml:space="preserve">Приходи од царина пројектовани су у износу од 59 млрд што представља повећање од 5,9 млрд динара у односу на оригиналну пројекцију. Приходи од царина у највећој мери </w:t>
      </w:r>
      <w:r w:rsidRPr="000E0422">
        <w:rPr>
          <w:lang w:val="sr-Cyrl-RS" w:eastAsia="ja-JP"/>
        </w:rPr>
        <w:lastRenderedPageBreak/>
        <w:t>прате динамику ПДВ из увоза, па је у складу са изменом структуре ПДВ, обима спољнотрговинске размене и кретања наплате царина у првом кварталу, извршена ревизија пројекције овог прихода.</w:t>
      </w:r>
    </w:p>
    <w:p w14:paraId="472BF7A2" w14:textId="77777777" w:rsidR="005F26DA" w:rsidRPr="000E0422" w:rsidRDefault="005F26DA" w:rsidP="00E02533">
      <w:pPr>
        <w:spacing w:after="60"/>
        <w:rPr>
          <w:lang w:val="sr-Cyrl-RS" w:eastAsia="ja-JP"/>
        </w:rPr>
      </w:pPr>
      <w:r w:rsidRPr="000E0422">
        <w:rPr>
          <w:lang w:val="sr-Cyrl-RS" w:eastAsia="ja-JP"/>
        </w:rPr>
        <w:t>Приходи од акциза пројектовани су у укупном износу од 329,2 млрд динара што је за 13,4 млрд динара више у односу на оригиналну пројекцију. Акцизе на дуванске прерађевине повећане су за 1,6 млрд динара, акцизе на деривате нафте за 12 млрд динара. Пројекција прихода од осталих акциза није мењана.</w:t>
      </w:r>
      <w:r w:rsidRPr="000E0422">
        <w:rPr>
          <w:rFonts w:eastAsia="Calibri"/>
          <w:lang w:val="sr-Cyrl-RS"/>
        </w:rPr>
        <w:t xml:space="preserve"> Наплата </w:t>
      </w:r>
      <w:r w:rsidRPr="000E0422">
        <w:rPr>
          <w:lang w:val="sr-Cyrl-RS" w:eastAsia="ja-JP"/>
        </w:rPr>
        <w:t>акциза на дуванске прерађевине, после снажног раста и уплата током најиздашнијих летњих месеци, стабилизовала се, што је довело до мање корекције процене овог прихода, али уз присутан позитиван ризик да реализација буде већа. За буџетску пројекцију прихода од акциза на деривате нафте, као референтна основа узета је 2019. година код које, за разлику од 2020. године, постоји уобичајена месечна динамика. Током првог квартала забележен је солидан раст овог прихода, уз додатно убрзање током другог и трећег квартала. И поред раста цена нафте и деривата на домаћем тржишту, бележи се раст потрошње. Ниво транзитног саобраћаја се значајно опоравио, домаћи потрошачи више користе сопствени превоз (делом и услед навика стечених током пандемије), а забележен је и мањи одлазак домаћих туриста у иностранство чиме се увећала потрошња на домаћем тржишту. Такође, реална је и претпоставка да се јавни саобраћај, где постоји рефакција дела акциза, одвија у нешто мањем обиму. Код осталих акциза, очекује се нешто слабија потрошња алкохолних производа и наплата акциза по том основу. Овај пад неутралисан је очекиваном већом наплатом акцизе на електричну енергију.</w:t>
      </w:r>
    </w:p>
    <w:p w14:paraId="7CC7CB94" w14:textId="77777777" w:rsidR="005F26DA" w:rsidRPr="000E0422" w:rsidRDefault="005F26DA" w:rsidP="00E02533">
      <w:pPr>
        <w:spacing w:after="60"/>
        <w:rPr>
          <w:lang w:val="sr-Cyrl-RS" w:eastAsia="ja-JP"/>
        </w:rPr>
      </w:pPr>
      <w:r w:rsidRPr="000E0422">
        <w:rPr>
          <w:lang w:val="sr-Cyrl-RS" w:eastAsia="ja-JP"/>
        </w:rPr>
        <w:t>Непорески приходи су повећани у односу на износ предвиђен оригиналним буџетом за 28,2 млрд динара. Редовни непорески приходи су различите таксе, накнаде, казне, приходи органа и организација и сви остали приходи који се остварују устаљеном динамиком током године, у приближно сличним износима на месечном нивоу уз одређене сезонске варијације. Редовни непорески приходи, током претходне године били су значајно погођени економском и епидемиолошком ситуацијом у земљи. Приходи од путарина су се скоро у потпуности опоравили, а то се може рећи и за остале категорије редовних непореских прихода. Тиме су се створили услови за значајнију корекцију процене ових прихода навише. 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итд. Ванредни непорески приходи кориговани су навише због реализоване уплате прихода који нису били укључени у буџетски план (емисиона премија и дивиденде буџета).</w:t>
      </w:r>
    </w:p>
    <w:p w14:paraId="20707330" w14:textId="77777777" w:rsidR="005F26DA" w:rsidRPr="000E0422" w:rsidRDefault="005F26DA" w:rsidP="00563037">
      <w:pPr>
        <w:keepLines/>
        <w:widowControl w:val="0"/>
        <w:rPr>
          <w:rFonts w:eastAsia="Calibri" w:cs="Times New Roman"/>
          <w:szCs w:val="24"/>
          <w:lang w:val="sr-Cyrl-RS"/>
        </w:rPr>
      </w:pPr>
      <w:r w:rsidRPr="000E0422">
        <w:rPr>
          <w:rFonts w:eastAsia="Calibri" w:cs="Times New Roman"/>
          <w:szCs w:val="24"/>
          <w:lang w:val="sr-Cyrl-RS"/>
        </w:rPr>
        <w:t>Графикон 5.Допринос појединачних фактора корекцији фискалног резултата у односу на план за 2022. годину, % БДП</w:t>
      </w:r>
    </w:p>
    <w:p w14:paraId="14FFC2B2" w14:textId="77777777" w:rsidR="005F26DA" w:rsidRPr="000E0422" w:rsidRDefault="005F26DA" w:rsidP="00E02533">
      <w:pPr>
        <w:keepLines/>
        <w:widowControl w:val="0"/>
        <w:rPr>
          <w:rFonts w:eastAsia="MS PGothic" w:cs="Times New Roman"/>
          <w:szCs w:val="24"/>
          <w:lang w:val="sr-Cyrl-RS" w:eastAsia="ja-JP"/>
        </w:rPr>
      </w:pPr>
      <w:r w:rsidRPr="000E0422">
        <w:rPr>
          <w:rFonts w:eastAsia="MS PGothic" w:cs="Times New Roman"/>
          <w:noProof/>
          <w:szCs w:val="24"/>
        </w:rPr>
        <w:lastRenderedPageBreak/>
        <w:drawing>
          <wp:inline distT="0" distB="0" distL="0" distR="0" wp14:anchorId="64A532B1" wp14:editId="309692FC">
            <wp:extent cx="5922067" cy="276225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935" cy="2784577"/>
                    </a:xfrm>
                    <a:prstGeom prst="rect">
                      <a:avLst/>
                    </a:prstGeom>
                    <a:noFill/>
                  </pic:spPr>
                </pic:pic>
              </a:graphicData>
            </a:graphic>
          </wp:inline>
        </w:drawing>
      </w:r>
    </w:p>
    <w:p w14:paraId="32DCDA5E"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Процена расхода опште државе повећана је за 380,1 млрд динара у односу на оригинални буџет. Највећи део овог повећања се односи на спровођење пакета за подршку привреди и становништву. Остатак чине расходи везани за директну борбу против пандемије, побољшање здравствених капацитета земље као и значајно увећање капиталних расхода. У периоду јануар–август, јавни расходи расту по стопи 1,8% у односу на исти период 2020. године, а до краја године очекује се да ће укупан раст расхода убрзати услед спровођења програма мера у остатку године као и реализације капиталних расхода.</w:t>
      </w:r>
    </w:p>
    <w:p w14:paraId="5DB2085C"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запослене повећани су за 26,1 млрд динара у односу на оригинално планиране. Највећи део се односи на повећање броја ангажованих људи у здравственом систему, повећаног ангажмана и броја радних сати у осталим секторима који су учествовали у контроли епидемиолошке ситуације. Један део увећања је последица нешто већег извршења на крају 2020. године.</w:t>
      </w:r>
    </w:p>
    <w:p w14:paraId="11F7A4D1"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робе и услуге су повећани за 36,9 млрд динара. Највећи део повећања се односи на набавку вакцина, других медикамената, медицинске опреме и средстава од стране РФЗО. Други део повећања се односи на текуће одржавање путева код ЈП „Путеви Србије”. И код осталих нивоа власти се бележи увећања ових расхода, посебно на нивоу локалне самоуправе.</w:t>
      </w:r>
    </w:p>
    <w:p w14:paraId="647A8EE9"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Субвенције су значајно повећане у односу на оригинални план за 82,7 млрд динара. Највећи део односи се на исплату директне помоћи привредним друштвима и предузетницима за превазилажење кризе изазване пандемијом. За ове намене у 2021. години предвиђено је преко 66,3 млрд динара. Један део повећања расхода за субвенције чини повећано субвенционисање у пољопривреди (око 7 млрд динара), и железничком саобраћају.</w:t>
      </w:r>
    </w:p>
    <w:p w14:paraId="4CC96832"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социјалну заштиту већи су за 10 млрд динара у односу на оригинални план. У оквиру ове категорије расхода, извршиће се исплата дела помоћи становништву у оквиру трећег пакета мера. Конкретно, НСЗ и ПИО фонд исплатиће по 60 и 50 евра у динарској противвредности, респективно, својим корисницима. Ово представља вид додатне помоћи угроженијим категоријама становништва, поред оне коју добијају сви пунолетни грађани. Расходи за пензије снижени су у односу на оригинални план за 9 млрд динара. Пензије у 2021. години индексиране су према „швајцарској формули”, чији параметри су били познати у току планирања ове категорије расхода, али је изостао предвиђен прираст броја пензионера. Учешће расхода за пензије у БДП износиће 9,9% у 2021. години.</w:t>
      </w:r>
    </w:p>
    <w:p w14:paraId="65AF210D" w14:textId="34D55AF8"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lastRenderedPageBreak/>
        <w:t xml:space="preserve">Остали текући расходи повећани су за 80,1 млрд динара у односу на оригинални план, првенствено због исплате директне новчане помоћи становништву (80 евра свим пунолетним грађанима у динарској противвредности прерачунато по званичном средњем курсу НБС) у укупном износу од 58,8 млрд динара. Остатак повећања се односи набавку дела вакцина за имунизацију становништва против </w:t>
      </w:r>
      <w:r w:rsidR="0063502F">
        <w:rPr>
          <w:szCs w:val="24"/>
          <w:lang w:val="sr-Cyrl-RS"/>
        </w:rPr>
        <w:t>Ковид</w:t>
      </w:r>
      <w:r w:rsidRPr="000E0422">
        <w:rPr>
          <w:rFonts w:eastAsia="MS PGothic" w:cs="Times New Roman"/>
          <w:szCs w:val="24"/>
          <w:lang w:val="sr-Cyrl-RS" w:eastAsia="ja-JP"/>
        </w:rPr>
        <w:t>-19, која се не реализује преко РФЗО, као и бонуса вакцинисаним грађанима.</w:t>
      </w:r>
    </w:p>
    <w:p w14:paraId="0A93D63A" w14:textId="0619530A"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 xml:space="preserve">Процењује се да ће реализација јавних инвестиција бити већа за 148,8 млрд динара од првобитног плана. Извршење капиталних расхода у периоду јануар–август 2021. године у односу на исти период претходне године веће је за 40,1%. Капитални расходи достижу, за сада рекордан, ниво од 7,8% БДП у 2021. години. Планирани су већи издаци и за нове и за постојеће инфраструктурне пројекте, пре свега у путну, железничку и комуналну инфраструктуру. Већа инвестициона улагања ће деловати на убрзање привредног раста у 2021. години и у средњорочном периоду. Планирана су већа улагања у нове здравствене капацитете и опрему која има дужи век експлоатације. Један део увећаних издатака се односи на даљу епидемиолошку заштиту становништва од </w:t>
      </w:r>
      <w:r w:rsidR="0063502F">
        <w:rPr>
          <w:szCs w:val="24"/>
          <w:lang w:val="sr-Cyrl-RS"/>
        </w:rPr>
        <w:t>Ковид</w:t>
      </w:r>
      <w:r w:rsidRPr="000E0422">
        <w:rPr>
          <w:rFonts w:eastAsia="MS PGothic" w:cs="Times New Roman"/>
          <w:szCs w:val="24"/>
          <w:lang w:val="sr-Cyrl-RS" w:eastAsia="ja-JP"/>
        </w:rPr>
        <w:t>-19, а други на побољшање система здравствене заштите у будућности. У ранијим кризним периодима најчешће је долазило до смањења капиталних расхода, међутим то сада није био случај, што представља позитивну промену у управљању јавним финансијама. Остатак повећања капиталних расхода представља улагање у обнављање и модернизацију војне опреме.</w:t>
      </w:r>
    </w:p>
    <w:p w14:paraId="648E3520"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Процењен фискални дефицит од 4,9% БДП не одступа од просека фискалних резултата који се очекују у земљама региона и ЕУ. Такав резултат је директна последица спровођења пакета мера помоћи, као и напора да се започети економски опоравак одржи и убрза у наредном периоду. Структурном анализом фискалног резултата идентификовано је да се око 4,2% БДП односи на једнократне и привремене мере, чиме је утврђено да одрживост фискалне позиције земље није нарушена.</w:t>
      </w:r>
    </w:p>
    <w:p w14:paraId="3E990675" w14:textId="77777777"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Табела 6</w:t>
      </w:r>
      <w:r w:rsidR="005F26DA" w:rsidRPr="000E0422">
        <w:rPr>
          <w:rFonts w:eastAsia="MS PGothic" w:cs="Times New Roman"/>
          <w:szCs w:val="24"/>
          <w:lang w:val="sr-Cyrl-RS" w:eastAsia="ja-JP"/>
        </w:rPr>
        <w:t>. Приходи, расходи и резулт</w:t>
      </w:r>
      <w:r w:rsidR="00D0357C">
        <w:rPr>
          <w:rFonts w:eastAsia="MS PGothic" w:cs="Times New Roman"/>
          <w:szCs w:val="24"/>
          <w:lang w:val="sr-Cyrl-RS" w:eastAsia="ja-JP"/>
        </w:rPr>
        <w:t>ат сектора државе, јануар–септембар</w:t>
      </w:r>
      <w:r w:rsidR="005F26DA" w:rsidRPr="000E0422">
        <w:rPr>
          <w:rFonts w:eastAsia="MS PGothic" w:cs="Times New Roman"/>
          <w:szCs w:val="24"/>
          <w:lang w:val="sr-Cyrl-RS" w:eastAsia="ja-JP"/>
        </w:rPr>
        <w:t>, у млрд динара</w:t>
      </w:r>
    </w:p>
    <w:tbl>
      <w:tblPr>
        <w:tblW w:w="5014" w:type="pct"/>
        <w:jc w:val="right"/>
        <w:tblLook w:val="04A0" w:firstRow="1" w:lastRow="0" w:firstColumn="1" w:lastColumn="0" w:noHBand="0" w:noVBand="1"/>
      </w:tblPr>
      <w:tblGrid>
        <w:gridCol w:w="3355"/>
        <w:gridCol w:w="1425"/>
        <w:gridCol w:w="1425"/>
        <w:gridCol w:w="1425"/>
        <w:gridCol w:w="1421"/>
      </w:tblGrid>
      <w:tr w:rsidR="005F26DA" w:rsidRPr="000E0422" w14:paraId="5F71BBD2" w14:textId="77777777" w:rsidTr="00563037">
        <w:trPr>
          <w:trHeight w:val="39"/>
          <w:tblHeader/>
          <w:jc w:val="right"/>
        </w:trPr>
        <w:tc>
          <w:tcPr>
            <w:tcW w:w="1854" w:type="pct"/>
            <w:tcBorders>
              <w:top w:val="single" w:sz="4" w:space="0" w:color="002060"/>
            </w:tcBorders>
            <w:shd w:val="clear" w:color="auto" w:fill="auto"/>
            <w:noWrap/>
            <w:vAlign w:val="center"/>
            <w:hideMark/>
          </w:tcPr>
          <w:p w14:paraId="0F999DAF"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ab/>
            </w:r>
          </w:p>
        </w:tc>
        <w:tc>
          <w:tcPr>
            <w:tcW w:w="787" w:type="pct"/>
            <w:tcBorders>
              <w:top w:val="single" w:sz="4" w:space="0" w:color="002060"/>
              <w:bottom w:val="single" w:sz="4" w:space="0" w:color="002060"/>
            </w:tcBorders>
            <w:shd w:val="clear" w:color="auto" w:fill="auto"/>
            <w:vAlign w:val="center"/>
            <w:hideMark/>
          </w:tcPr>
          <w:p w14:paraId="1342FAA0" w14:textId="77777777"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I–IX</w:t>
            </w:r>
            <w:r w:rsidR="005F26DA" w:rsidRPr="000E0422">
              <w:rPr>
                <w:rFonts w:eastAsia="MS PGothic" w:cs="Times New Roman"/>
                <w:sz w:val="18"/>
                <w:szCs w:val="18"/>
                <w:lang w:val="sr-Cyrl-RS" w:eastAsia="ja-JP"/>
              </w:rPr>
              <w:t xml:space="preserve"> 2020</w:t>
            </w:r>
          </w:p>
        </w:tc>
        <w:tc>
          <w:tcPr>
            <w:tcW w:w="787" w:type="pct"/>
            <w:tcBorders>
              <w:top w:val="single" w:sz="4" w:space="0" w:color="002060"/>
              <w:bottom w:val="single" w:sz="4" w:space="0" w:color="002060"/>
            </w:tcBorders>
            <w:shd w:val="clear" w:color="auto" w:fill="auto"/>
            <w:vAlign w:val="center"/>
            <w:hideMark/>
          </w:tcPr>
          <w:p w14:paraId="0B957A82" w14:textId="77777777"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I–IX</w:t>
            </w:r>
            <w:r w:rsidR="005F26DA" w:rsidRPr="000E0422">
              <w:rPr>
                <w:rFonts w:eastAsia="MS PGothic" w:cs="Times New Roman"/>
                <w:sz w:val="18"/>
                <w:szCs w:val="18"/>
                <w:lang w:val="sr-Cyrl-RS" w:eastAsia="ja-JP"/>
              </w:rPr>
              <w:t xml:space="preserve"> 2021</w:t>
            </w:r>
          </w:p>
        </w:tc>
        <w:tc>
          <w:tcPr>
            <w:tcW w:w="787" w:type="pct"/>
            <w:tcBorders>
              <w:top w:val="single" w:sz="4" w:space="0" w:color="002060"/>
              <w:bottom w:val="single" w:sz="4" w:space="0" w:color="002060"/>
            </w:tcBorders>
            <w:vAlign w:val="center"/>
          </w:tcPr>
          <w:p w14:paraId="0089916A" w14:textId="77777777"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w:t>
            </w:r>
            <w:r w:rsidR="005F26DA" w:rsidRPr="000E0422">
              <w:rPr>
                <w:rFonts w:eastAsia="MS PGothic" w:cs="Times New Roman"/>
                <w:sz w:val="18"/>
                <w:szCs w:val="18"/>
                <w:lang w:val="sr-Cyrl-RS" w:eastAsia="ja-JP"/>
              </w:rPr>
              <w:t>I</w:t>
            </w:r>
            <w:r>
              <w:rPr>
                <w:rFonts w:eastAsia="MS PGothic" w:cs="Times New Roman"/>
                <w:sz w:val="18"/>
                <w:szCs w:val="18"/>
                <w:lang w:val="sr-Latn-RS" w:eastAsia="ja-JP"/>
              </w:rPr>
              <w:t>X</w:t>
            </w:r>
            <w:r w:rsidR="005F26DA" w:rsidRPr="000E0422">
              <w:rPr>
                <w:rFonts w:eastAsia="MS PGothic" w:cs="Times New Roman"/>
                <w:sz w:val="18"/>
                <w:szCs w:val="18"/>
                <w:lang w:val="sr-Cyrl-RS" w:eastAsia="ja-JP"/>
              </w:rPr>
              <w:t xml:space="preserve"> стопа раста у %</w:t>
            </w:r>
          </w:p>
        </w:tc>
        <w:tc>
          <w:tcPr>
            <w:tcW w:w="785" w:type="pct"/>
            <w:tcBorders>
              <w:top w:val="single" w:sz="4" w:space="0" w:color="002060"/>
              <w:bottom w:val="single" w:sz="4" w:space="0" w:color="002060"/>
            </w:tcBorders>
            <w:shd w:val="clear" w:color="auto" w:fill="auto"/>
            <w:vAlign w:val="center"/>
            <w:hideMark/>
          </w:tcPr>
          <w:p w14:paraId="389C4E39"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2021/2020 стопа раста у %</w:t>
            </w:r>
          </w:p>
        </w:tc>
      </w:tr>
      <w:tr w:rsidR="005F26DA" w:rsidRPr="000E0422" w14:paraId="2E4A72F5" w14:textId="77777777" w:rsidTr="00563037">
        <w:trPr>
          <w:trHeight w:val="39"/>
          <w:tblHeader/>
          <w:jc w:val="right"/>
        </w:trPr>
        <w:tc>
          <w:tcPr>
            <w:tcW w:w="1854" w:type="pct"/>
            <w:shd w:val="clear" w:color="auto" w:fill="E7E6E6"/>
            <w:noWrap/>
            <w:vAlign w:val="center"/>
            <w:hideMark/>
          </w:tcPr>
          <w:p w14:paraId="293F47CC"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ПРИХОДИ</w:t>
            </w:r>
          </w:p>
        </w:tc>
        <w:tc>
          <w:tcPr>
            <w:tcW w:w="787" w:type="pct"/>
            <w:tcBorders>
              <w:top w:val="single" w:sz="4" w:space="0" w:color="002060"/>
            </w:tcBorders>
            <w:shd w:val="clear" w:color="auto" w:fill="E7E6E6"/>
            <w:hideMark/>
          </w:tcPr>
          <w:p w14:paraId="7BB23526"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1.600,2</w:t>
            </w:r>
          </w:p>
        </w:tc>
        <w:tc>
          <w:tcPr>
            <w:tcW w:w="787" w:type="pct"/>
            <w:tcBorders>
              <w:top w:val="single" w:sz="4" w:space="0" w:color="002060"/>
            </w:tcBorders>
            <w:shd w:val="clear" w:color="auto" w:fill="E7E6E6"/>
            <w:hideMark/>
          </w:tcPr>
          <w:p w14:paraId="7EADDD0D"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1.969,3</w:t>
            </w:r>
          </w:p>
        </w:tc>
        <w:tc>
          <w:tcPr>
            <w:tcW w:w="787" w:type="pct"/>
            <w:tcBorders>
              <w:top w:val="single" w:sz="4" w:space="0" w:color="002060"/>
            </w:tcBorders>
            <w:shd w:val="clear" w:color="auto" w:fill="E7E6E6"/>
          </w:tcPr>
          <w:p w14:paraId="6F062B70"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23,1</w:t>
            </w:r>
          </w:p>
        </w:tc>
        <w:tc>
          <w:tcPr>
            <w:tcW w:w="785" w:type="pct"/>
            <w:tcBorders>
              <w:top w:val="single" w:sz="4" w:space="0" w:color="002060"/>
            </w:tcBorders>
            <w:shd w:val="clear" w:color="auto" w:fill="E7E6E6"/>
            <w:hideMark/>
          </w:tcPr>
          <w:p w14:paraId="5ABD614B"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18,8</w:t>
            </w:r>
          </w:p>
        </w:tc>
      </w:tr>
      <w:tr w:rsidR="005F26DA" w:rsidRPr="000E0422" w14:paraId="6586AE3B" w14:textId="77777777" w:rsidTr="00563037">
        <w:trPr>
          <w:trHeight w:val="39"/>
          <w:tblHeader/>
          <w:jc w:val="right"/>
        </w:trPr>
        <w:tc>
          <w:tcPr>
            <w:tcW w:w="1854" w:type="pct"/>
            <w:shd w:val="clear" w:color="auto" w:fill="auto"/>
            <w:noWrap/>
            <w:vAlign w:val="center"/>
            <w:hideMark/>
          </w:tcPr>
          <w:p w14:paraId="7928EC61"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приходи</w:t>
            </w:r>
          </w:p>
        </w:tc>
        <w:tc>
          <w:tcPr>
            <w:tcW w:w="787" w:type="pct"/>
            <w:shd w:val="clear" w:color="auto" w:fill="auto"/>
            <w:hideMark/>
          </w:tcPr>
          <w:p w14:paraId="32013B1A"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1.592,3</w:t>
            </w:r>
          </w:p>
        </w:tc>
        <w:tc>
          <w:tcPr>
            <w:tcW w:w="787" w:type="pct"/>
            <w:shd w:val="clear" w:color="auto" w:fill="auto"/>
            <w:noWrap/>
            <w:hideMark/>
          </w:tcPr>
          <w:p w14:paraId="744523A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1.957,4</w:t>
            </w:r>
          </w:p>
        </w:tc>
        <w:tc>
          <w:tcPr>
            <w:tcW w:w="787" w:type="pct"/>
          </w:tcPr>
          <w:p w14:paraId="1B754A8F"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22,9</w:t>
            </w:r>
          </w:p>
        </w:tc>
        <w:tc>
          <w:tcPr>
            <w:tcW w:w="785" w:type="pct"/>
            <w:shd w:val="clear" w:color="auto" w:fill="auto"/>
            <w:hideMark/>
          </w:tcPr>
          <w:p w14:paraId="7DBA0CB6"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18,5</w:t>
            </w:r>
          </w:p>
        </w:tc>
      </w:tr>
      <w:tr w:rsidR="005F26DA" w:rsidRPr="000E0422" w14:paraId="2FBE011B" w14:textId="77777777" w:rsidTr="00563037">
        <w:trPr>
          <w:trHeight w:val="39"/>
          <w:tblHeader/>
          <w:jc w:val="right"/>
        </w:trPr>
        <w:tc>
          <w:tcPr>
            <w:tcW w:w="1854" w:type="pct"/>
            <w:shd w:val="clear" w:color="auto" w:fill="auto"/>
            <w:noWrap/>
            <w:vAlign w:val="center"/>
            <w:hideMark/>
          </w:tcPr>
          <w:p w14:paraId="7AD7010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Порески приходи</w:t>
            </w:r>
          </w:p>
        </w:tc>
        <w:tc>
          <w:tcPr>
            <w:tcW w:w="787" w:type="pct"/>
            <w:shd w:val="clear" w:color="auto" w:fill="auto"/>
            <w:hideMark/>
          </w:tcPr>
          <w:p w14:paraId="25500D9E"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1.419,1</w:t>
            </w:r>
          </w:p>
        </w:tc>
        <w:tc>
          <w:tcPr>
            <w:tcW w:w="787" w:type="pct"/>
            <w:shd w:val="clear" w:color="auto" w:fill="auto"/>
            <w:hideMark/>
          </w:tcPr>
          <w:p w14:paraId="0B271B6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1.764,5</w:t>
            </w:r>
          </w:p>
        </w:tc>
        <w:tc>
          <w:tcPr>
            <w:tcW w:w="787" w:type="pct"/>
          </w:tcPr>
          <w:p w14:paraId="7651F575"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24,3</w:t>
            </w:r>
          </w:p>
        </w:tc>
        <w:tc>
          <w:tcPr>
            <w:tcW w:w="785" w:type="pct"/>
            <w:shd w:val="clear" w:color="auto" w:fill="auto"/>
            <w:hideMark/>
          </w:tcPr>
          <w:p w14:paraId="41428390"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20,4</w:t>
            </w:r>
          </w:p>
        </w:tc>
      </w:tr>
      <w:tr w:rsidR="005F26DA" w:rsidRPr="000E0422" w14:paraId="6100847E" w14:textId="77777777" w:rsidTr="00563037">
        <w:trPr>
          <w:trHeight w:val="39"/>
          <w:tblHeader/>
          <w:jc w:val="right"/>
        </w:trPr>
        <w:tc>
          <w:tcPr>
            <w:tcW w:w="1854" w:type="pct"/>
            <w:shd w:val="clear" w:color="auto" w:fill="auto"/>
            <w:noWrap/>
            <w:vAlign w:val="center"/>
            <w:hideMark/>
          </w:tcPr>
          <w:p w14:paraId="273D41D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доходак грађана</w:t>
            </w:r>
          </w:p>
        </w:tc>
        <w:tc>
          <w:tcPr>
            <w:tcW w:w="787" w:type="pct"/>
            <w:shd w:val="clear" w:color="auto" w:fill="auto"/>
            <w:hideMark/>
          </w:tcPr>
          <w:p w14:paraId="74130D6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143,9</w:t>
            </w:r>
          </w:p>
        </w:tc>
        <w:tc>
          <w:tcPr>
            <w:tcW w:w="787" w:type="pct"/>
            <w:shd w:val="clear" w:color="auto" w:fill="auto"/>
            <w:hideMark/>
          </w:tcPr>
          <w:p w14:paraId="19F5E26A"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187,3</w:t>
            </w:r>
          </w:p>
        </w:tc>
        <w:tc>
          <w:tcPr>
            <w:tcW w:w="787" w:type="pct"/>
          </w:tcPr>
          <w:p w14:paraId="08FBC6C4"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30,1</w:t>
            </w:r>
          </w:p>
        </w:tc>
        <w:tc>
          <w:tcPr>
            <w:tcW w:w="785" w:type="pct"/>
            <w:shd w:val="clear" w:color="auto" w:fill="auto"/>
            <w:hideMark/>
          </w:tcPr>
          <w:p w14:paraId="3E0500E7"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23,9</w:t>
            </w:r>
          </w:p>
        </w:tc>
      </w:tr>
      <w:tr w:rsidR="005F26DA" w:rsidRPr="000E0422" w14:paraId="150A44BB" w14:textId="77777777" w:rsidTr="00563037">
        <w:trPr>
          <w:trHeight w:val="39"/>
          <w:tblHeader/>
          <w:jc w:val="right"/>
        </w:trPr>
        <w:tc>
          <w:tcPr>
            <w:tcW w:w="1854" w:type="pct"/>
            <w:shd w:val="clear" w:color="auto" w:fill="auto"/>
            <w:noWrap/>
            <w:vAlign w:val="center"/>
            <w:hideMark/>
          </w:tcPr>
          <w:p w14:paraId="6BE7C929"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добит правних лица</w:t>
            </w:r>
          </w:p>
        </w:tc>
        <w:tc>
          <w:tcPr>
            <w:tcW w:w="787" w:type="pct"/>
            <w:shd w:val="clear" w:color="auto" w:fill="auto"/>
            <w:hideMark/>
          </w:tcPr>
          <w:p w14:paraId="361D1F9C"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95,8</w:t>
            </w:r>
          </w:p>
        </w:tc>
        <w:tc>
          <w:tcPr>
            <w:tcW w:w="787" w:type="pct"/>
            <w:shd w:val="clear" w:color="auto" w:fill="auto"/>
            <w:hideMark/>
          </w:tcPr>
          <w:p w14:paraId="165264F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125,7</w:t>
            </w:r>
          </w:p>
        </w:tc>
        <w:tc>
          <w:tcPr>
            <w:tcW w:w="787" w:type="pct"/>
          </w:tcPr>
          <w:p w14:paraId="71F706A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31,2</w:t>
            </w:r>
          </w:p>
        </w:tc>
        <w:tc>
          <w:tcPr>
            <w:tcW w:w="785" w:type="pct"/>
            <w:shd w:val="clear" w:color="auto" w:fill="auto"/>
            <w:hideMark/>
          </w:tcPr>
          <w:p w14:paraId="2CC82398"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27,8</w:t>
            </w:r>
          </w:p>
        </w:tc>
      </w:tr>
      <w:tr w:rsidR="005F26DA" w:rsidRPr="000E0422" w14:paraId="4A4329DC" w14:textId="77777777" w:rsidTr="00563037">
        <w:trPr>
          <w:trHeight w:val="39"/>
          <w:tblHeader/>
          <w:jc w:val="right"/>
        </w:trPr>
        <w:tc>
          <w:tcPr>
            <w:tcW w:w="1854" w:type="pct"/>
            <w:shd w:val="clear" w:color="auto" w:fill="auto"/>
            <w:noWrap/>
            <w:vAlign w:val="center"/>
            <w:hideMark/>
          </w:tcPr>
          <w:p w14:paraId="45FB6A7D"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ПДВ</w:t>
            </w:r>
          </w:p>
        </w:tc>
        <w:tc>
          <w:tcPr>
            <w:tcW w:w="787" w:type="pct"/>
            <w:shd w:val="clear" w:color="auto" w:fill="auto"/>
            <w:hideMark/>
          </w:tcPr>
          <w:p w14:paraId="59310BDC"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398,8</w:t>
            </w:r>
          </w:p>
        </w:tc>
        <w:tc>
          <w:tcPr>
            <w:tcW w:w="787" w:type="pct"/>
            <w:shd w:val="clear" w:color="auto" w:fill="auto"/>
            <w:hideMark/>
          </w:tcPr>
          <w:p w14:paraId="49A0D79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473,9</w:t>
            </w:r>
          </w:p>
        </w:tc>
        <w:tc>
          <w:tcPr>
            <w:tcW w:w="787" w:type="pct"/>
          </w:tcPr>
          <w:p w14:paraId="3A7B2EB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18</w:t>
            </w:r>
            <w:r w:rsidR="005F26DA" w:rsidRPr="000E0422">
              <w:rPr>
                <w:rFonts w:eastAsia="Calibri" w:cs="Times New Roman"/>
                <w:sz w:val="18"/>
                <w:szCs w:val="18"/>
                <w:lang w:val="sr-Cyrl-RS"/>
              </w:rPr>
              <w:t>,8</w:t>
            </w:r>
          </w:p>
        </w:tc>
        <w:tc>
          <w:tcPr>
            <w:tcW w:w="785" w:type="pct"/>
            <w:shd w:val="clear" w:color="auto" w:fill="auto"/>
            <w:hideMark/>
          </w:tcPr>
          <w:p w14:paraId="22BD1108"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19,1</w:t>
            </w:r>
          </w:p>
        </w:tc>
      </w:tr>
      <w:tr w:rsidR="005F26DA" w:rsidRPr="000E0422" w14:paraId="525ABB27" w14:textId="77777777" w:rsidTr="00563037">
        <w:trPr>
          <w:trHeight w:val="39"/>
          <w:tblHeader/>
          <w:jc w:val="right"/>
        </w:trPr>
        <w:tc>
          <w:tcPr>
            <w:tcW w:w="1854" w:type="pct"/>
            <w:shd w:val="clear" w:color="auto" w:fill="auto"/>
            <w:noWrap/>
            <w:vAlign w:val="center"/>
            <w:hideMark/>
          </w:tcPr>
          <w:p w14:paraId="0DA9C17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Акцизе</w:t>
            </w:r>
          </w:p>
        </w:tc>
        <w:tc>
          <w:tcPr>
            <w:tcW w:w="787" w:type="pct"/>
            <w:shd w:val="clear" w:color="auto" w:fill="auto"/>
            <w:hideMark/>
          </w:tcPr>
          <w:p w14:paraId="4470360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221,8</w:t>
            </w:r>
          </w:p>
        </w:tc>
        <w:tc>
          <w:tcPr>
            <w:tcW w:w="787" w:type="pct"/>
            <w:shd w:val="clear" w:color="auto" w:fill="auto"/>
            <w:hideMark/>
          </w:tcPr>
          <w:p w14:paraId="1FD5295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243,7</w:t>
            </w:r>
          </w:p>
        </w:tc>
        <w:tc>
          <w:tcPr>
            <w:tcW w:w="787" w:type="pct"/>
          </w:tcPr>
          <w:p w14:paraId="4F9FF267"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9,9</w:t>
            </w:r>
          </w:p>
        </w:tc>
        <w:tc>
          <w:tcPr>
            <w:tcW w:w="785" w:type="pct"/>
            <w:shd w:val="clear" w:color="auto" w:fill="auto"/>
            <w:hideMark/>
          </w:tcPr>
          <w:p w14:paraId="462346AA"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7,6</w:t>
            </w:r>
          </w:p>
        </w:tc>
      </w:tr>
      <w:tr w:rsidR="005F26DA" w:rsidRPr="000E0422" w14:paraId="1ED2C2ED" w14:textId="77777777" w:rsidTr="00563037">
        <w:trPr>
          <w:trHeight w:val="39"/>
          <w:tblHeader/>
          <w:jc w:val="right"/>
        </w:trPr>
        <w:tc>
          <w:tcPr>
            <w:tcW w:w="1854" w:type="pct"/>
            <w:shd w:val="clear" w:color="auto" w:fill="auto"/>
            <w:noWrap/>
            <w:vAlign w:val="center"/>
            <w:hideMark/>
          </w:tcPr>
          <w:p w14:paraId="7DCAA75F"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Царине</w:t>
            </w:r>
          </w:p>
        </w:tc>
        <w:tc>
          <w:tcPr>
            <w:tcW w:w="787" w:type="pct"/>
            <w:shd w:val="clear" w:color="auto" w:fill="auto"/>
            <w:hideMark/>
          </w:tcPr>
          <w:p w14:paraId="6283F067"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37,3</w:t>
            </w:r>
          </w:p>
        </w:tc>
        <w:tc>
          <w:tcPr>
            <w:tcW w:w="787" w:type="pct"/>
            <w:shd w:val="clear" w:color="auto" w:fill="auto"/>
            <w:hideMark/>
          </w:tcPr>
          <w:p w14:paraId="7AAA9A3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43,5</w:t>
            </w:r>
          </w:p>
        </w:tc>
        <w:tc>
          <w:tcPr>
            <w:tcW w:w="787" w:type="pct"/>
          </w:tcPr>
          <w:p w14:paraId="7DEB71B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16,5</w:t>
            </w:r>
          </w:p>
        </w:tc>
        <w:tc>
          <w:tcPr>
            <w:tcW w:w="785" w:type="pct"/>
            <w:shd w:val="clear" w:color="auto" w:fill="auto"/>
            <w:hideMark/>
          </w:tcPr>
          <w:p w14:paraId="4C777BBC"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13,6</w:t>
            </w:r>
          </w:p>
        </w:tc>
      </w:tr>
      <w:tr w:rsidR="005F26DA" w:rsidRPr="000E0422" w14:paraId="57AC4515" w14:textId="77777777" w:rsidTr="00563037">
        <w:trPr>
          <w:trHeight w:val="39"/>
          <w:tblHeader/>
          <w:jc w:val="right"/>
        </w:trPr>
        <w:tc>
          <w:tcPr>
            <w:tcW w:w="1854" w:type="pct"/>
            <w:shd w:val="clear" w:color="auto" w:fill="auto"/>
            <w:noWrap/>
            <w:vAlign w:val="center"/>
            <w:hideMark/>
          </w:tcPr>
          <w:p w14:paraId="168CB99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порески приходи</w:t>
            </w:r>
          </w:p>
        </w:tc>
        <w:tc>
          <w:tcPr>
            <w:tcW w:w="787" w:type="pct"/>
            <w:shd w:val="clear" w:color="auto" w:fill="auto"/>
            <w:hideMark/>
          </w:tcPr>
          <w:p w14:paraId="2FB8B83D"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58,2</w:t>
            </w:r>
          </w:p>
        </w:tc>
        <w:tc>
          <w:tcPr>
            <w:tcW w:w="787" w:type="pct"/>
            <w:shd w:val="clear" w:color="auto" w:fill="auto"/>
            <w:hideMark/>
          </w:tcPr>
          <w:p w14:paraId="5C80C297"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66,4</w:t>
            </w:r>
          </w:p>
        </w:tc>
        <w:tc>
          <w:tcPr>
            <w:tcW w:w="787" w:type="pct"/>
          </w:tcPr>
          <w:p w14:paraId="52B6112B"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14,1</w:t>
            </w:r>
          </w:p>
        </w:tc>
        <w:tc>
          <w:tcPr>
            <w:tcW w:w="785" w:type="pct"/>
            <w:shd w:val="clear" w:color="auto" w:fill="auto"/>
            <w:hideMark/>
          </w:tcPr>
          <w:p w14:paraId="2DBD7132"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8,8</w:t>
            </w:r>
          </w:p>
        </w:tc>
      </w:tr>
      <w:tr w:rsidR="005F26DA" w:rsidRPr="000E0422" w14:paraId="42B6F38B" w14:textId="77777777" w:rsidTr="00563037">
        <w:trPr>
          <w:trHeight w:val="39"/>
          <w:tblHeader/>
          <w:jc w:val="right"/>
        </w:trPr>
        <w:tc>
          <w:tcPr>
            <w:tcW w:w="1854" w:type="pct"/>
            <w:shd w:val="clear" w:color="auto" w:fill="auto"/>
            <w:noWrap/>
            <w:vAlign w:val="center"/>
            <w:hideMark/>
          </w:tcPr>
          <w:p w14:paraId="06E32022"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Доприноси</w:t>
            </w:r>
          </w:p>
        </w:tc>
        <w:tc>
          <w:tcPr>
            <w:tcW w:w="787" w:type="pct"/>
            <w:shd w:val="clear" w:color="auto" w:fill="auto"/>
            <w:hideMark/>
          </w:tcPr>
          <w:p w14:paraId="5254623C"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463,2</w:t>
            </w:r>
          </w:p>
        </w:tc>
        <w:tc>
          <w:tcPr>
            <w:tcW w:w="787" w:type="pct"/>
            <w:shd w:val="clear" w:color="auto" w:fill="auto"/>
            <w:hideMark/>
          </w:tcPr>
          <w:p w14:paraId="0A49863F"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623,9</w:t>
            </w:r>
          </w:p>
        </w:tc>
        <w:tc>
          <w:tcPr>
            <w:tcW w:w="787" w:type="pct"/>
          </w:tcPr>
          <w:p w14:paraId="41AFC853"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34,7</w:t>
            </w:r>
          </w:p>
        </w:tc>
        <w:tc>
          <w:tcPr>
            <w:tcW w:w="785" w:type="pct"/>
            <w:shd w:val="clear" w:color="auto" w:fill="auto"/>
            <w:hideMark/>
          </w:tcPr>
          <w:p w14:paraId="0FA4DCCA"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26,9</w:t>
            </w:r>
          </w:p>
        </w:tc>
      </w:tr>
      <w:tr w:rsidR="005F26DA" w:rsidRPr="000E0422" w14:paraId="3F1D9035" w14:textId="77777777" w:rsidTr="00563037">
        <w:trPr>
          <w:trHeight w:val="39"/>
          <w:tblHeader/>
          <w:jc w:val="right"/>
        </w:trPr>
        <w:tc>
          <w:tcPr>
            <w:tcW w:w="1854" w:type="pct"/>
            <w:shd w:val="clear" w:color="auto" w:fill="auto"/>
            <w:noWrap/>
            <w:vAlign w:val="center"/>
            <w:hideMark/>
          </w:tcPr>
          <w:p w14:paraId="7FAA043E"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Непорески приходи</w:t>
            </w:r>
          </w:p>
        </w:tc>
        <w:tc>
          <w:tcPr>
            <w:tcW w:w="787" w:type="pct"/>
            <w:shd w:val="clear" w:color="auto" w:fill="auto"/>
            <w:hideMark/>
          </w:tcPr>
          <w:p w14:paraId="3871BC2E"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173,2</w:t>
            </w:r>
          </w:p>
        </w:tc>
        <w:tc>
          <w:tcPr>
            <w:tcW w:w="787" w:type="pct"/>
            <w:shd w:val="clear" w:color="auto" w:fill="auto"/>
            <w:hideMark/>
          </w:tcPr>
          <w:p w14:paraId="7E4CFBB6" w14:textId="77777777" w:rsidR="005F26DA" w:rsidRPr="0085116E" w:rsidRDefault="0085116E" w:rsidP="00563037">
            <w:pPr>
              <w:spacing w:after="0"/>
              <w:ind w:right="340"/>
              <w:jc w:val="right"/>
              <w:rPr>
                <w:rFonts w:eastAsia="Calibri" w:cs="Times New Roman"/>
                <w:sz w:val="18"/>
                <w:szCs w:val="18"/>
                <w:lang w:val="sr-Latn-RS"/>
              </w:rPr>
            </w:pPr>
            <w:r>
              <w:rPr>
                <w:rFonts w:eastAsia="Calibri" w:cs="Times New Roman"/>
                <w:sz w:val="18"/>
                <w:szCs w:val="18"/>
                <w:lang w:val="sr-Cyrl-RS"/>
              </w:rPr>
              <w:t>192</w:t>
            </w:r>
            <w:r>
              <w:rPr>
                <w:rFonts w:eastAsia="Calibri" w:cs="Times New Roman"/>
                <w:sz w:val="18"/>
                <w:szCs w:val="18"/>
                <w:lang w:val="sr-Latn-RS"/>
              </w:rPr>
              <w:t>,9</w:t>
            </w:r>
          </w:p>
        </w:tc>
        <w:tc>
          <w:tcPr>
            <w:tcW w:w="787" w:type="pct"/>
          </w:tcPr>
          <w:p w14:paraId="6A616E80"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11,4</w:t>
            </w:r>
          </w:p>
        </w:tc>
        <w:tc>
          <w:tcPr>
            <w:tcW w:w="785" w:type="pct"/>
            <w:shd w:val="clear" w:color="auto" w:fill="auto"/>
            <w:hideMark/>
          </w:tcPr>
          <w:p w14:paraId="36D9083B"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3,4</w:t>
            </w:r>
          </w:p>
        </w:tc>
      </w:tr>
      <w:tr w:rsidR="005F26DA" w:rsidRPr="000E0422" w14:paraId="1ECF0D65" w14:textId="77777777" w:rsidTr="00563037">
        <w:trPr>
          <w:trHeight w:val="39"/>
          <w:tblHeader/>
          <w:jc w:val="right"/>
        </w:trPr>
        <w:tc>
          <w:tcPr>
            <w:tcW w:w="1854" w:type="pct"/>
            <w:shd w:val="clear" w:color="auto" w:fill="auto"/>
            <w:noWrap/>
            <w:vAlign w:val="center"/>
            <w:hideMark/>
          </w:tcPr>
          <w:p w14:paraId="6C3213BF"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Донације</w:t>
            </w:r>
          </w:p>
        </w:tc>
        <w:tc>
          <w:tcPr>
            <w:tcW w:w="787" w:type="pct"/>
            <w:shd w:val="clear" w:color="auto" w:fill="auto"/>
            <w:hideMark/>
          </w:tcPr>
          <w:p w14:paraId="582C861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8,0</w:t>
            </w:r>
          </w:p>
        </w:tc>
        <w:tc>
          <w:tcPr>
            <w:tcW w:w="787" w:type="pct"/>
            <w:shd w:val="clear" w:color="auto" w:fill="auto"/>
            <w:hideMark/>
          </w:tcPr>
          <w:p w14:paraId="3F20016F"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11,9</w:t>
            </w:r>
          </w:p>
        </w:tc>
        <w:tc>
          <w:tcPr>
            <w:tcW w:w="787" w:type="pct"/>
          </w:tcPr>
          <w:p w14:paraId="49E3CF33"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49,5</w:t>
            </w:r>
          </w:p>
        </w:tc>
        <w:tc>
          <w:tcPr>
            <w:tcW w:w="785" w:type="pct"/>
            <w:shd w:val="clear" w:color="auto" w:fill="auto"/>
            <w:hideMark/>
          </w:tcPr>
          <w:p w14:paraId="4390A321"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79,7</w:t>
            </w:r>
          </w:p>
        </w:tc>
      </w:tr>
      <w:tr w:rsidR="005F26DA" w:rsidRPr="000E0422" w14:paraId="12E864BB" w14:textId="77777777" w:rsidTr="00563037">
        <w:trPr>
          <w:trHeight w:val="39"/>
          <w:tblHeader/>
          <w:jc w:val="right"/>
        </w:trPr>
        <w:tc>
          <w:tcPr>
            <w:tcW w:w="1854" w:type="pct"/>
            <w:shd w:val="clear" w:color="auto" w:fill="E7E6E6"/>
            <w:noWrap/>
            <w:vAlign w:val="center"/>
            <w:hideMark/>
          </w:tcPr>
          <w:p w14:paraId="08419E75"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РАСХОДИ</w:t>
            </w:r>
          </w:p>
        </w:tc>
        <w:tc>
          <w:tcPr>
            <w:tcW w:w="787" w:type="pct"/>
            <w:shd w:val="clear" w:color="auto" w:fill="E7E6E6"/>
            <w:hideMark/>
          </w:tcPr>
          <w:p w14:paraId="58689BE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1.961,0</w:t>
            </w:r>
          </w:p>
        </w:tc>
        <w:tc>
          <w:tcPr>
            <w:tcW w:w="787" w:type="pct"/>
            <w:shd w:val="clear" w:color="auto" w:fill="E7E6E6"/>
            <w:noWrap/>
            <w:hideMark/>
          </w:tcPr>
          <w:p w14:paraId="4032165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2.037,3</w:t>
            </w:r>
          </w:p>
        </w:tc>
        <w:tc>
          <w:tcPr>
            <w:tcW w:w="787" w:type="pct"/>
            <w:shd w:val="clear" w:color="auto" w:fill="E7E6E6"/>
          </w:tcPr>
          <w:p w14:paraId="5C8F88C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3,9</w:t>
            </w:r>
          </w:p>
        </w:tc>
        <w:tc>
          <w:tcPr>
            <w:tcW w:w="785" w:type="pct"/>
            <w:shd w:val="clear" w:color="auto" w:fill="E7E6E6"/>
            <w:hideMark/>
          </w:tcPr>
          <w:p w14:paraId="09801D15"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10,6</w:t>
            </w:r>
          </w:p>
        </w:tc>
      </w:tr>
      <w:tr w:rsidR="005F26DA" w:rsidRPr="000E0422" w14:paraId="2417D24A" w14:textId="77777777" w:rsidTr="00563037">
        <w:trPr>
          <w:trHeight w:val="39"/>
          <w:tblHeader/>
          <w:jc w:val="right"/>
        </w:trPr>
        <w:tc>
          <w:tcPr>
            <w:tcW w:w="1854" w:type="pct"/>
            <w:shd w:val="clear" w:color="auto" w:fill="auto"/>
            <w:noWrap/>
            <w:vAlign w:val="center"/>
            <w:hideMark/>
          </w:tcPr>
          <w:p w14:paraId="786D12F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расходи</w:t>
            </w:r>
          </w:p>
        </w:tc>
        <w:tc>
          <w:tcPr>
            <w:tcW w:w="787" w:type="pct"/>
            <w:shd w:val="clear" w:color="auto" w:fill="auto"/>
            <w:hideMark/>
          </w:tcPr>
          <w:p w14:paraId="0B7CFD4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1.758,0</w:t>
            </w:r>
          </w:p>
        </w:tc>
        <w:tc>
          <w:tcPr>
            <w:tcW w:w="787" w:type="pct"/>
            <w:shd w:val="clear" w:color="auto" w:fill="auto"/>
            <w:noWrap/>
            <w:hideMark/>
          </w:tcPr>
          <w:p w14:paraId="550C353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1.755,8</w:t>
            </w:r>
          </w:p>
        </w:tc>
        <w:tc>
          <w:tcPr>
            <w:tcW w:w="787" w:type="pct"/>
          </w:tcPr>
          <w:p w14:paraId="5062B5A8"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-0,1</w:t>
            </w:r>
          </w:p>
        </w:tc>
        <w:tc>
          <w:tcPr>
            <w:tcW w:w="785" w:type="pct"/>
            <w:shd w:val="clear" w:color="auto" w:fill="auto"/>
            <w:hideMark/>
          </w:tcPr>
          <w:p w14:paraId="75DFC1B9"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5,2</w:t>
            </w:r>
          </w:p>
        </w:tc>
      </w:tr>
      <w:tr w:rsidR="005F26DA" w:rsidRPr="000E0422" w14:paraId="2F740001" w14:textId="77777777" w:rsidTr="00563037">
        <w:trPr>
          <w:trHeight w:val="39"/>
          <w:tblHeader/>
          <w:jc w:val="right"/>
        </w:trPr>
        <w:tc>
          <w:tcPr>
            <w:tcW w:w="1854" w:type="pct"/>
            <w:shd w:val="clear" w:color="auto" w:fill="auto"/>
            <w:noWrap/>
            <w:vAlign w:val="center"/>
            <w:hideMark/>
          </w:tcPr>
          <w:p w14:paraId="40EB32EE"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Расходи за запослене</w:t>
            </w:r>
          </w:p>
        </w:tc>
        <w:tc>
          <w:tcPr>
            <w:tcW w:w="787" w:type="pct"/>
            <w:shd w:val="clear" w:color="auto" w:fill="auto"/>
            <w:hideMark/>
          </w:tcPr>
          <w:p w14:paraId="1A0DAA5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426,2</w:t>
            </w:r>
          </w:p>
        </w:tc>
        <w:tc>
          <w:tcPr>
            <w:tcW w:w="787" w:type="pct"/>
            <w:shd w:val="clear" w:color="auto" w:fill="auto"/>
            <w:hideMark/>
          </w:tcPr>
          <w:p w14:paraId="194C388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466,4</w:t>
            </w:r>
          </w:p>
        </w:tc>
        <w:tc>
          <w:tcPr>
            <w:tcW w:w="787" w:type="pct"/>
          </w:tcPr>
          <w:p w14:paraId="1C205421"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9</w:t>
            </w:r>
            <w:r w:rsidR="005F26DA" w:rsidRPr="000E0422">
              <w:rPr>
                <w:rFonts w:eastAsia="Calibri" w:cs="Times New Roman"/>
                <w:sz w:val="18"/>
                <w:szCs w:val="18"/>
                <w:lang w:val="sr-Cyrl-RS"/>
              </w:rPr>
              <w:t>,4</w:t>
            </w:r>
          </w:p>
        </w:tc>
        <w:tc>
          <w:tcPr>
            <w:tcW w:w="785" w:type="pct"/>
            <w:shd w:val="clear" w:color="auto" w:fill="auto"/>
            <w:hideMark/>
          </w:tcPr>
          <w:p w14:paraId="1F48305C"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8,6</w:t>
            </w:r>
          </w:p>
        </w:tc>
      </w:tr>
      <w:tr w:rsidR="005F26DA" w:rsidRPr="000E0422" w14:paraId="73C97217" w14:textId="77777777" w:rsidTr="00563037">
        <w:trPr>
          <w:trHeight w:val="39"/>
          <w:tblHeader/>
          <w:jc w:val="right"/>
        </w:trPr>
        <w:tc>
          <w:tcPr>
            <w:tcW w:w="1854" w:type="pct"/>
            <w:shd w:val="clear" w:color="auto" w:fill="auto"/>
            <w:noWrap/>
            <w:vAlign w:val="center"/>
            <w:hideMark/>
          </w:tcPr>
          <w:p w14:paraId="10310440"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Куповина робе и услуга</w:t>
            </w:r>
          </w:p>
        </w:tc>
        <w:tc>
          <w:tcPr>
            <w:tcW w:w="787" w:type="pct"/>
            <w:shd w:val="clear" w:color="auto" w:fill="auto"/>
            <w:hideMark/>
          </w:tcPr>
          <w:p w14:paraId="437CD59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305,0</w:t>
            </w:r>
          </w:p>
        </w:tc>
        <w:tc>
          <w:tcPr>
            <w:tcW w:w="787" w:type="pct"/>
            <w:shd w:val="clear" w:color="auto" w:fill="auto"/>
            <w:hideMark/>
          </w:tcPr>
          <w:p w14:paraId="271A6FCD"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325,7</w:t>
            </w:r>
          </w:p>
        </w:tc>
        <w:tc>
          <w:tcPr>
            <w:tcW w:w="787" w:type="pct"/>
          </w:tcPr>
          <w:p w14:paraId="3C3FC791"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6,8</w:t>
            </w:r>
          </w:p>
        </w:tc>
        <w:tc>
          <w:tcPr>
            <w:tcW w:w="785" w:type="pct"/>
            <w:shd w:val="clear" w:color="auto" w:fill="auto"/>
            <w:hideMark/>
          </w:tcPr>
          <w:p w14:paraId="75D7D313"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12,5</w:t>
            </w:r>
          </w:p>
        </w:tc>
      </w:tr>
      <w:tr w:rsidR="005F26DA" w:rsidRPr="000E0422" w14:paraId="6318D53D" w14:textId="77777777" w:rsidTr="00563037">
        <w:trPr>
          <w:trHeight w:val="39"/>
          <w:tblHeader/>
          <w:jc w:val="right"/>
        </w:trPr>
        <w:tc>
          <w:tcPr>
            <w:tcW w:w="1854" w:type="pct"/>
            <w:shd w:val="clear" w:color="auto" w:fill="auto"/>
            <w:noWrap/>
            <w:vAlign w:val="center"/>
            <w:hideMark/>
          </w:tcPr>
          <w:p w14:paraId="122AD5A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Отплата камата</w:t>
            </w:r>
          </w:p>
        </w:tc>
        <w:tc>
          <w:tcPr>
            <w:tcW w:w="787" w:type="pct"/>
            <w:shd w:val="clear" w:color="auto" w:fill="auto"/>
            <w:hideMark/>
          </w:tcPr>
          <w:p w14:paraId="1053B79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87,0</w:t>
            </w:r>
          </w:p>
        </w:tc>
        <w:tc>
          <w:tcPr>
            <w:tcW w:w="787" w:type="pct"/>
            <w:shd w:val="clear" w:color="auto" w:fill="auto"/>
            <w:hideMark/>
          </w:tcPr>
          <w:p w14:paraId="76B71E1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98,1</w:t>
            </w:r>
          </w:p>
        </w:tc>
        <w:tc>
          <w:tcPr>
            <w:tcW w:w="787" w:type="pct"/>
          </w:tcPr>
          <w:p w14:paraId="6A09D9A1"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12,7</w:t>
            </w:r>
          </w:p>
        </w:tc>
        <w:tc>
          <w:tcPr>
            <w:tcW w:w="785" w:type="pct"/>
            <w:shd w:val="clear" w:color="auto" w:fill="auto"/>
            <w:hideMark/>
          </w:tcPr>
          <w:p w14:paraId="16EED2C7"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3,3</w:t>
            </w:r>
          </w:p>
        </w:tc>
      </w:tr>
      <w:tr w:rsidR="005F26DA" w:rsidRPr="000E0422" w14:paraId="08532DC3" w14:textId="77777777" w:rsidTr="00563037">
        <w:trPr>
          <w:trHeight w:val="39"/>
          <w:tblHeader/>
          <w:jc w:val="right"/>
        </w:trPr>
        <w:tc>
          <w:tcPr>
            <w:tcW w:w="1854" w:type="pct"/>
            <w:shd w:val="clear" w:color="auto" w:fill="auto"/>
            <w:noWrap/>
            <w:vAlign w:val="center"/>
            <w:hideMark/>
          </w:tcPr>
          <w:p w14:paraId="4AB960CC"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Субвенције</w:t>
            </w:r>
          </w:p>
        </w:tc>
        <w:tc>
          <w:tcPr>
            <w:tcW w:w="787" w:type="pct"/>
            <w:shd w:val="clear" w:color="auto" w:fill="auto"/>
            <w:hideMark/>
          </w:tcPr>
          <w:p w14:paraId="44C35191"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209,1</w:t>
            </w:r>
          </w:p>
        </w:tc>
        <w:tc>
          <w:tcPr>
            <w:tcW w:w="787" w:type="pct"/>
            <w:shd w:val="clear" w:color="auto" w:fill="auto"/>
            <w:hideMark/>
          </w:tcPr>
          <w:p w14:paraId="141D1141"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142,2</w:t>
            </w:r>
          </w:p>
        </w:tc>
        <w:tc>
          <w:tcPr>
            <w:tcW w:w="787" w:type="pct"/>
          </w:tcPr>
          <w:p w14:paraId="3A2B9B78"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-32,0</w:t>
            </w:r>
          </w:p>
        </w:tc>
        <w:tc>
          <w:tcPr>
            <w:tcW w:w="785" w:type="pct"/>
            <w:shd w:val="clear" w:color="auto" w:fill="auto"/>
            <w:hideMark/>
          </w:tcPr>
          <w:p w14:paraId="35F80E8E"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-15,3</w:t>
            </w:r>
          </w:p>
        </w:tc>
      </w:tr>
      <w:tr w:rsidR="005F26DA" w:rsidRPr="000E0422" w14:paraId="3B282E0A" w14:textId="77777777" w:rsidTr="00563037">
        <w:trPr>
          <w:trHeight w:val="39"/>
          <w:tblHeader/>
          <w:jc w:val="right"/>
        </w:trPr>
        <w:tc>
          <w:tcPr>
            <w:tcW w:w="1854" w:type="pct"/>
            <w:shd w:val="clear" w:color="auto" w:fill="auto"/>
            <w:noWrap/>
            <w:vAlign w:val="center"/>
            <w:hideMark/>
          </w:tcPr>
          <w:p w14:paraId="7A0F52F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Социјална помоћ и трансфери</w:t>
            </w:r>
          </w:p>
        </w:tc>
        <w:tc>
          <w:tcPr>
            <w:tcW w:w="787" w:type="pct"/>
            <w:shd w:val="clear" w:color="auto" w:fill="auto"/>
            <w:hideMark/>
          </w:tcPr>
          <w:p w14:paraId="38EE2E9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593,9</w:t>
            </w:r>
          </w:p>
        </w:tc>
        <w:tc>
          <w:tcPr>
            <w:tcW w:w="787" w:type="pct"/>
            <w:shd w:val="clear" w:color="auto" w:fill="auto"/>
            <w:hideMark/>
          </w:tcPr>
          <w:p w14:paraId="247D0E93"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633,4</w:t>
            </w:r>
          </w:p>
        </w:tc>
        <w:tc>
          <w:tcPr>
            <w:tcW w:w="787" w:type="pct"/>
          </w:tcPr>
          <w:p w14:paraId="6CA4E315"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6,7</w:t>
            </w:r>
          </w:p>
        </w:tc>
        <w:tc>
          <w:tcPr>
            <w:tcW w:w="785" w:type="pct"/>
            <w:shd w:val="clear" w:color="auto" w:fill="auto"/>
            <w:hideMark/>
          </w:tcPr>
          <w:p w14:paraId="0CA899FD"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6,4</w:t>
            </w:r>
          </w:p>
        </w:tc>
      </w:tr>
      <w:tr w:rsidR="005F26DA" w:rsidRPr="000E0422" w14:paraId="4C23A72B" w14:textId="77777777" w:rsidTr="00563037">
        <w:trPr>
          <w:trHeight w:val="39"/>
          <w:tblHeader/>
          <w:jc w:val="right"/>
        </w:trPr>
        <w:tc>
          <w:tcPr>
            <w:tcW w:w="1854" w:type="pct"/>
            <w:shd w:val="clear" w:color="auto" w:fill="auto"/>
            <w:noWrap/>
            <w:vAlign w:val="center"/>
            <w:hideMark/>
          </w:tcPr>
          <w:p w14:paraId="0F7B1924"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од чега пензије</w:t>
            </w:r>
          </w:p>
        </w:tc>
        <w:tc>
          <w:tcPr>
            <w:tcW w:w="787" w:type="pct"/>
            <w:shd w:val="clear" w:color="auto" w:fill="auto"/>
            <w:hideMark/>
          </w:tcPr>
          <w:p w14:paraId="008035F3"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437,3</w:t>
            </w:r>
          </w:p>
        </w:tc>
        <w:tc>
          <w:tcPr>
            <w:tcW w:w="787" w:type="pct"/>
            <w:shd w:val="clear" w:color="auto" w:fill="auto"/>
            <w:hideMark/>
          </w:tcPr>
          <w:p w14:paraId="51A263C6"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456,7</w:t>
            </w:r>
          </w:p>
        </w:tc>
        <w:tc>
          <w:tcPr>
            <w:tcW w:w="787" w:type="pct"/>
          </w:tcPr>
          <w:p w14:paraId="5DDA7B1F"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4,4</w:t>
            </w:r>
          </w:p>
        </w:tc>
        <w:tc>
          <w:tcPr>
            <w:tcW w:w="785" w:type="pct"/>
            <w:shd w:val="clear" w:color="auto" w:fill="auto"/>
            <w:hideMark/>
          </w:tcPr>
          <w:p w14:paraId="21B2318D"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4,9</w:t>
            </w:r>
          </w:p>
        </w:tc>
      </w:tr>
      <w:tr w:rsidR="005F26DA" w:rsidRPr="000E0422" w14:paraId="510B864C" w14:textId="77777777" w:rsidTr="00563037">
        <w:trPr>
          <w:trHeight w:val="39"/>
          <w:tblHeader/>
          <w:jc w:val="right"/>
        </w:trPr>
        <w:tc>
          <w:tcPr>
            <w:tcW w:w="1854" w:type="pct"/>
            <w:shd w:val="clear" w:color="auto" w:fill="auto"/>
            <w:noWrap/>
            <w:vAlign w:val="center"/>
            <w:hideMark/>
          </w:tcPr>
          <w:p w14:paraId="0ED0F84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текући расходи</w:t>
            </w:r>
          </w:p>
        </w:tc>
        <w:tc>
          <w:tcPr>
            <w:tcW w:w="787" w:type="pct"/>
            <w:shd w:val="clear" w:color="auto" w:fill="auto"/>
            <w:hideMark/>
          </w:tcPr>
          <w:p w14:paraId="01D0DB7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136,7</w:t>
            </w:r>
          </w:p>
        </w:tc>
        <w:tc>
          <w:tcPr>
            <w:tcW w:w="787" w:type="pct"/>
            <w:shd w:val="clear" w:color="auto" w:fill="auto"/>
            <w:hideMark/>
          </w:tcPr>
          <w:p w14:paraId="447F1AE6"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90,0</w:t>
            </w:r>
          </w:p>
        </w:tc>
        <w:tc>
          <w:tcPr>
            <w:tcW w:w="787" w:type="pct"/>
          </w:tcPr>
          <w:p w14:paraId="5B37C0C6"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-34,2</w:t>
            </w:r>
          </w:p>
        </w:tc>
        <w:tc>
          <w:tcPr>
            <w:tcW w:w="785" w:type="pct"/>
            <w:shd w:val="clear" w:color="auto" w:fill="auto"/>
            <w:hideMark/>
          </w:tcPr>
          <w:p w14:paraId="04EB46E6"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-0,2</w:t>
            </w:r>
          </w:p>
        </w:tc>
      </w:tr>
      <w:tr w:rsidR="005F26DA" w:rsidRPr="000E0422" w14:paraId="312FD36A" w14:textId="77777777" w:rsidTr="00563037">
        <w:trPr>
          <w:trHeight w:val="39"/>
          <w:tblHeader/>
          <w:jc w:val="right"/>
        </w:trPr>
        <w:tc>
          <w:tcPr>
            <w:tcW w:w="1854" w:type="pct"/>
            <w:shd w:val="clear" w:color="auto" w:fill="auto"/>
            <w:noWrap/>
            <w:vAlign w:val="center"/>
            <w:hideMark/>
          </w:tcPr>
          <w:p w14:paraId="422BF9E9"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Капитални расходи</w:t>
            </w:r>
          </w:p>
        </w:tc>
        <w:tc>
          <w:tcPr>
            <w:tcW w:w="787" w:type="pct"/>
            <w:shd w:val="clear" w:color="auto" w:fill="auto"/>
            <w:hideMark/>
          </w:tcPr>
          <w:p w14:paraId="2C1F337E"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174,8</w:t>
            </w:r>
          </w:p>
        </w:tc>
        <w:tc>
          <w:tcPr>
            <w:tcW w:w="787" w:type="pct"/>
            <w:shd w:val="clear" w:color="auto" w:fill="auto"/>
            <w:hideMark/>
          </w:tcPr>
          <w:p w14:paraId="44072611"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264,5</w:t>
            </w:r>
          </w:p>
        </w:tc>
        <w:tc>
          <w:tcPr>
            <w:tcW w:w="787" w:type="pct"/>
          </w:tcPr>
          <w:p w14:paraId="614C23FA"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51,3</w:t>
            </w:r>
          </w:p>
        </w:tc>
        <w:tc>
          <w:tcPr>
            <w:tcW w:w="785" w:type="pct"/>
            <w:shd w:val="clear" w:color="auto" w:fill="auto"/>
            <w:hideMark/>
          </w:tcPr>
          <w:p w14:paraId="410D2ACD"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63,2</w:t>
            </w:r>
          </w:p>
        </w:tc>
      </w:tr>
      <w:tr w:rsidR="005F26DA" w:rsidRPr="000E0422" w14:paraId="1E96C235" w14:textId="77777777" w:rsidTr="00563037">
        <w:trPr>
          <w:trHeight w:val="39"/>
          <w:tblHeader/>
          <w:jc w:val="right"/>
        </w:trPr>
        <w:tc>
          <w:tcPr>
            <w:tcW w:w="1854" w:type="pct"/>
            <w:shd w:val="clear" w:color="auto" w:fill="auto"/>
            <w:noWrap/>
            <w:vAlign w:val="center"/>
            <w:hideMark/>
          </w:tcPr>
          <w:p w14:paraId="12CE544A"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Нето буџетске позајмице</w:t>
            </w:r>
          </w:p>
        </w:tc>
        <w:tc>
          <w:tcPr>
            <w:tcW w:w="787" w:type="pct"/>
            <w:shd w:val="clear" w:color="auto" w:fill="auto"/>
            <w:hideMark/>
          </w:tcPr>
          <w:p w14:paraId="1084590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22,5</w:t>
            </w:r>
          </w:p>
        </w:tc>
        <w:tc>
          <w:tcPr>
            <w:tcW w:w="787" w:type="pct"/>
            <w:shd w:val="clear" w:color="auto" w:fill="auto"/>
            <w:hideMark/>
          </w:tcPr>
          <w:p w14:paraId="40571EBB"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11,6</w:t>
            </w:r>
          </w:p>
        </w:tc>
        <w:tc>
          <w:tcPr>
            <w:tcW w:w="787" w:type="pct"/>
          </w:tcPr>
          <w:p w14:paraId="6942BB95"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-48,5</w:t>
            </w:r>
          </w:p>
        </w:tc>
        <w:tc>
          <w:tcPr>
            <w:tcW w:w="785" w:type="pct"/>
            <w:shd w:val="clear" w:color="auto" w:fill="auto"/>
            <w:hideMark/>
          </w:tcPr>
          <w:p w14:paraId="40232031"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-49,5</w:t>
            </w:r>
          </w:p>
        </w:tc>
      </w:tr>
      <w:tr w:rsidR="005F26DA" w:rsidRPr="000E0422" w14:paraId="42642171" w14:textId="77777777" w:rsidTr="00563037">
        <w:trPr>
          <w:trHeight w:val="39"/>
          <w:tblHeader/>
          <w:jc w:val="right"/>
        </w:trPr>
        <w:tc>
          <w:tcPr>
            <w:tcW w:w="1854" w:type="pct"/>
            <w:shd w:val="clear" w:color="auto" w:fill="auto"/>
            <w:noWrap/>
            <w:vAlign w:val="center"/>
            <w:hideMark/>
          </w:tcPr>
          <w:p w14:paraId="18A52CE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Активиране гаранције</w:t>
            </w:r>
          </w:p>
        </w:tc>
        <w:tc>
          <w:tcPr>
            <w:tcW w:w="787" w:type="pct"/>
            <w:shd w:val="clear" w:color="auto" w:fill="auto"/>
            <w:hideMark/>
          </w:tcPr>
          <w:p w14:paraId="13B8052A"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5,7</w:t>
            </w:r>
          </w:p>
        </w:tc>
        <w:tc>
          <w:tcPr>
            <w:tcW w:w="787" w:type="pct"/>
            <w:shd w:val="clear" w:color="auto" w:fill="auto"/>
            <w:hideMark/>
          </w:tcPr>
          <w:p w14:paraId="15AAEA0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5,4</w:t>
            </w:r>
          </w:p>
        </w:tc>
        <w:tc>
          <w:tcPr>
            <w:tcW w:w="787" w:type="pct"/>
          </w:tcPr>
          <w:p w14:paraId="58E12393"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-5,3</w:t>
            </w:r>
          </w:p>
        </w:tc>
        <w:tc>
          <w:tcPr>
            <w:tcW w:w="785" w:type="pct"/>
            <w:shd w:val="clear" w:color="auto" w:fill="auto"/>
            <w:hideMark/>
          </w:tcPr>
          <w:p w14:paraId="501EA31B"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9,7</w:t>
            </w:r>
          </w:p>
        </w:tc>
      </w:tr>
      <w:tr w:rsidR="005F26DA" w:rsidRPr="000E0422" w14:paraId="6E4EBE57" w14:textId="77777777" w:rsidTr="00563037">
        <w:trPr>
          <w:trHeight w:val="39"/>
          <w:tblHeader/>
          <w:jc w:val="right"/>
        </w:trPr>
        <w:tc>
          <w:tcPr>
            <w:tcW w:w="1854" w:type="pct"/>
            <w:tcBorders>
              <w:bottom w:val="single" w:sz="4" w:space="0" w:color="002060"/>
            </w:tcBorders>
            <w:shd w:val="clear" w:color="auto" w:fill="E7E6E6"/>
            <w:noWrap/>
            <w:vAlign w:val="center"/>
            <w:hideMark/>
          </w:tcPr>
          <w:p w14:paraId="1663D5B4"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Фискални резултат</w:t>
            </w:r>
          </w:p>
        </w:tc>
        <w:tc>
          <w:tcPr>
            <w:tcW w:w="787" w:type="pct"/>
            <w:tcBorders>
              <w:bottom w:val="single" w:sz="4" w:space="0" w:color="002060"/>
            </w:tcBorders>
            <w:shd w:val="clear" w:color="auto" w:fill="E7E6E6"/>
            <w:hideMark/>
          </w:tcPr>
          <w:p w14:paraId="0F0A1237"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-360,8</w:t>
            </w:r>
          </w:p>
        </w:tc>
        <w:tc>
          <w:tcPr>
            <w:tcW w:w="787" w:type="pct"/>
            <w:tcBorders>
              <w:bottom w:val="single" w:sz="4" w:space="0" w:color="002060"/>
            </w:tcBorders>
            <w:shd w:val="clear" w:color="auto" w:fill="E7E6E6"/>
            <w:hideMark/>
          </w:tcPr>
          <w:p w14:paraId="106987D3"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-68,0</w:t>
            </w:r>
          </w:p>
        </w:tc>
        <w:tc>
          <w:tcPr>
            <w:tcW w:w="787" w:type="pct"/>
            <w:tcBorders>
              <w:bottom w:val="single" w:sz="4" w:space="0" w:color="002060"/>
            </w:tcBorders>
            <w:shd w:val="clear" w:color="auto" w:fill="E7E6E6"/>
          </w:tcPr>
          <w:p w14:paraId="3B8C53D6" w14:textId="77777777" w:rsidR="005F26DA" w:rsidRPr="000E0422" w:rsidRDefault="005F26DA" w:rsidP="00563037">
            <w:pPr>
              <w:spacing w:after="0"/>
              <w:ind w:right="737"/>
              <w:jc w:val="right"/>
              <w:rPr>
                <w:rFonts w:eastAsia="Calibri" w:cs="Times New Roman"/>
                <w:sz w:val="18"/>
                <w:szCs w:val="18"/>
                <w:lang w:val="sr-Cyrl-RS"/>
              </w:rPr>
            </w:pPr>
          </w:p>
        </w:tc>
        <w:tc>
          <w:tcPr>
            <w:tcW w:w="785" w:type="pct"/>
            <w:tcBorders>
              <w:bottom w:val="single" w:sz="4" w:space="0" w:color="002060"/>
            </w:tcBorders>
            <w:shd w:val="clear" w:color="auto" w:fill="E7E6E6"/>
            <w:hideMark/>
          </w:tcPr>
          <w:p w14:paraId="11791CB3" w14:textId="77777777" w:rsidR="005F26DA" w:rsidRPr="000E0422" w:rsidRDefault="005F26DA" w:rsidP="00563037">
            <w:pPr>
              <w:spacing w:after="0"/>
              <w:ind w:right="737"/>
              <w:jc w:val="right"/>
              <w:rPr>
                <w:rFonts w:eastAsia="Calibri" w:cs="Times New Roman"/>
                <w:sz w:val="18"/>
                <w:szCs w:val="18"/>
                <w:lang w:val="sr-Cyrl-RS"/>
              </w:rPr>
            </w:pPr>
          </w:p>
        </w:tc>
      </w:tr>
    </w:tbl>
    <w:p w14:paraId="5DE8FC1A" w14:textId="77777777" w:rsidR="005F26DA" w:rsidRPr="000E0422" w:rsidRDefault="005F26DA" w:rsidP="00563037">
      <w:pPr>
        <w:tabs>
          <w:tab w:val="left" w:pos="623"/>
        </w:tabs>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14:paraId="4E1C4BE2"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lastRenderedPageBreak/>
        <w:t>Стање доцњи (преко 60 дана кашњења)* буџетских корисника и организација обавезног социјалног осигурања последњег дана септембра 2021. године износило је 2,7 млрд динара (око 0,04% БДП), и незнатно је повећано је у односу на крај 2020. године. Корисници буџета и ЈП „Путеви Србије” креирали су доцње у плаћању од 1,3 млрд динара, док је стање доцњи организација обавезног социјалног осигурања 1,4 млрд динара.</w:t>
      </w:r>
    </w:p>
    <w:p w14:paraId="184ADD51" w14:textId="77777777"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Табела 7</w:t>
      </w:r>
      <w:r w:rsidR="005F26DA" w:rsidRPr="000E0422">
        <w:rPr>
          <w:rFonts w:eastAsia="MS PGothic" w:cs="Times New Roman"/>
          <w:szCs w:val="24"/>
          <w:lang w:val="sr-Cyrl-RS" w:eastAsia="ja-JP"/>
        </w:rPr>
        <w:t>. Стање доцњи буџетских корисника и ООСО, крај 2020. године и септембар 2021. године, у млрд динара</w:t>
      </w:r>
    </w:p>
    <w:tbl>
      <w:tblPr>
        <w:tblStyle w:val="LightShading-Accent3352"/>
        <w:tblpPr w:leftFromText="180" w:rightFromText="180" w:vertAnchor="text" w:horzAnchor="margin" w:tblpY="56"/>
        <w:tblW w:w="4879" w:type="pct"/>
        <w:tblBorders>
          <w:top w:val="none" w:sz="0" w:space="0" w:color="auto"/>
          <w:bottom w:val="none" w:sz="0" w:space="0" w:color="auto"/>
        </w:tblBorders>
        <w:tblLook w:val="04A0" w:firstRow="1" w:lastRow="0" w:firstColumn="1" w:lastColumn="0" w:noHBand="0" w:noVBand="1"/>
      </w:tblPr>
      <w:tblGrid>
        <w:gridCol w:w="5256"/>
        <w:gridCol w:w="1776"/>
        <w:gridCol w:w="1776"/>
      </w:tblGrid>
      <w:tr w:rsidR="005F26DA" w:rsidRPr="000E0422" w14:paraId="6B54B39C" w14:textId="77777777" w:rsidTr="00563037">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002060"/>
            </w:tcBorders>
            <w:shd w:val="clear" w:color="auto" w:fill="auto"/>
            <w:noWrap/>
            <w:hideMark/>
          </w:tcPr>
          <w:p w14:paraId="0B193DA7" w14:textId="77777777" w:rsidR="005F26DA" w:rsidRPr="000E0422" w:rsidRDefault="005F26DA" w:rsidP="00563037">
            <w:pPr>
              <w:spacing w:after="0"/>
              <w:rPr>
                <w:color w:val="auto"/>
                <w:sz w:val="18"/>
                <w:szCs w:val="18"/>
                <w:lang w:val="sr-Cyrl-RS"/>
              </w:rPr>
            </w:pPr>
            <w:r w:rsidRPr="000E0422">
              <w:rPr>
                <w:color w:val="auto"/>
                <w:sz w:val="18"/>
                <w:szCs w:val="18"/>
                <w:lang w:val="sr-Cyrl-RS"/>
              </w:rPr>
              <w:t> </w:t>
            </w:r>
          </w:p>
        </w:tc>
        <w:tc>
          <w:tcPr>
            <w:tcW w:w="1008" w:type="pct"/>
            <w:tcBorders>
              <w:top w:val="single" w:sz="4" w:space="0" w:color="002060"/>
              <w:bottom w:val="single" w:sz="4" w:space="0" w:color="002060"/>
            </w:tcBorders>
            <w:shd w:val="clear" w:color="auto" w:fill="auto"/>
            <w:vAlign w:val="center"/>
          </w:tcPr>
          <w:p w14:paraId="625EDF3F" w14:textId="77777777" w:rsidR="005F26DA" w:rsidRPr="000E0422" w:rsidRDefault="005F26DA" w:rsidP="00563037">
            <w:pPr>
              <w:spacing w:after="0"/>
              <w:jc w:val="right"/>
              <w:cnfStyle w:val="100000000000" w:firstRow="1"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31.12.2020.</w:t>
            </w:r>
          </w:p>
        </w:tc>
        <w:tc>
          <w:tcPr>
            <w:tcW w:w="1008" w:type="pct"/>
            <w:tcBorders>
              <w:top w:val="single" w:sz="4" w:space="0" w:color="002060"/>
              <w:bottom w:val="single" w:sz="4" w:space="0" w:color="002060"/>
            </w:tcBorders>
            <w:shd w:val="clear" w:color="auto" w:fill="auto"/>
            <w:vAlign w:val="center"/>
          </w:tcPr>
          <w:p w14:paraId="6CA75AD6" w14:textId="77777777" w:rsidR="005F26DA" w:rsidRPr="000E0422" w:rsidRDefault="00653585" w:rsidP="00563037">
            <w:pPr>
              <w:spacing w:after="0"/>
              <w:jc w:val="right"/>
              <w:cnfStyle w:val="100000000000" w:firstRow="1" w:lastRow="0" w:firstColumn="0" w:lastColumn="0" w:oddVBand="0" w:evenVBand="0" w:oddHBand="0" w:evenHBand="0" w:firstRowFirstColumn="0" w:firstRowLastColumn="0" w:lastRowFirstColumn="0" w:lastRowLastColumn="0"/>
              <w:rPr>
                <w:color w:val="auto"/>
                <w:sz w:val="18"/>
                <w:szCs w:val="18"/>
                <w:lang w:val="sr-Cyrl-RS"/>
              </w:rPr>
            </w:pPr>
            <w:r>
              <w:rPr>
                <w:color w:val="auto"/>
                <w:sz w:val="18"/>
                <w:szCs w:val="18"/>
                <w:lang w:val="sr-Cyrl-RS"/>
              </w:rPr>
              <w:t>30</w:t>
            </w:r>
            <w:r w:rsidR="005F26DA" w:rsidRPr="000E0422">
              <w:rPr>
                <w:color w:val="auto"/>
                <w:sz w:val="18"/>
                <w:szCs w:val="18"/>
                <w:lang w:val="sr-Cyrl-RS"/>
              </w:rPr>
              <w:t>.09.2021.</w:t>
            </w:r>
          </w:p>
        </w:tc>
      </w:tr>
      <w:tr w:rsidR="005F26DA" w:rsidRPr="000E0422" w14:paraId="4F39F8EB" w14:textId="77777777" w:rsidTr="0056303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2B7B48DB" w14:textId="77777777" w:rsidR="005F26DA" w:rsidRPr="000E0422" w:rsidRDefault="005F26DA" w:rsidP="00563037">
            <w:pPr>
              <w:spacing w:after="0"/>
              <w:rPr>
                <w:color w:val="auto"/>
                <w:sz w:val="18"/>
                <w:szCs w:val="18"/>
                <w:lang w:val="sr-Cyrl-RS"/>
              </w:rPr>
            </w:pPr>
            <w:r w:rsidRPr="000E0422">
              <w:rPr>
                <w:color w:val="auto"/>
                <w:sz w:val="18"/>
                <w:szCs w:val="18"/>
                <w:lang w:val="sr-Cyrl-RS"/>
              </w:rPr>
              <w:t xml:space="preserve">Буџетски корисници и ЈП „Путеви Србије” </w:t>
            </w:r>
          </w:p>
        </w:tc>
        <w:tc>
          <w:tcPr>
            <w:tcW w:w="1008" w:type="pct"/>
            <w:tcBorders>
              <w:top w:val="single" w:sz="4" w:space="0" w:color="002060"/>
            </w:tcBorders>
            <w:shd w:val="clear" w:color="auto" w:fill="auto"/>
            <w:vAlign w:val="center"/>
          </w:tcPr>
          <w:p w14:paraId="33A6C3AA"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1,2</w:t>
            </w:r>
          </w:p>
        </w:tc>
        <w:tc>
          <w:tcPr>
            <w:tcW w:w="1008" w:type="pct"/>
            <w:tcBorders>
              <w:top w:val="single" w:sz="4" w:space="0" w:color="002060"/>
            </w:tcBorders>
            <w:shd w:val="clear" w:color="auto" w:fill="auto"/>
            <w:vAlign w:val="center"/>
          </w:tcPr>
          <w:p w14:paraId="1FAD1CE3"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1,3</w:t>
            </w:r>
          </w:p>
        </w:tc>
      </w:tr>
      <w:tr w:rsidR="005F26DA" w:rsidRPr="000E0422" w14:paraId="67DBCCA4" w14:textId="77777777" w:rsidTr="00563037">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7E0F4202" w14:textId="77777777" w:rsidR="005F26DA" w:rsidRPr="000E0422" w:rsidRDefault="005F26DA" w:rsidP="00563037">
            <w:pPr>
              <w:spacing w:after="0"/>
              <w:rPr>
                <w:color w:val="auto"/>
                <w:sz w:val="18"/>
                <w:szCs w:val="18"/>
                <w:lang w:val="sr-Cyrl-RS"/>
              </w:rPr>
            </w:pPr>
            <w:r w:rsidRPr="000E0422">
              <w:rPr>
                <w:color w:val="auto"/>
                <w:sz w:val="18"/>
                <w:szCs w:val="18"/>
                <w:lang w:val="sr-Cyrl-RS"/>
              </w:rPr>
              <w:t>ООСО</w:t>
            </w:r>
          </w:p>
        </w:tc>
        <w:tc>
          <w:tcPr>
            <w:tcW w:w="1008" w:type="pct"/>
            <w:shd w:val="clear" w:color="auto" w:fill="auto"/>
            <w:vAlign w:val="center"/>
          </w:tcPr>
          <w:p w14:paraId="2A64437C" w14:textId="77777777" w:rsidR="005F26DA" w:rsidRPr="000E0422" w:rsidRDefault="005F26DA" w:rsidP="00563037">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1,4</w:t>
            </w:r>
          </w:p>
        </w:tc>
        <w:tc>
          <w:tcPr>
            <w:tcW w:w="1008" w:type="pct"/>
            <w:shd w:val="clear" w:color="auto" w:fill="auto"/>
            <w:vAlign w:val="center"/>
          </w:tcPr>
          <w:p w14:paraId="637DB028" w14:textId="77777777" w:rsidR="005F26DA" w:rsidRPr="000E0422" w:rsidRDefault="005F26DA" w:rsidP="00563037">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1,4</w:t>
            </w:r>
          </w:p>
        </w:tc>
      </w:tr>
      <w:tr w:rsidR="005F26DA" w:rsidRPr="000E0422" w14:paraId="7596D107" w14:textId="77777777" w:rsidTr="005630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bottom w:val="single" w:sz="4" w:space="0" w:color="002060"/>
            </w:tcBorders>
            <w:shd w:val="clear" w:color="auto" w:fill="auto"/>
            <w:noWrap/>
            <w:vAlign w:val="center"/>
            <w:hideMark/>
          </w:tcPr>
          <w:p w14:paraId="76468ECF" w14:textId="77777777" w:rsidR="005F26DA" w:rsidRPr="000E0422" w:rsidRDefault="005F26DA" w:rsidP="00563037">
            <w:pPr>
              <w:spacing w:after="0"/>
              <w:rPr>
                <w:color w:val="auto"/>
                <w:sz w:val="18"/>
                <w:szCs w:val="18"/>
                <w:lang w:val="sr-Cyrl-RS"/>
              </w:rPr>
            </w:pPr>
            <w:r w:rsidRPr="000E0422">
              <w:rPr>
                <w:color w:val="auto"/>
                <w:sz w:val="18"/>
                <w:szCs w:val="18"/>
                <w:lang w:val="sr-Cyrl-RS"/>
              </w:rPr>
              <w:t>УКУПНО</w:t>
            </w:r>
          </w:p>
        </w:tc>
        <w:tc>
          <w:tcPr>
            <w:tcW w:w="1008" w:type="pct"/>
            <w:tcBorders>
              <w:bottom w:val="single" w:sz="4" w:space="0" w:color="002060"/>
            </w:tcBorders>
            <w:shd w:val="clear" w:color="auto" w:fill="auto"/>
            <w:vAlign w:val="center"/>
          </w:tcPr>
          <w:p w14:paraId="0BE1963C"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2,6</w:t>
            </w:r>
          </w:p>
        </w:tc>
        <w:tc>
          <w:tcPr>
            <w:tcW w:w="1008" w:type="pct"/>
            <w:tcBorders>
              <w:bottom w:val="single" w:sz="4" w:space="0" w:color="002060"/>
            </w:tcBorders>
            <w:shd w:val="clear" w:color="auto" w:fill="auto"/>
            <w:vAlign w:val="center"/>
          </w:tcPr>
          <w:p w14:paraId="684D3929"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2,7</w:t>
            </w:r>
          </w:p>
        </w:tc>
      </w:tr>
    </w:tbl>
    <w:p w14:paraId="35DDF267" w14:textId="77777777" w:rsidR="005F26DA" w:rsidRPr="000E0422" w:rsidRDefault="005F26DA" w:rsidP="00563037">
      <w:pPr>
        <w:spacing w:before="40" w:after="0"/>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14:paraId="1EA932CF" w14:textId="77777777" w:rsidR="005F26DA" w:rsidRDefault="005F26DA" w:rsidP="00563037">
      <w:pPr>
        <w:spacing w:after="0"/>
        <w:rPr>
          <w:rFonts w:eastAsia="MS PGothic" w:cs="Times New Roman"/>
          <w:sz w:val="16"/>
          <w:szCs w:val="16"/>
          <w:lang w:val="sr-Cyrl-RS" w:eastAsia="ja-JP"/>
        </w:rPr>
      </w:pPr>
      <w:r w:rsidRPr="000E0422">
        <w:rPr>
          <w:rFonts w:eastAsia="MS PGothic" w:cs="Times New Roman"/>
          <w:sz w:val="16"/>
          <w:szCs w:val="16"/>
          <w:lang w:val="sr-Cyrl-RS" w:eastAsia="ja-JP"/>
        </w:rPr>
        <w:t>* У складу са дефиницијом која се користила за потребе праћења спровођења аранжмана са ММФ.</w:t>
      </w:r>
    </w:p>
    <w:p w14:paraId="5C0EFD6C" w14:textId="1B7C0CCD" w:rsidR="00F01073" w:rsidRDefault="00F01073" w:rsidP="00563037">
      <w:pPr>
        <w:spacing w:after="0"/>
        <w:rPr>
          <w:rFonts w:eastAsia="MS PGothic" w:cs="Times New Roman"/>
          <w:szCs w:val="24"/>
          <w:lang w:val="sr-Cyrl-RS" w:eastAsia="ja-JP"/>
        </w:rPr>
      </w:pPr>
    </w:p>
    <w:p w14:paraId="0103DDD5" w14:textId="28607EE4" w:rsidR="00E02533" w:rsidRDefault="00E02533" w:rsidP="00563037">
      <w:pPr>
        <w:spacing w:after="0"/>
        <w:rPr>
          <w:rFonts w:eastAsia="MS PGothic" w:cs="Times New Roman"/>
          <w:szCs w:val="24"/>
          <w:lang w:val="sr-Cyrl-RS" w:eastAsia="ja-JP"/>
        </w:rPr>
      </w:pPr>
    </w:p>
    <w:p w14:paraId="18F0A668" w14:textId="3F109A78" w:rsidR="00E02533" w:rsidRDefault="00E02533" w:rsidP="00563037">
      <w:pPr>
        <w:spacing w:after="0"/>
        <w:rPr>
          <w:rFonts w:eastAsia="MS PGothic" w:cs="Times New Roman"/>
          <w:szCs w:val="24"/>
          <w:lang w:val="sr-Cyrl-RS" w:eastAsia="ja-JP"/>
        </w:rPr>
      </w:pPr>
    </w:p>
    <w:p w14:paraId="7B02C927" w14:textId="77777777" w:rsidR="00E02533" w:rsidRDefault="00E02533" w:rsidP="00563037">
      <w:pPr>
        <w:spacing w:after="0"/>
        <w:rPr>
          <w:rFonts w:eastAsia="MS PGothic" w:cs="Times New Roman"/>
          <w:szCs w:val="24"/>
          <w:lang w:val="sr-Cyrl-RS" w:eastAsia="ja-JP"/>
        </w:rPr>
      </w:pPr>
    </w:p>
    <w:p w14:paraId="663A24CC" w14:textId="222B7F41" w:rsidR="00E02533" w:rsidRDefault="00E02533" w:rsidP="00563037">
      <w:pPr>
        <w:spacing w:after="0"/>
        <w:rPr>
          <w:rFonts w:eastAsia="MS PGothic" w:cs="Times New Roman"/>
          <w:szCs w:val="24"/>
          <w:lang w:val="sr-Cyrl-RS" w:eastAsia="ja-JP"/>
        </w:rPr>
      </w:pPr>
    </w:p>
    <w:p w14:paraId="79BD9B94" w14:textId="222B7F41" w:rsidR="00E02533" w:rsidRDefault="00E02533" w:rsidP="00563037">
      <w:pPr>
        <w:spacing w:after="0"/>
        <w:rPr>
          <w:rFonts w:eastAsia="MS PGothic" w:cs="Times New Roman"/>
          <w:szCs w:val="24"/>
          <w:lang w:val="sr-Cyrl-RS" w:eastAsia="ja-JP"/>
        </w:rPr>
      </w:pPr>
    </w:p>
    <w:p w14:paraId="5DDEB402" w14:textId="2AD5E6C3" w:rsidR="00E02533" w:rsidRDefault="00E02533" w:rsidP="00563037">
      <w:pPr>
        <w:spacing w:after="0"/>
        <w:rPr>
          <w:rFonts w:eastAsia="MS PGothic" w:cs="Times New Roman"/>
          <w:szCs w:val="24"/>
          <w:lang w:val="sr-Cyrl-RS" w:eastAsia="ja-JP"/>
        </w:rPr>
      </w:pPr>
    </w:p>
    <w:p w14:paraId="461D0A5A" w14:textId="77777777" w:rsidR="00F01073" w:rsidRPr="000E0422" w:rsidRDefault="00F01073" w:rsidP="00563037">
      <w:pPr>
        <w:spacing w:after="0"/>
        <w:rPr>
          <w:rFonts w:eastAsia="MS PGothic" w:cs="Times New Roman"/>
          <w:sz w:val="16"/>
          <w:szCs w:val="16"/>
          <w:lang w:val="sr-Cyrl-RS" w:eastAsia="ja-JP"/>
        </w:rPr>
      </w:pPr>
      <w:r w:rsidRPr="000E0422">
        <w:rPr>
          <w:rFonts w:eastAsia="Calibri" w:cs="Times New Roman"/>
          <w:noProof/>
          <w:szCs w:val="24"/>
        </w:rPr>
        <mc:AlternateContent>
          <mc:Choice Requires="wps">
            <w:drawing>
              <wp:anchor distT="0" distB="0" distL="114300" distR="114300" simplePos="0" relativeHeight="251658240" behindDoc="1" locked="0" layoutInCell="1" allowOverlap="1" wp14:anchorId="1B91897E" wp14:editId="3954663D">
                <wp:simplePos x="0" y="0"/>
                <wp:positionH relativeFrom="margin">
                  <wp:posOffset>-295275</wp:posOffset>
                </wp:positionH>
                <wp:positionV relativeFrom="paragraph">
                  <wp:posOffset>97155</wp:posOffset>
                </wp:positionV>
                <wp:extent cx="6276975" cy="3724275"/>
                <wp:effectExtent l="0" t="0" r="9525" b="9525"/>
                <wp:wrapNone/>
                <wp:docPr id="61" name="Rectangle 61"/>
                <wp:cNvGraphicFramePr/>
                <a:graphic xmlns:a="http://schemas.openxmlformats.org/drawingml/2006/main">
                  <a:graphicData uri="http://schemas.microsoft.com/office/word/2010/wordprocessingShape">
                    <wps:wsp>
                      <wps:cNvSpPr/>
                      <wps:spPr>
                        <a:xfrm>
                          <a:off x="0" y="0"/>
                          <a:ext cx="6276975" cy="372427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18D1" id="Rectangle 61" o:spid="_x0000_s1026" style="position:absolute;margin-left:-23.25pt;margin-top:7.65pt;width:494.25pt;height:29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" fillcolor="#d9d9d9" stroked="f" strokeweight="1pt">
                <v:fill r:id="rId17" o:title="" color2="window" type="pattern"/>
                <w10:wrap anchorx="margin"/>
              </v:rect>
            </w:pict>
          </mc:Fallback>
        </mc:AlternateContent>
      </w:r>
    </w:p>
    <w:p w14:paraId="6322EAAC" w14:textId="77777777" w:rsidR="005F26DA" w:rsidRPr="000E0422" w:rsidRDefault="005F26DA" w:rsidP="00563037">
      <w:pPr>
        <w:spacing w:after="0"/>
        <w:jc w:val="center"/>
        <w:rPr>
          <w:rFonts w:eastAsia="Calibri" w:cs="Times New Roman"/>
          <w:b/>
          <w:szCs w:val="24"/>
          <w:lang w:val="sr-Cyrl-RS"/>
        </w:rPr>
      </w:pPr>
      <w:r w:rsidRPr="000E0422">
        <w:rPr>
          <w:rFonts w:eastAsia="Calibri" w:cs="Times New Roman"/>
          <w:b/>
          <w:szCs w:val="24"/>
          <w:lang w:val="sr-Cyrl-RS"/>
        </w:rPr>
        <w:t>S0 индикатор краткорочне фискалне одрживости</w:t>
      </w:r>
    </w:p>
    <w:p w14:paraId="4D91A95E" w14:textId="77777777" w:rsidR="005F26DA" w:rsidRPr="000E0422" w:rsidRDefault="005F26DA" w:rsidP="00563037">
      <w:pPr>
        <w:rPr>
          <w:rFonts w:eastAsia="Calibri" w:cs="Times New Roman"/>
          <w:szCs w:val="24"/>
          <w:lang w:val="sr-Cyrl-RS"/>
        </w:rPr>
      </w:pPr>
    </w:p>
    <w:p w14:paraId="681B4FAA" w14:textId="77777777" w:rsidR="005F26DA" w:rsidRPr="000E0422" w:rsidRDefault="005F26DA" w:rsidP="00563037">
      <w:pPr>
        <w:rPr>
          <w:rFonts w:eastAsia="Calibri" w:cs="Times New Roman"/>
          <w:szCs w:val="24"/>
          <w:lang w:val="sr-Cyrl-RS"/>
        </w:rPr>
      </w:pPr>
      <w:r w:rsidRPr="000E0422">
        <w:rPr>
          <w:rFonts w:eastAsia="Calibri" w:cs="Times New Roman"/>
          <w:szCs w:val="24"/>
          <w:lang w:val="sr-Cyrl-RS"/>
        </w:rPr>
        <w:t>Европска комисија је за оцену краткорочне фискалне одрживости дизајнирала композитни индикатор S0 којим се кроз идентификацију потенцијалних краткорочних ризика у текућој години настоји антиципирати фискални стрес у наредној години. Уколико вредност S0 индикатора прелази дефинисани праг сматра се да је земља у краткорочном ризику од фискалног стреса. Поред вредности за целокупан индикатор, ради лоцирања извора из ког ризик потиче, разматрају се и вредности подиндекса и њихових компоненти. S0 композитни индикатор се састоји од два подиндекса, који у себи садрже низ варијабли фискалне и макро-финансијске одрживости. Вредност ових подиндекса испод дефинисаног прага указују на одсуство краткорочног фискалног ризика.</w:t>
      </w:r>
    </w:p>
    <w:p w14:paraId="7ACC28C3" w14:textId="68A1D797" w:rsidR="005F26DA" w:rsidRPr="000E0422" w:rsidRDefault="005F26DA" w:rsidP="00563037">
      <w:pPr>
        <w:rPr>
          <w:rFonts w:eastAsia="Calibri" w:cs="Times New Roman"/>
          <w:szCs w:val="24"/>
          <w:lang w:val="sr-Cyrl-RS"/>
        </w:rPr>
      </w:pPr>
      <w:r w:rsidRPr="000E0422">
        <w:rPr>
          <w:rFonts w:eastAsia="Calibri" w:cs="Times New Roman"/>
          <w:szCs w:val="24"/>
          <w:lang w:val="sr-Cyrl-RS"/>
        </w:rPr>
        <w:t xml:space="preserve">У 2020. години вредност целокупног S0 индикатора за Републику Србију се налазила испод дефинисаног прага што начелно указује да не постоји опасност од појаве макроекономске нестабилности у наредном средњорочном периоду. Међутим, као последица кризе изазване пандемијом вируса </w:t>
      </w:r>
      <w:r w:rsidR="0063502F">
        <w:rPr>
          <w:szCs w:val="24"/>
          <w:lang w:val="sr-Cyrl-RS"/>
        </w:rPr>
        <w:t>Ковид</w:t>
      </w:r>
      <w:r w:rsidRPr="000E0422">
        <w:rPr>
          <w:rFonts w:eastAsia="Calibri" w:cs="Times New Roman"/>
          <w:szCs w:val="24"/>
          <w:lang w:val="sr-Cyrl-RS"/>
        </w:rPr>
        <w:t>-19 вредност фискалног подиндекса (0,48) је изнад за њега дефинисаног прага (0,36) што указује да би се могли јавити изазови у фискалној сфери. Вредност финансијског подиндекса у 2020. години (0,42) је унутар за њега дефинисаног прага (0,49).</w:t>
      </w:r>
    </w:p>
    <w:p w14:paraId="11AC4108" w14:textId="77777777" w:rsidR="00E02533" w:rsidRDefault="00E02533">
      <w:pPr>
        <w:spacing w:after="160" w:line="259" w:lineRule="auto"/>
        <w:jc w:val="left"/>
        <w:rPr>
          <w:rFonts w:eastAsia="Calibri" w:cs="Times New Roman"/>
          <w:szCs w:val="24"/>
          <w:lang w:val="sr-Cyrl-RS"/>
        </w:rPr>
      </w:pPr>
    </w:p>
    <w:p w14:paraId="37784E4C" w14:textId="77777777" w:rsidR="005F26DA" w:rsidRPr="000E0422" w:rsidRDefault="00F01073" w:rsidP="00563037">
      <w:pPr>
        <w:rPr>
          <w:rFonts w:eastAsia="Calibri" w:cs="Times New Roman"/>
          <w:szCs w:val="24"/>
          <w:lang w:val="sr-Cyrl-RS"/>
        </w:rPr>
      </w:pPr>
      <w:r w:rsidRPr="000E0422">
        <w:rPr>
          <w:rFonts w:eastAsia="Calibri" w:cs="Times New Roman"/>
          <w:noProof/>
          <w:szCs w:val="24"/>
        </w:rPr>
        <mc:AlternateContent>
          <mc:Choice Requires="wps">
            <w:drawing>
              <wp:anchor distT="0" distB="0" distL="114300" distR="114300" simplePos="0" relativeHeight="251661312" behindDoc="1" locked="0" layoutInCell="1" allowOverlap="1" wp14:anchorId="75E3063A" wp14:editId="2172D7A2">
                <wp:simplePos x="0" y="0"/>
                <wp:positionH relativeFrom="margin">
                  <wp:posOffset>-409575</wp:posOffset>
                </wp:positionH>
                <wp:positionV relativeFrom="paragraph">
                  <wp:posOffset>-142875</wp:posOffset>
                </wp:positionV>
                <wp:extent cx="6564702" cy="8953500"/>
                <wp:effectExtent l="0" t="0" r="7620" b="0"/>
                <wp:wrapNone/>
                <wp:docPr id="64" name="Rectangle 64"/>
                <wp:cNvGraphicFramePr/>
                <a:graphic xmlns:a="http://schemas.openxmlformats.org/drawingml/2006/main">
                  <a:graphicData uri="http://schemas.microsoft.com/office/word/2010/wordprocessingShape">
                    <wps:wsp>
                      <wps:cNvSpPr/>
                      <wps:spPr>
                        <a:xfrm>
                          <a:off x="0" y="0"/>
                          <a:ext cx="6564702" cy="8953500"/>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2271A" id="Rectangle 64" o:spid="_x0000_s1026" style="position:absolute;margin-left:-32.25pt;margin-top:-11.25pt;width:516.9pt;height:7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" fillcolor="#d9d9d9" stroked="f" strokeweight="1pt">
                <v:fill r:id="rId17" o:title="" color2="window" type="pattern"/>
                <w10:wrap anchorx="margin"/>
              </v:rect>
            </w:pict>
          </mc:Fallback>
        </mc:AlternateContent>
      </w:r>
      <w:r w:rsidR="005F26DA" w:rsidRPr="000E0422">
        <w:rPr>
          <w:rFonts w:eastAsia="Calibri" w:cs="Times New Roman"/>
          <w:szCs w:val="24"/>
          <w:lang w:val="sr-Cyrl-RS"/>
        </w:rPr>
        <w:t>Графикон 6. S0 индикатор за Србију у периоду 2015–2020.године</w:t>
      </w:r>
    </w:p>
    <w:p w14:paraId="1D6080CB" w14:textId="77777777" w:rsidR="005F26DA" w:rsidRPr="000E0422" w:rsidRDefault="005F26DA" w:rsidP="00563037">
      <w:pPr>
        <w:rPr>
          <w:rFonts w:eastAsia="Calibri" w:cs="Times New Roman"/>
          <w:szCs w:val="24"/>
          <w:lang w:val="sr-Cyrl-RS"/>
        </w:rPr>
      </w:pPr>
      <w:r w:rsidRPr="000E0422">
        <w:rPr>
          <w:rFonts w:eastAsia="Calibri" w:cs="Times New Roman"/>
          <w:noProof/>
          <w:szCs w:val="24"/>
        </w:rPr>
        <w:lastRenderedPageBreak/>
        <w:drawing>
          <wp:inline distT="0" distB="0" distL="0" distR="0" wp14:anchorId="4DC71F5E" wp14:editId="6B0B37DB">
            <wp:extent cx="5724525" cy="1781175"/>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9B4A7" w14:textId="77777777" w:rsidR="005F26DA" w:rsidRPr="000E0422" w:rsidRDefault="005F26DA" w:rsidP="00563037">
      <w:pPr>
        <w:jc w:val="left"/>
        <w:rPr>
          <w:rFonts w:eastAsia="Calibri" w:cs="Times New Roman"/>
          <w:szCs w:val="24"/>
          <w:lang w:val="sr-Cyrl-RS"/>
        </w:rPr>
      </w:pPr>
      <w:r w:rsidRPr="000E0422">
        <w:rPr>
          <w:rFonts w:eastAsia="Calibri" w:cs="Times New Roman"/>
          <w:szCs w:val="24"/>
          <w:lang w:val="sr-Cyrl-RS"/>
        </w:rPr>
        <w:t>Графикон 7. S0 земље ЕУ и Србија</w:t>
      </w:r>
      <w:r w:rsidRPr="000E0422">
        <w:rPr>
          <w:rFonts w:eastAsia="Calibri" w:cs="Times New Roman"/>
          <w:noProof/>
          <w:szCs w:val="24"/>
        </w:rPr>
        <w:drawing>
          <wp:inline distT="0" distB="0" distL="0" distR="0" wp14:anchorId="286ABD2D" wp14:editId="21E8417D">
            <wp:extent cx="5943600" cy="207645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D43A65" w14:textId="77777777" w:rsidR="005F26DA" w:rsidRPr="000E0422" w:rsidRDefault="005F26DA" w:rsidP="00E02533">
      <w:pPr>
        <w:spacing w:after="60"/>
        <w:rPr>
          <w:rFonts w:eastAsia="Calibri" w:cs="Times New Roman"/>
          <w:szCs w:val="24"/>
          <w:lang w:val="sr-Cyrl-RS"/>
        </w:rPr>
      </w:pPr>
      <w:r w:rsidRPr="000E0422">
        <w:rPr>
          <w:rFonts w:eastAsia="Calibri" w:cs="Times New Roman"/>
          <w:szCs w:val="24"/>
          <w:lang w:val="sr-Cyrl-RS"/>
        </w:rPr>
        <w:t>Обрачун S0 индикатора за Републику Србију, урађен је од стране Министарства финансија, и базира се на методологији ЕК.</w:t>
      </w:r>
    </w:p>
    <w:p w14:paraId="12D0F25C" w14:textId="77777777"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На основу података ЕК за земље ЕУ за 2020. годину и обрачуна Министарства финансија за Републику Србију, закључујемо да се већина посматраних земаља, као и Србија, нашла у зони где би могла бити изложена некој врсти фискалног стреса у наредном средњорочном периоду. Минимизирање потенцијалних ризика за настанак фискалног стреса у посматраним земљама ће бити неопходно ради стварања простора за доношење мера економске политике као одговор на здравствену кризу која се прелила у све сфере економије.</w:t>
      </w:r>
    </w:p>
    <w:p w14:paraId="74EE79B4" w14:textId="77777777" w:rsidR="005F26DA" w:rsidRPr="000E0422" w:rsidRDefault="005F26DA" w:rsidP="00563037">
      <w:pPr>
        <w:rPr>
          <w:rFonts w:eastAsia="Calibri" w:cs="Times New Roman"/>
          <w:spacing w:val="2"/>
          <w:szCs w:val="24"/>
          <w:lang w:val="sr-Cyrl-RS"/>
        </w:rPr>
      </w:pPr>
      <w:r w:rsidRPr="000E0422">
        <w:rPr>
          <w:rFonts w:eastAsia="Calibri" w:cs="Times New Roman"/>
          <w:spacing w:val="2"/>
          <w:szCs w:val="24"/>
          <w:lang w:val="sr-Cyrl-RS"/>
        </w:rPr>
        <w:t xml:space="preserve">Графикон 8. </w:t>
      </w:r>
      <w:r w:rsidRPr="000E0422">
        <w:rPr>
          <w:rFonts w:eastAsia="Calibri" w:cs="Times New Roman"/>
          <w:szCs w:val="24"/>
          <w:lang w:val="sr-Cyrl-RS"/>
        </w:rPr>
        <w:t>Фискални подиндекс и подиндекс финансијске конкурентности за земље ЕУ и Србију у 2020.години</w:t>
      </w:r>
    </w:p>
    <w:p w14:paraId="7BBFD6C3" w14:textId="77777777" w:rsidR="005F26DA" w:rsidRPr="000E0422" w:rsidRDefault="005F26DA" w:rsidP="00563037">
      <w:pPr>
        <w:rPr>
          <w:rFonts w:eastAsia="Calibri" w:cs="Times New Roman"/>
          <w:szCs w:val="24"/>
          <w:lang w:val="sr-Cyrl-RS"/>
        </w:rPr>
      </w:pPr>
      <w:r w:rsidRPr="000E0422">
        <w:rPr>
          <w:rFonts w:cs="Times New Roman"/>
          <w:noProof/>
          <w:szCs w:val="24"/>
        </w:rPr>
        <w:drawing>
          <wp:inline distT="0" distB="0" distL="0" distR="0" wp14:anchorId="66251F97" wp14:editId="3939D320">
            <wp:extent cx="5553075" cy="1992573"/>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A070EF" w14:textId="7B55CE24" w:rsidR="005F26DA" w:rsidRPr="00735870" w:rsidRDefault="00735870" w:rsidP="00E02533">
      <w:pPr>
        <w:keepNext/>
        <w:keepLines/>
        <w:spacing w:before="120"/>
        <w:outlineLvl w:val="1"/>
        <w:rPr>
          <w:rFonts w:eastAsiaTheme="majorEastAsia" w:cs="Times New Roman"/>
          <w:b/>
          <w:szCs w:val="26"/>
          <w:lang w:val="sr-Cyrl-RS"/>
        </w:rPr>
      </w:pPr>
      <w:bookmarkStart w:id="18" w:name="_Toc89375525"/>
      <w:r w:rsidRPr="00735870">
        <w:rPr>
          <w:rFonts w:eastAsiaTheme="majorEastAsia" w:cs="Times New Roman"/>
          <w:b/>
          <w:szCs w:val="26"/>
        </w:rPr>
        <w:lastRenderedPageBreak/>
        <w:t>4.</w:t>
      </w:r>
      <w:r w:rsidR="005F26DA" w:rsidRPr="00735870">
        <w:rPr>
          <w:rFonts w:eastAsiaTheme="majorEastAsia" w:cs="Times New Roman"/>
          <w:b/>
          <w:szCs w:val="26"/>
          <w:lang w:val="sr-Cyrl-RS"/>
        </w:rPr>
        <w:t>3. ФИСКАЛНЕ ПРОЈЕКЦИЈЕ У ПЕРИОДУ 2022–2024. ГОДИНЕ</w:t>
      </w:r>
      <w:bookmarkEnd w:id="18"/>
    </w:p>
    <w:p w14:paraId="50194DDA" w14:textId="77777777" w:rsidR="005F26DA" w:rsidRPr="000E0422" w:rsidRDefault="005F26DA" w:rsidP="00563037">
      <w:pPr>
        <w:rPr>
          <w:lang w:val="sr-Cyrl-RS" w:eastAsia="ja-JP"/>
        </w:rPr>
      </w:pPr>
      <w:r w:rsidRPr="000E0422">
        <w:rPr>
          <w:lang w:val="sr-Cyrl-RS" w:eastAsia="ja-JP"/>
        </w:rPr>
        <w:t>Циљеви фискалне политике су усмерени на одржање фискалне стабилности и смањење учешћа јавног дуга у БДП. Средњорочни фискални оквир предвиђа постепено смањење дефицита опште државе на ниво од 1,0% БДП до 2024. године и пад учешћа јавног дуга на 53,8% БДП. Пројекције фискалних агрегата у периоду од 2022. до 2024.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фискалним и структурним мерама, укључујући и даљу реформу великих јавних предузећа.</w:t>
      </w:r>
    </w:p>
    <w:p w14:paraId="75CC738B" w14:textId="47F2CC8B" w:rsidR="005F26DA" w:rsidRDefault="005F26DA" w:rsidP="00563037">
      <w:pPr>
        <w:rPr>
          <w:lang w:val="sr-Cyrl-RS" w:eastAsia="ja-JP"/>
        </w:rPr>
      </w:pPr>
      <w:r w:rsidRPr="000E0422">
        <w:rPr>
          <w:lang w:val="sr-Cyrl-RS" w:eastAsia="ja-JP"/>
        </w:rPr>
        <w:t>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2020. и 2021. године. У наредној години не очекује се истоветан утицај пандемије који би захтевао сличан пакет мера, али биће обезбеђене одређене резерве у случају новог погоршања економских кретања. У 2022. години се очекује наставак улагања у капиталне инвестиције и здравствени систем, умерено повећање пензија и плата у јавном сектору, а са приходне стране и пореско растерећење привреде. Ове мере и њихове фискалне импликације дизајниране су тако да не угрозе стабилност јавних финансија и темпо смањења јавног дуга, затим да одрже животни стандард становништва и помогну привредни развој, али и да осигурају флексибилност реакције на евентуалне нове ударе кризе.</w:t>
      </w:r>
    </w:p>
    <w:p w14:paraId="489DD50D" w14:textId="7F8AF849" w:rsidR="00E02533" w:rsidRDefault="00E02533" w:rsidP="00563037">
      <w:pPr>
        <w:rPr>
          <w:lang w:val="sr-Cyrl-RS" w:eastAsia="ja-JP"/>
        </w:rPr>
      </w:pPr>
    </w:p>
    <w:p w14:paraId="1163F52B" w14:textId="145FCFFB" w:rsidR="00E02533" w:rsidRDefault="00E02533" w:rsidP="00563037">
      <w:pPr>
        <w:rPr>
          <w:lang w:val="sr-Cyrl-RS" w:eastAsia="ja-JP"/>
        </w:rPr>
      </w:pPr>
    </w:p>
    <w:p w14:paraId="3ABA79D8" w14:textId="13493AC5" w:rsidR="00E02533" w:rsidRDefault="00E02533" w:rsidP="00563037">
      <w:pPr>
        <w:rPr>
          <w:lang w:val="sr-Cyrl-RS" w:eastAsia="ja-JP"/>
        </w:rPr>
      </w:pPr>
    </w:p>
    <w:p w14:paraId="7B604977" w14:textId="77777777" w:rsidR="00E02533" w:rsidRPr="000E0422" w:rsidRDefault="00E02533" w:rsidP="00563037">
      <w:pPr>
        <w:rPr>
          <w:lang w:val="sr-Cyrl-RS" w:eastAsia="ja-JP"/>
        </w:rPr>
      </w:pPr>
    </w:p>
    <w:p w14:paraId="3F79830C" w14:textId="77777777" w:rsidR="005F26DA" w:rsidRPr="000E0422" w:rsidRDefault="0075627A" w:rsidP="00563037">
      <w:pPr>
        <w:rPr>
          <w:lang w:val="sr-Cyrl-RS" w:eastAsia="ja-JP"/>
        </w:rPr>
      </w:pPr>
      <w:r>
        <w:rPr>
          <w:lang w:val="sr-Cyrl-RS" w:eastAsia="ja-JP"/>
        </w:rPr>
        <w:t>Табела 8</w:t>
      </w:r>
      <w:r w:rsidR="005F26DA" w:rsidRPr="000E0422">
        <w:rPr>
          <w:lang w:val="sr-Cyrl-RS" w:eastAsia="ja-JP"/>
        </w:rPr>
        <w:t>. Фискални агрегати у периоду 2020–2024. године, % БДП</w:t>
      </w:r>
    </w:p>
    <w:tbl>
      <w:tblPr>
        <w:tblStyle w:val="LightShading-Accent1221"/>
        <w:tblW w:w="5000" w:type="pct"/>
        <w:tblBorders>
          <w:top w:val="none" w:sz="0" w:space="0" w:color="auto"/>
          <w:bottom w:val="none" w:sz="0" w:space="0" w:color="auto"/>
        </w:tblBorders>
        <w:tblLook w:val="0420" w:firstRow="1" w:lastRow="0" w:firstColumn="0" w:lastColumn="0" w:noHBand="0" w:noVBand="1"/>
      </w:tblPr>
      <w:tblGrid>
        <w:gridCol w:w="3830"/>
        <w:gridCol w:w="1092"/>
        <w:gridCol w:w="1092"/>
        <w:gridCol w:w="1004"/>
        <w:gridCol w:w="1004"/>
        <w:gridCol w:w="1004"/>
      </w:tblGrid>
      <w:tr w:rsidR="005F26DA" w:rsidRPr="000E0422" w14:paraId="37C8403D" w14:textId="77777777" w:rsidTr="00563037">
        <w:trPr>
          <w:cnfStyle w:val="100000000000" w:firstRow="1" w:lastRow="0" w:firstColumn="0" w:lastColumn="0" w:oddVBand="0" w:evenVBand="0" w:oddHBand="0" w:evenHBand="0" w:firstRowFirstColumn="0" w:firstRowLastColumn="0" w:lastRowFirstColumn="0" w:lastRowLastColumn="0"/>
          <w:trHeight w:val="253"/>
        </w:trPr>
        <w:tc>
          <w:tcPr>
            <w:tcW w:w="2121" w:type="pct"/>
            <w:tcBorders>
              <w:top w:val="single" w:sz="4" w:space="0" w:color="002060"/>
              <w:bottom w:val="single" w:sz="4" w:space="0" w:color="002060"/>
            </w:tcBorders>
            <w:shd w:val="clear" w:color="auto" w:fill="auto"/>
            <w:noWrap/>
            <w:vAlign w:val="center"/>
          </w:tcPr>
          <w:p w14:paraId="33A53E66" w14:textId="77777777" w:rsidR="005F26DA" w:rsidRPr="000E0422" w:rsidRDefault="005F26DA" w:rsidP="00563037">
            <w:pPr>
              <w:spacing w:after="0"/>
              <w:rPr>
                <w:b w:val="0"/>
                <w:color w:val="auto"/>
                <w:sz w:val="18"/>
                <w:szCs w:val="18"/>
                <w:lang w:val="sr-Cyrl-RS"/>
              </w:rPr>
            </w:pPr>
            <w:r w:rsidRPr="000E0422">
              <w:rPr>
                <w:b w:val="0"/>
                <w:color w:val="auto"/>
                <w:sz w:val="18"/>
                <w:szCs w:val="18"/>
                <w:lang w:val="sr-Cyrl-RS"/>
              </w:rPr>
              <w:t>Опис</w:t>
            </w:r>
          </w:p>
        </w:tc>
        <w:tc>
          <w:tcPr>
            <w:tcW w:w="605" w:type="pct"/>
            <w:tcBorders>
              <w:top w:val="single" w:sz="4" w:space="0" w:color="002060"/>
              <w:bottom w:val="single" w:sz="4" w:space="0" w:color="002060"/>
            </w:tcBorders>
            <w:shd w:val="clear" w:color="auto" w:fill="auto"/>
            <w:vAlign w:val="center"/>
          </w:tcPr>
          <w:p w14:paraId="65579D21" w14:textId="77777777" w:rsidR="005F26DA" w:rsidRPr="000E0422" w:rsidRDefault="005F26DA" w:rsidP="00563037">
            <w:pPr>
              <w:spacing w:after="0"/>
              <w:jc w:val="right"/>
              <w:rPr>
                <w:b w:val="0"/>
                <w:color w:val="auto"/>
                <w:sz w:val="18"/>
                <w:szCs w:val="18"/>
                <w:lang w:val="sr-Cyrl-RS"/>
              </w:rPr>
            </w:pPr>
            <w:r w:rsidRPr="000E0422">
              <w:rPr>
                <w:b w:val="0"/>
                <w:color w:val="auto"/>
                <w:sz w:val="18"/>
                <w:szCs w:val="18"/>
                <w:lang w:val="sr-Cyrl-RS"/>
              </w:rPr>
              <w:t>Извршење</w:t>
            </w:r>
          </w:p>
        </w:tc>
        <w:tc>
          <w:tcPr>
            <w:tcW w:w="605" w:type="pct"/>
            <w:tcBorders>
              <w:top w:val="single" w:sz="4" w:space="0" w:color="002060"/>
              <w:bottom w:val="single" w:sz="4" w:space="0" w:color="002060"/>
            </w:tcBorders>
            <w:shd w:val="clear" w:color="auto" w:fill="auto"/>
            <w:vAlign w:val="center"/>
          </w:tcPr>
          <w:p w14:paraId="6D33DF2A" w14:textId="77777777" w:rsidR="005F26DA" w:rsidRPr="000E0422" w:rsidRDefault="005F26DA" w:rsidP="00563037">
            <w:pPr>
              <w:spacing w:after="0"/>
              <w:jc w:val="right"/>
              <w:rPr>
                <w:b w:val="0"/>
                <w:color w:val="auto"/>
                <w:sz w:val="18"/>
                <w:szCs w:val="18"/>
                <w:lang w:val="sr-Cyrl-RS"/>
              </w:rPr>
            </w:pPr>
            <w:r w:rsidRPr="000E0422">
              <w:rPr>
                <w:b w:val="0"/>
                <w:color w:val="auto"/>
                <w:sz w:val="18"/>
                <w:szCs w:val="18"/>
                <w:lang w:val="sr-Cyrl-RS"/>
              </w:rPr>
              <w:t>Процена</w:t>
            </w:r>
          </w:p>
        </w:tc>
        <w:tc>
          <w:tcPr>
            <w:tcW w:w="1668" w:type="pct"/>
            <w:gridSpan w:val="3"/>
            <w:tcBorders>
              <w:top w:val="single" w:sz="4" w:space="0" w:color="002060"/>
              <w:bottom w:val="single" w:sz="4" w:space="0" w:color="002060"/>
            </w:tcBorders>
            <w:shd w:val="clear" w:color="auto" w:fill="auto"/>
            <w:vAlign w:val="center"/>
          </w:tcPr>
          <w:p w14:paraId="7A0548D6" w14:textId="77777777" w:rsidR="005F26DA" w:rsidRPr="000E0422" w:rsidRDefault="005F26DA" w:rsidP="00563037">
            <w:pPr>
              <w:spacing w:after="0"/>
              <w:jc w:val="center"/>
              <w:rPr>
                <w:b w:val="0"/>
                <w:color w:val="auto"/>
                <w:sz w:val="18"/>
                <w:szCs w:val="18"/>
                <w:lang w:val="sr-Cyrl-RS"/>
              </w:rPr>
            </w:pPr>
            <w:r w:rsidRPr="000E0422">
              <w:rPr>
                <w:b w:val="0"/>
                <w:color w:val="auto"/>
                <w:sz w:val="18"/>
                <w:szCs w:val="18"/>
                <w:lang w:val="sr-Cyrl-RS"/>
              </w:rPr>
              <w:t>Пројекција</w:t>
            </w:r>
          </w:p>
        </w:tc>
      </w:tr>
      <w:tr w:rsidR="005F26DA" w:rsidRPr="000E0422" w14:paraId="0E7819F5"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tcBorders>
              <w:top w:val="single" w:sz="4" w:space="0" w:color="002060"/>
            </w:tcBorders>
            <w:shd w:val="clear" w:color="auto" w:fill="auto"/>
            <w:noWrap/>
            <w:vAlign w:val="center"/>
          </w:tcPr>
          <w:p w14:paraId="18553FCD" w14:textId="77777777" w:rsidR="005F26DA" w:rsidRPr="000E0422" w:rsidRDefault="005F26DA" w:rsidP="00563037">
            <w:pPr>
              <w:spacing w:after="0"/>
              <w:rPr>
                <w:color w:val="auto"/>
                <w:sz w:val="18"/>
                <w:szCs w:val="18"/>
                <w:lang w:val="sr-Cyrl-RS"/>
              </w:rPr>
            </w:pPr>
            <w:r w:rsidRPr="000E0422">
              <w:rPr>
                <w:color w:val="auto"/>
                <w:sz w:val="18"/>
                <w:szCs w:val="18"/>
                <w:lang w:val="sr-Cyrl-RS"/>
              </w:rPr>
              <w:t> </w:t>
            </w:r>
          </w:p>
        </w:tc>
        <w:tc>
          <w:tcPr>
            <w:tcW w:w="605" w:type="pct"/>
            <w:tcBorders>
              <w:top w:val="single" w:sz="4" w:space="0" w:color="002060"/>
              <w:bottom w:val="single" w:sz="4" w:space="0" w:color="002060"/>
            </w:tcBorders>
            <w:shd w:val="clear" w:color="auto" w:fill="auto"/>
            <w:vAlign w:val="center"/>
          </w:tcPr>
          <w:p w14:paraId="197D549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2020</w:t>
            </w:r>
          </w:p>
        </w:tc>
        <w:tc>
          <w:tcPr>
            <w:tcW w:w="605" w:type="pct"/>
            <w:tcBorders>
              <w:top w:val="single" w:sz="4" w:space="0" w:color="002060"/>
              <w:bottom w:val="single" w:sz="4" w:space="0" w:color="002060"/>
            </w:tcBorders>
            <w:shd w:val="clear" w:color="auto" w:fill="auto"/>
            <w:vAlign w:val="center"/>
          </w:tcPr>
          <w:p w14:paraId="7822283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2021</w:t>
            </w:r>
          </w:p>
        </w:tc>
        <w:tc>
          <w:tcPr>
            <w:tcW w:w="556" w:type="pct"/>
            <w:tcBorders>
              <w:top w:val="single" w:sz="4" w:space="0" w:color="002060"/>
              <w:bottom w:val="single" w:sz="4" w:space="0" w:color="002060"/>
            </w:tcBorders>
            <w:shd w:val="clear" w:color="auto" w:fill="auto"/>
            <w:vAlign w:val="center"/>
          </w:tcPr>
          <w:p w14:paraId="516EF677"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2022</w:t>
            </w:r>
          </w:p>
        </w:tc>
        <w:tc>
          <w:tcPr>
            <w:tcW w:w="556" w:type="pct"/>
            <w:tcBorders>
              <w:top w:val="single" w:sz="4" w:space="0" w:color="002060"/>
              <w:bottom w:val="single" w:sz="4" w:space="0" w:color="002060"/>
            </w:tcBorders>
            <w:shd w:val="clear" w:color="auto" w:fill="auto"/>
            <w:vAlign w:val="center"/>
          </w:tcPr>
          <w:p w14:paraId="28F21D8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2023</w:t>
            </w:r>
          </w:p>
        </w:tc>
        <w:tc>
          <w:tcPr>
            <w:tcW w:w="556" w:type="pct"/>
            <w:tcBorders>
              <w:top w:val="single" w:sz="4" w:space="0" w:color="002060"/>
              <w:bottom w:val="single" w:sz="4" w:space="0" w:color="002060"/>
            </w:tcBorders>
            <w:shd w:val="clear" w:color="auto" w:fill="auto"/>
            <w:vAlign w:val="center"/>
          </w:tcPr>
          <w:p w14:paraId="6B64A0C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2024</w:t>
            </w:r>
          </w:p>
        </w:tc>
      </w:tr>
      <w:tr w:rsidR="005F26DA" w:rsidRPr="000E0422" w14:paraId="129C2F6A" w14:textId="77777777" w:rsidTr="00563037">
        <w:trPr>
          <w:trHeight w:val="253"/>
        </w:trPr>
        <w:tc>
          <w:tcPr>
            <w:tcW w:w="2121" w:type="pct"/>
            <w:shd w:val="clear" w:color="auto" w:fill="auto"/>
            <w:vAlign w:val="center"/>
          </w:tcPr>
          <w:p w14:paraId="308879A3" w14:textId="77777777" w:rsidR="005F26DA" w:rsidRPr="000E0422" w:rsidRDefault="005F26DA" w:rsidP="00563037">
            <w:pPr>
              <w:spacing w:after="0"/>
              <w:rPr>
                <w:color w:val="auto"/>
                <w:sz w:val="18"/>
                <w:szCs w:val="18"/>
                <w:lang w:val="sr-Cyrl-RS"/>
              </w:rPr>
            </w:pPr>
            <w:r w:rsidRPr="000E0422">
              <w:rPr>
                <w:color w:val="auto"/>
                <w:sz w:val="18"/>
                <w:szCs w:val="18"/>
                <w:lang w:val="sr-Cyrl-RS"/>
              </w:rPr>
              <w:t>Јавни приходи</w:t>
            </w:r>
          </w:p>
        </w:tc>
        <w:tc>
          <w:tcPr>
            <w:tcW w:w="605" w:type="pct"/>
            <w:tcBorders>
              <w:top w:val="single" w:sz="4" w:space="0" w:color="002060"/>
            </w:tcBorders>
            <w:shd w:val="clear" w:color="auto" w:fill="auto"/>
            <w:vAlign w:val="center"/>
          </w:tcPr>
          <w:p w14:paraId="7EAF2D70"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41,0</w:t>
            </w:r>
          </w:p>
        </w:tc>
        <w:tc>
          <w:tcPr>
            <w:tcW w:w="605" w:type="pct"/>
            <w:tcBorders>
              <w:top w:val="single" w:sz="4" w:space="0" w:color="002060"/>
            </w:tcBorders>
            <w:shd w:val="clear" w:color="auto" w:fill="auto"/>
            <w:vAlign w:val="center"/>
          </w:tcPr>
          <w:p w14:paraId="216F2FFB"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43,5</w:t>
            </w:r>
          </w:p>
        </w:tc>
        <w:tc>
          <w:tcPr>
            <w:tcW w:w="556" w:type="pct"/>
            <w:tcBorders>
              <w:top w:val="single" w:sz="4" w:space="0" w:color="002060"/>
            </w:tcBorders>
            <w:shd w:val="clear" w:color="auto" w:fill="auto"/>
            <w:vAlign w:val="center"/>
          </w:tcPr>
          <w:p w14:paraId="41906143"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42,2</w:t>
            </w:r>
          </w:p>
        </w:tc>
        <w:tc>
          <w:tcPr>
            <w:tcW w:w="556" w:type="pct"/>
            <w:tcBorders>
              <w:top w:val="single" w:sz="4" w:space="0" w:color="002060"/>
            </w:tcBorders>
            <w:shd w:val="clear" w:color="auto" w:fill="auto"/>
            <w:vAlign w:val="center"/>
          </w:tcPr>
          <w:p w14:paraId="5AF02034"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41,4</w:t>
            </w:r>
          </w:p>
        </w:tc>
        <w:tc>
          <w:tcPr>
            <w:tcW w:w="556" w:type="pct"/>
            <w:tcBorders>
              <w:top w:val="single" w:sz="4" w:space="0" w:color="002060"/>
            </w:tcBorders>
            <w:shd w:val="clear" w:color="auto" w:fill="auto"/>
            <w:vAlign w:val="center"/>
          </w:tcPr>
          <w:p w14:paraId="49105510"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41,1</w:t>
            </w:r>
          </w:p>
        </w:tc>
      </w:tr>
      <w:tr w:rsidR="005F26DA" w:rsidRPr="000E0422" w14:paraId="646275F4"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14:paraId="0CD3BEDE" w14:textId="77777777" w:rsidR="005F26DA" w:rsidRPr="000E0422" w:rsidRDefault="005F26DA" w:rsidP="00563037">
            <w:pPr>
              <w:spacing w:after="0"/>
              <w:rPr>
                <w:color w:val="auto"/>
                <w:sz w:val="18"/>
                <w:szCs w:val="18"/>
                <w:lang w:val="sr-Cyrl-RS"/>
              </w:rPr>
            </w:pPr>
            <w:r w:rsidRPr="000E0422">
              <w:rPr>
                <w:color w:val="auto"/>
                <w:sz w:val="18"/>
                <w:szCs w:val="18"/>
                <w:lang w:val="sr-Cyrl-RS"/>
              </w:rPr>
              <w:t>Јавни расходи</w:t>
            </w:r>
          </w:p>
        </w:tc>
        <w:tc>
          <w:tcPr>
            <w:tcW w:w="605" w:type="pct"/>
            <w:shd w:val="clear" w:color="auto" w:fill="auto"/>
            <w:vAlign w:val="center"/>
          </w:tcPr>
          <w:p w14:paraId="324DF775"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49,0</w:t>
            </w:r>
          </w:p>
        </w:tc>
        <w:tc>
          <w:tcPr>
            <w:tcW w:w="605" w:type="pct"/>
            <w:shd w:val="clear" w:color="auto" w:fill="auto"/>
            <w:vAlign w:val="center"/>
          </w:tcPr>
          <w:p w14:paraId="741B0EC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48,4</w:t>
            </w:r>
          </w:p>
        </w:tc>
        <w:tc>
          <w:tcPr>
            <w:tcW w:w="556" w:type="pct"/>
            <w:shd w:val="clear" w:color="auto" w:fill="auto"/>
            <w:vAlign w:val="center"/>
          </w:tcPr>
          <w:p w14:paraId="4D13E3BB"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45,3</w:t>
            </w:r>
          </w:p>
        </w:tc>
        <w:tc>
          <w:tcPr>
            <w:tcW w:w="556" w:type="pct"/>
            <w:shd w:val="clear" w:color="auto" w:fill="auto"/>
            <w:vAlign w:val="center"/>
          </w:tcPr>
          <w:p w14:paraId="0F14502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42,9</w:t>
            </w:r>
          </w:p>
        </w:tc>
        <w:tc>
          <w:tcPr>
            <w:tcW w:w="556" w:type="pct"/>
            <w:shd w:val="clear" w:color="auto" w:fill="auto"/>
            <w:vAlign w:val="center"/>
          </w:tcPr>
          <w:p w14:paraId="1954C6F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42,1</w:t>
            </w:r>
          </w:p>
        </w:tc>
      </w:tr>
      <w:tr w:rsidR="005F26DA" w:rsidRPr="000E0422" w14:paraId="3005F985" w14:textId="77777777" w:rsidTr="00563037">
        <w:trPr>
          <w:trHeight w:val="253"/>
        </w:trPr>
        <w:tc>
          <w:tcPr>
            <w:tcW w:w="2121" w:type="pct"/>
            <w:shd w:val="clear" w:color="auto" w:fill="auto"/>
            <w:vAlign w:val="center"/>
          </w:tcPr>
          <w:p w14:paraId="30540BA0" w14:textId="77777777" w:rsidR="005F26DA" w:rsidRPr="000E0422" w:rsidRDefault="005F26DA" w:rsidP="00563037">
            <w:pPr>
              <w:spacing w:after="0"/>
              <w:rPr>
                <w:color w:val="auto"/>
                <w:sz w:val="18"/>
                <w:szCs w:val="18"/>
                <w:lang w:val="sr-Cyrl-RS"/>
              </w:rPr>
            </w:pPr>
          </w:p>
        </w:tc>
        <w:tc>
          <w:tcPr>
            <w:tcW w:w="605" w:type="pct"/>
            <w:shd w:val="clear" w:color="auto" w:fill="auto"/>
            <w:vAlign w:val="center"/>
          </w:tcPr>
          <w:p w14:paraId="234EC7E0" w14:textId="77777777" w:rsidR="005F26DA" w:rsidRPr="000E0422" w:rsidRDefault="005F26DA" w:rsidP="00563037">
            <w:pPr>
              <w:spacing w:after="0"/>
              <w:jc w:val="right"/>
              <w:rPr>
                <w:color w:val="auto"/>
                <w:sz w:val="18"/>
                <w:szCs w:val="18"/>
                <w:lang w:val="sr-Cyrl-RS"/>
              </w:rPr>
            </w:pPr>
          </w:p>
        </w:tc>
        <w:tc>
          <w:tcPr>
            <w:tcW w:w="605" w:type="pct"/>
            <w:shd w:val="clear" w:color="auto" w:fill="auto"/>
            <w:vAlign w:val="center"/>
          </w:tcPr>
          <w:p w14:paraId="2056B28B"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390C53FD"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28FEF46B"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57F368BD" w14:textId="77777777" w:rsidR="005F26DA" w:rsidRPr="000E0422" w:rsidRDefault="005F26DA" w:rsidP="00563037">
            <w:pPr>
              <w:spacing w:after="0"/>
              <w:jc w:val="right"/>
              <w:rPr>
                <w:color w:val="auto"/>
                <w:sz w:val="18"/>
                <w:szCs w:val="18"/>
                <w:lang w:val="sr-Cyrl-RS"/>
              </w:rPr>
            </w:pPr>
          </w:p>
        </w:tc>
      </w:tr>
      <w:tr w:rsidR="005F26DA" w:rsidRPr="000E0422" w14:paraId="05FAFDC2"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14:paraId="70423B81" w14:textId="77777777" w:rsidR="005F26DA" w:rsidRPr="000E0422" w:rsidRDefault="005F26DA" w:rsidP="00563037">
            <w:pPr>
              <w:spacing w:after="0"/>
              <w:rPr>
                <w:color w:val="auto"/>
                <w:sz w:val="18"/>
                <w:szCs w:val="18"/>
                <w:lang w:val="sr-Cyrl-RS"/>
              </w:rPr>
            </w:pPr>
            <w:r w:rsidRPr="000E0422">
              <w:rPr>
                <w:color w:val="auto"/>
                <w:sz w:val="18"/>
                <w:szCs w:val="18"/>
                <w:lang w:val="sr-Cyrl-RS"/>
              </w:rPr>
              <w:t>Консолидовани фискални резултат</w:t>
            </w:r>
          </w:p>
        </w:tc>
        <w:tc>
          <w:tcPr>
            <w:tcW w:w="605" w:type="pct"/>
            <w:shd w:val="clear" w:color="auto" w:fill="auto"/>
            <w:vAlign w:val="center"/>
          </w:tcPr>
          <w:p w14:paraId="37F1BC0D"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-8,0</w:t>
            </w:r>
          </w:p>
        </w:tc>
        <w:tc>
          <w:tcPr>
            <w:tcW w:w="605" w:type="pct"/>
            <w:shd w:val="clear" w:color="auto" w:fill="auto"/>
            <w:vAlign w:val="center"/>
          </w:tcPr>
          <w:p w14:paraId="4FC7FFA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-4,9</w:t>
            </w:r>
          </w:p>
        </w:tc>
        <w:tc>
          <w:tcPr>
            <w:tcW w:w="556" w:type="pct"/>
            <w:shd w:val="clear" w:color="auto" w:fill="auto"/>
            <w:vAlign w:val="center"/>
          </w:tcPr>
          <w:p w14:paraId="46A8C8E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-3,0</w:t>
            </w:r>
          </w:p>
        </w:tc>
        <w:tc>
          <w:tcPr>
            <w:tcW w:w="556" w:type="pct"/>
            <w:shd w:val="clear" w:color="auto" w:fill="auto"/>
            <w:vAlign w:val="center"/>
          </w:tcPr>
          <w:p w14:paraId="5430D23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-1,5</w:t>
            </w:r>
          </w:p>
        </w:tc>
        <w:tc>
          <w:tcPr>
            <w:tcW w:w="556" w:type="pct"/>
            <w:shd w:val="clear" w:color="auto" w:fill="auto"/>
            <w:vAlign w:val="center"/>
          </w:tcPr>
          <w:p w14:paraId="6FFE3317"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-1,0</w:t>
            </w:r>
          </w:p>
        </w:tc>
      </w:tr>
      <w:tr w:rsidR="005F26DA" w:rsidRPr="000E0422" w14:paraId="62D8AB30" w14:textId="77777777" w:rsidTr="00563037">
        <w:trPr>
          <w:trHeight w:val="253"/>
        </w:trPr>
        <w:tc>
          <w:tcPr>
            <w:tcW w:w="2121" w:type="pct"/>
            <w:shd w:val="clear" w:color="auto" w:fill="auto"/>
            <w:vAlign w:val="center"/>
          </w:tcPr>
          <w:p w14:paraId="08E5AD75" w14:textId="77777777" w:rsidR="005F26DA" w:rsidRPr="000E0422" w:rsidRDefault="005F26DA" w:rsidP="00563037">
            <w:pPr>
              <w:spacing w:after="0"/>
              <w:rPr>
                <w:color w:val="auto"/>
                <w:sz w:val="18"/>
                <w:szCs w:val="18"/>
                <w:lang w:val="sr-Cyrl-RS"/>
              </w:rPr>
            </w:pPr>
            <w:r w:rsidRPr="000E0422">
              <w:rPr>
                <w:color w:val="auto"/>
                <w:sz w:val="18"/>
                <w:szCs w:val="18"/>
                <w:lang w:val="sr-Cyrl-RS"/>
              </w:rPr>
              <w:t>Примарни консолидовани резултат</w:t>
            </w:r>
          </w:p>
        </w:tc>
        <w:tc>
          <w:tcPr>
            <w:tcW w:w="605" w:type="pct"/>
            <w:shd w:val="clear" w:color="auto" w:fill="auto"/>
            <w:vAlign w:val="center"/>
          </w:tcPr>
          <w:p w14:paraId="6E3C1AE6"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-6,0</w:t>
            </w:r>
          </w:p>
        </w:tc>
        <w:tc>
          <w:tcPr>
            <w:tcW w:w="605" w:type="pct"/>
            <w:shd w:val="clear" w:color="auto" w:fill="auto"/>
            <w:vAlign w:val="center"/>
          </w:tcPr>
          <w:p w14:paraId="12E0C8A4"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-3,1</w:t>
            </w:r>
          </w:p>
        </w:tc>
        <w:tc>
          <w:tcPr>
            <w:tcW w:w="556" w:type="pct"/>
            <w:shd w:val="clear" w:color="auto" w:fill="auto"/>
            <w:vAlign w:val="center"/>
          </w:tcPr>
          <w:p w14:paraId="547E026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-1,2</w:t>
            </w:r>
          </w:p>
        </w:tc>
        <w:tc>
          <w:tcPr>
            <w:tcW w:w="556" w:type="pct"/>
            <w:shd w:val="clear" w:color="auto" w:fill="auto"/>
            <w:vAlign w:val="center"/>
          </w:tcPr>
          <w:p w14:paraId="012E5C65"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0,2</w:t>
            </w:r>
          </w:p>
        </w:tc>
        <w:tc>
          <w:tcPr>
            <w:tcW w:w="556" w:type="pct"/>
            <w:shd w:val="clear" w:color="auto" w:fill="auto"/>
            <w:vAlign w:val="center"/>
          </w:tcPr>
          <w:p w14:paraId="6A9B4CA8"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0,7</w:t>
            </w:r>
          </w:p>
        </w:tc>
      </w:tr>
      <w:tr w:rsidR="005F26DA" w:rsidRPr="000E0422" w14:paraId="11AB2CCC"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14:paraId="2D2C33CB" w14:textId="77777777" w:rsidR="005F26DA" w:rsidRPr="000E0422" w:rsidRDefault="005F26DA" w:rsidP="00563037">
            <w:pPr>
              <w:spacing w:after="0"/>
              <w:rPr>
                <w:color w:val="auto"/>
                <w:sz w:val="18"/>
                <w:szCs w:val="18"/>
                <w:lang w:val="sr-Cyrl-RS"/>
              </w:rPr>
            </w:pPr>
          </w:p>
        </w:tc>
        <w:tc>
          <w:tcPr>
            <w:tcW w:w="605" w:type="pct"/>
            <w:shd w:val="clear" w:color="auto" w:fill="auto"/>
            <w:vAlign w:val="center"/>
          </w:tcPr>
          <w:p w14:paraId="13CBC70B" w14:textId="77777777" w:rsidR="005F26DA" w:rsidRPr="000E0422" w:rsidRDefault="005F26DA" w:rsidP="00563037">
            <w:pPr>
              <w:spacing w:after="0"/>
              <w:jc w:val="right"/>
              <w:rPr>
                <w:color w:val="auto"/>
                <w:sz w:val="18"/>
                <w:szCs w:val="18"/>
                <w:lang w:val="sr-Cyrl-RS"/>
              </w:rPr>
            </w:pPr>
          </w:p>
        </w:tc>
        <w:tc>
          <w:tcPr>
            <w:tcW w:w="605" w:type="pct"/>
            <w:shd w:val="clear" w:color="auto" w:fill="auto"/>
            <w:vAlign w:val="center"/>
          </w:tcPr>
          <w:p w14:paraId="0B9FB1BD"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087250BE"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24903B87"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4C486DDA" w14:textId="77777777" w:rsidR="005F26DA" w:rsidRPr="000E0422" w:rsidRDefault="005F26DA" w:rsidP="00563037">
            <w:pPr>
              <w:spacing w:after="0"/>
              <w:jc w:val="right"/>
              <w:rPr>
                <w:color w:val="auto"/>
                <w:sz w:val="18"/>
                <w:szCs w:val="18"/>
                <w:lang w:val="sr-Cyrl-RS"/>
              </w:rPr>
            </w:pPr>
          </w:p>
        </w:tc>
      </w:tr>
      <w:tr w:rsidR="005F26DA" w:rsidRPr="000E0422" w14:paraId="645C7BEF" w14:textId="77777777" w:rsidTr="00563037">
        <w:trPr>
          <w:trHeight w:val="253"/>
        </w:trPr>
        <w:tc>
          <w:tcPr>
            <w:tcW w:w="2121" w:type="pct"/>
            <w:shd w:val="clear" w:color="auto" w:fill="auto"/>
            <w:vAlign w:val="center"/>
          </w:tcPr>
          <w:p w14:paraId="6EE25776" w14:textId="77777777" w:rsidR="005F26DA" w:rsidRPr="000E0422" w:rsidRDefault="005F26DA" w:rsidP="00563037">
            <w:pPr>
              <w:spacing w:after="0"/>
              <w:rPr>
                <w:color w:val="auto"/>
                <w:sz w:val="18"/>
                <w:szCs w:val="18"/>
                <w:lang w:val="sr-Cyrl-RS"/>
              </w:rPr>
            </w:pPr>
            <w:r w:rsidRPr="000E0422">
              <w:rPr>
                <w:color w:val="auto"/>
                <w:sz w:val="18"/>
                <w:szCs w:val="18"/>
                <w:lang w:val="sr-Cyrl-RS"/>
              </w:rPr>
              <w:t>Дуг опште државе</w:t>
            </w:r>
          </w:p>
        </w:tc>
        <w:tc>
          <w:tcPr>
            <w:tcW w:w="605" w:type="pct"/>
            <w:shd w:val="clear" w:color="auto" w:fill="auto"/>
            <w:vAlign w:val="center"/>
          </w:tcPr>
          <w:p w14:paraId="7C424366"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57,8</w:t>
            </w:r>
          </w:p>
        </w:tc>
        <w:tc>
          <w:tcPr>
            <w:tcW w:w="605" w:type="pct"/>
            <w:shd w:val="clear" w:color="auto" w:fill="auto"/>
            <w:vAlign w:val="center"/>
          </w:tcPr>
          <w:p w14:paraId="152091E0"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58,2</w:t>
            </w:r>
          </w:p>
        </w:tc>
        <w:tc>
          <w:tcPr>
            <w:tcW w:w="556" w:type="pct"/>
            <w:shd w:val="clear" w:color="auto" w:fill="auto"/>
            <w:vAlign w:val="center"/>
          </w:tcPr>
          <w:p w14:paraId="1D88EE8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56,5</w:t>
            </w:r>
          </w:p>
        </w:tc>
        <w:tc>
          <w:tcPr>
            <w:tcW w:w="556" w:type="pct"/>
            <w:shd w:val="clear" w:color="auto" w:fill="auto"/>
            <w:vAlign w:val="center"/>
          </w:tcPr>
          <w:p w14:paraId="29348F8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55,3</w:t>
            </w:r>
          </w:p>
        </w:tc>
        <w:tc>
          <w:tcPr>
            <w:tcW w:w="556" w:type="pct"/>
            <w:shd w:val="clear" w:color="auto" w:fill="auto"/>
            <w:vAlign w:val="center"/>
          </w:tcPr>
          <w:p w14:paraId="60742FD9"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53,8</w:t>
            </w:r>
          </w:p>
        </w:tc>
      </w:tr>
      <w:tr w:rsidR="005F26DA" w:rsidRPr="000E0422" w14:paraId="29FFFEDA"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tcBorders>
              <w:bottom w:val="single" w:sz="4" w:space="0" w:color="002060"/>
            </w:tcBorders>
            <w:shd w:val="clear" w:color="auto" w:fill="auto"/>
            <w:vAlign w:val="center"/>
          </w:tcPr>
          <w:p w14:paraId="4B0B7370" w14:textId="77777777" w:rsidR="005F26DA" w:rsidRPr="000E0422" w:rsidRDefault="005F26DA" w:rsidP="00563037">
            <w:pPr>
              <w:spacing w:after="0"/>
              <w:rPr>
                <w:color w:val="auto"/>
                <w:sz w:val="18"/>
                <w:szCs w:val="18"/>
                <w:lang w:val="sr-Cyrl-RS"/>
              </w:rPr>
            </w:pPr>
            <w:r w:rsidRPr="000E0422">
              <w:rPr>
                <w:color w:val="auto"/>
                <w:sz w:val="18"/>
                <w:szCs w:val="18"/>
                <w:lang w:val="sr-Cyrl-RS"/>
              </w:rPr>
              <w:t>Реална стопа раста БДП</w:t>
            </w:r>
          </w:p>
        </w:tc>
        <w:tc>
          <w:tcPr>
            <w:tcW w:w="605" w:type="pct"/>
            <w:tcBorders>
              <w:bottom w:val="single" w:sz="4" w:space="0" w:color="002060"/>
            </w:tcBorders>
            <w:shd w:val="clear" w:color="auto" w:fill="auto"/>
            <w:vAlign w:val="center"/>
          </w:tcPr>
          <w:p w14:paraId="115873F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-0,9%</w:t>
            </w:r>
          </w:p>
        </w:tc>
        <w:tc>
          <w:tcPr>
            <w:tcW w:w="605" w:type="pct"/>
            <w:tcBorders>
              <w:bottom w:val="single" w:sz="4" w:space="0" w:color="002060"/>
            </w:tcBorders>
            <w:shd w:val="clear" w:color="auto" w:fill="auto"/>
            <w:vAlign w:val="center"/>
          </w:tcPr>
          <w:p w14:paraId="0964BFB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7,0%</w:t>
            </w:r>
          </w:p>
        </w:tc>
        <w:tc>
          <w:tcPr>
            <w:tcW w:w="556" w:type="pct"/>
            <w:tcBorders>
              <w:bottom w:val="single" w:sz="4" w:space="0" w:color="002060"/>
            </w:tcBorders>
            <w:shd w:val="clear" w:color="auto" w:fill="auto"/>
            <w:vAlign w:val="center"/>
          </w:tcPr>
          <w:p w14:paraId="791C91AB"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4,5%</w:t>
            </w:r>
          </w:p>
        </w:tc>
        <w:tc>
          <w:tcPr>
            <w:tcW w:w="556" w:type="pct"/>
            <w:tcBorders>
              <w:bottom w:val="single" w:sz="4" w:space="0" w:color="002060"/>
            </w:tcBorders>
            <w:shd w:val="clear" w:color="auto" w:fill="auto"/>
            <w:vAlign w:val="center"/>
          </w:tcPr>
          <w:p w14:paraId="580D4F6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5,0%</w:t>
            </w:r>
          </w:p>
        </w:tc>
        <w:tc>
          <w:tcPr>
            <w:tcW w:w="556" w:type="pct"/>
            <w:tcBorders>
              <w:bottom w:val="single" w:sz="4" w:space="0" w:color="002060"/>
            </w:tcBorders>
            <w:shd w:val="clear" w:color="auto" w:fill="auto"/>
            <w:vAlign w:val="center"/>
          </w:tcPr>
          <w:p w14:paraId="11ACB748"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5,0%</w:t>
            </w:r>
          </w:p>
        </w:tc>
      </w:tr>
    </w:tbl>
    <w:p w14:paraId="5CE0C5CA" w14:textId="77777777" w:rsidR="005F26DA" w:rsidRPr="000E0422" w:rsidRDefault="005F26DA" w:rsidP="00563037">
      <w:pPr>
        <w:rPr>
          <w:sz w:val="16"/>
          <w:szCs w:val="16"/>
          <w:lang w:val="sr-Cyrl-RS" w:eastAsia="ja-JP"/>
        </w:rPr>
      </w:pPr>
      <w:r w:rsidRPr="000E0422">
        <w:rPr>
          <w:sz w:val="16"/>
          <w:szCs w:val="16"/>
          <w:lang w:val="sr-Cyrl-RS" w:eastAsia="ja-JP"/>
        </w:rPr>
        <w:t>Извор:Министарство финансија</w:t>
      </w:r>
    </w:p>
    <w:p w14:paraId="3610B2FF" w14:textId="77777777" w:rsidR="005F26DA" w:rsidRPr="000E0422" w:rsidRDefault="005F26DA" w:rsidP="00E02533">
      <w:pPr>
        <w:spacing w:after="60"/>
        <w:rPr>
          <w:lang w:val="sr-Cyrl-RS" w:eastAsia="ja-JP"/>
        </w:rPr>
      </w:pPr>
      <w:r w:rsidRPr="000E0422">
        <w:rPr>
          <w:lang w:val="sr-Cyrl-RS" w:eastAsia="ja-JP"/>
        </w:rPr>
        <w:t>Циљеви фискалне политике у наредном средњорочном периоду биће стабилизација јавних финансија и повратак јавног дуга на опадајућу путању. Смањење учешћа дуга је уско везано за снижавање дефицита као главног фактора задуживања, тако да динамика спуштања дефицита опредељује и промену кретања дуга. Финансијске трансакције, као што је замена скупог дуга јефтинијим, као и боља позиција државе на међународном финансијском тржишту, допринеће додатном снижавању дуга.</w:t>
      </w:r>
    </w:p>
    <w:p w14:paraId="39AFA798" w14:textId="77777777" w:rsidR="005F26DA" w:rsidRPr="000E0422" w:rsidRDefault="005F26DA" w:rsidP="00563037">
      <w:pPr>
        <w:rPr>
          <w:lang w:val="sr-Cyrl-RS" w:eastAsia="ja-JP"/>
        </w:rPr>
      </w:pPr>
      <w:r w:rsidRPr="000E0422">
        <w:rPr>
          <w:lang w:val="sr-Cyrl-RS" w:eastAsia="ja-JP"/>
        </w:rPr>
        <w:t>Графикон 9. Фискални резултат и дуг опште државе, % БДП</w:t>
      </w:r>
    </w:p>
    <w:p w14:paraId="22BD4C96" w14:textId="77777777" w:rsidR="005F26DA" w:rsidRPr="000E0422" w:rsidRDefault="005F26DA" w:rsidP="00563037">
      <w:pPr>
        <w:rPr>
          <w:lang w:val="sr-Cyrl-RS" w:eastAsia="ja-JP"/>
        </w:rPr>
      </w:pPr>
      <w:r w:rsidRPr="000E0422">
        <w:rPr>
          <w:noProof/>
        </w:rPr>
        <w:lastRenderedPageBreak/>
        <w:drawing>
          <wp:inline distT="0" distB="0" distL="0" distR="0" wp14:anchorId="7A654258" wp14:editId="19AF345D">
            <wp:extent cx="5989955" cy="14097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2FCC37" w14:textId="77777777" w:rsidR="005F26DA" w:rsidRPr="000E0422" w:rsidRDefault="005F26DA" w:rsidP="00E02533">
      <w:pPr>
        <w:spacing w:after="60"/>
        <w:rPr>
          <w:b/>
          <w:bCs/>
          <w:lang w:val="sr-Cyrl-RS" w:eastAsia="ja-JP"/>
        </w:rPr>
      </w:pPr>
      <w:r w:rsidRPr="000E0422">
        <w:rPr>
          <w:lang w:val="sr-Cyrl-RS" w:eastAsia="ja-JP"/>
        </w:rPr>
        <w:t>Експанзивна фискална политика током 2020. и 2021. године умањила је негативне економске последице пандемије. У наредном средњорочном периоду предвиђено је умерено смањење дефицита опште државе како би се путем фискалне политике обезбедила потребна флексибилност националне економије на евентуалне екстерне шокове. То се, пре свега, односи на расходну страну, у виду повећања јавних инвестиција, као и додатног улагања у здравствени систем. На приходној страни приоритет ће остати даље смањење пореског оптерећења зарада и наставак борбе против пореске евазије и сиве економије.</w:t>
      </w:r>
    </w:p>
    <w:p w14:paraId="6BBA3CE2" w14:textId="77777777" w:rsidR="005F26DA" w:rsidRPr="000E0422" w:rsidRDefault="005F26DA" w:rsidP="00E02533">
      <w:pPr>
        <w:spacing w:after="60"/>
        <w:rPr>
          <w:b/>
          <w:bCs/>
          <w:lang w:val="sr-Cyrl-RS" w:eastAsia="ja-JP"/>
        </w:rPr>
      </w:pPr>
      <w:r w:rsidRPr="000E0422">
        <w:rPr>
          <w:lang w:val="sr-Cyrl-RS" w:eastAsia="ja-JP"/>
        </w:rPr>
        <w:t>Пројекција прихода у периоду од 2022. до 2024. године израђена је на основу:</w:t>
      </w:r>
    </w:p>
    <w:p w14:paraId="62BEA150" w14:textId="77777777" w:rsidR="005F26DA" w:rsidRPr="000E0422" w:rsidRDefault="005F26DA" w:rsidP="004D22FA">
      <w:pPr>
        <w:pStyle w:val="ListParagraph"/>
        <w:numPr>
          <w:ilvl w:val="0"/>
          <w:numId w:val="12"/>
        </w:numPr>
        <w:rPr>
          <w:sz w:val="24"/>
          <w:lang w:val="sr-Cyrl-RS"/>
        </w:rPr>
      </w:pPr>
      <w:r w:rsidRPr="000E0422">
        <w:rPr>
          <w:sz w:val="24"/>
          <w:lang w:val="sr-Cyrl-RS"/>
        </w:rPr>
        <w:t>пројекције кретања најважнијих макроекономских показатеља: БДП и његових компоненти, инфлације, девизног курса, спољнотрговинске размене, запослености и зарада;</w:t>
      </w:r>
    </w:p>
    <w:p w14:paraId="463F539A" w14:textId="77777777" w:rsidR="005F26DA" w:rsidRPr="000E0422" w:rsidRDefault="005F26DA" w:rsidP="004D22FA">
      <w:pPr>
        <w:pStyle w:val="ListParagraph"/>
        <w:numPr>
          <w:ilvl w:val="0"/>
          <w:numId w:val="12"/>
        </w:numPr>
        <w:rPr>
          <w:sz w:val="24"/>
          <w:lang w:val="sr-Cyrl-RS"/>
        </w:rPr>
      </w:pPr>
      <w:r w:rsidRPr="000E0422">
        <w:rPr>
          <w:sz w:val="24"/>
          <w:lang w:val="sr-Cyrl-RS"/>
        </w:rPr>
        <w:t>важеће и планиране измене пореске политике;</w:t>
      </w:r>
    </w:p>
    <w:p w14:paraId="0677171C" w14:textId="77777777" w:rsidR="005F26DA" w:rsidRPr="000E0422" w:rsidRDefault="005F26DA" w:rsidP="004D22FA">
      <w:pPr>
        <w:pStyle w:val="ListParagraph"/>
        <w:numPr>
          <w:ilvl w:val="0"/>
          <w:numId w:val="12"/>
        </w:numPr>
        <w:rPr>
          <w:sz w:val="24"/>
          <w:lang w:val="sr-Cyrl-RS"/>
        </w:rPr>
      </w:pPr>
      <w:r w:rsidRPr="000E0422">
        <w:rPr>
          <w:sz w:val="24"/>
          <w:lang w:val="sr-Cyrl-RS"/>
        </w:rPr>
        <w:t>процењених ефеката фискалних и структурних мера у наредном периоду.</w:t>
      </w:r>
    </w:p>
    <w:p w14:paraId="027E8DC4" w14:textId="77777777" w:rsidR="00E02533" w:rsidRDefault="00E02533" w:rsidP="00563037">
      <w:pPr>
        <w:rPr>
          <w:lang w:val="sr-Cyrl-RS" w:eastAsia="ja-JP"/>
        </w:rPr>
      </w:pPr>
    </w:p>
    <w:p w14:paraId="120AFE78" w14:textId="77777777" w:rsidR="00E02533" w:rsidRDefault="00E02533" w:rsidP="00563037">
      <w:pPr>
        <w:rPr>
          <w:lang w:val="sr-Cyrl-RS" w:eastAsia="ja-JP"/>
        </w:rPr>
      </w:pPr>
    </w:p>
    <w:p w14:paraId="3B92CCEF" w14:textId="77777777" w:rsidR="00E02533" w:rsidRDefault="00E02533" w:rsidP="00563037">
      <w:pPr>
        <w:rPr>
          <w:lang w:val="sr-Cyrl-RS" w:eastAsia="ja-JP"/>
        </w:rPr>
      </w:pPr>
    </w:p>
    <w:p w14:paraId="52D73908" w14:textId="77777777" w:rsidR="00E02533" w:rsidRDefault="00E02533" w:rsidP="00563037">
      <w:pPr>
        <w:rPr>
          <w:lang w:val="sr-Cyrl-RS" w:eastAsia="ja-JP"/>
        </w:rPr>
      </w:pPr>
    </w:p>
    <w:p w14:paraId="7D9539A7" w14:textId="77777777" w:rsidR="00E02533" w:rsidRDefault="00E02533" w:rsidP="00563037">
      <w:pPr>
        <w:rPr>
          <w:lang w:val="sr-Cyrl-RS" w:eastAsia="ja-JP"/>
        </w:rPr>
      </w:pPr>
    </w:p>
    <w:p w14:paraId="21BE50AF" w14:textId="1A3BA77E" w:rsidR="005F26DA" w:rsidRPr="000E0422" w:rsidRDefault="0075627A" w:rsidP="00563037">
      <w:pPr>
        <w:rPr>
          <w:lang w:val="sr-Cyrl-RS" w:eastAsia="ja-JP"/>
        </w:rPr>
      </w:pPr>
      <w:r>
        <w:rPr>
          <w:lang w:val="sr-Cyrl-RS" w:eastAsia="ja-JP"/>
        </w:rPr>
        <w:t xml:space="preserve">Табела </w:t>
      </w:r>
      <w:r>
        <w:rPr>
          <w:lang w:eastAsia="ja-JP"/>
        </w:rPr>
        <w:t>9</w:t>
      </w:r>
      <w:r w:rsidR="005F26DA" w:rsidRPr="000E0422">
        <w:rPr>
          <w:lang w:val="sr-Cyrl-RS" w:eastAsia="ja-JP"/>
        </w:rPr>
        <w:t>. Укупни приходи и донације у периоду 2020–2024. године, % БДП</w:t>
      </w:r>
    </w:p>
    <w:tbl>
      <w:tblPr>
        <w:tblStyle w:val="LightShading-Accent1211"/>
        <w:tblW w:w="5000" w:type="pct"/>
        <w:tblBorders>
          <w:top w:val="none" w:sz="0" w:space="0" w:color="auto"/>
          <w:bottom w:val="none" w:sz="0" w:space="0" w:color="auto"/>
        </w:tblBorders>
        <w:tblLook w:val="0420" w:firstRow="1" w:lastRow="0" w:firstColumn="0" w:lastColumn="0" w:noHBand="0" w:noVBand="1"/>
      </w:tblPr>
      <w:tblGrid>
        <w:gridCol w:w="3689"/>
        <w:gridCol w:w="1092"/>
        <w:gridCol w:w="1094"/>
        <w:gridCol w:w="1049"/>
        <w:gridCol w:w="1051"/>
        <w:gridCol w:w="1051"/>
      </w:tblGrid>
      <w:tr w:rsidR="005F26DA" w:rsidRPr="000E0422" w14:paraId="6E4D647A" w14:textId="77777777" w:rsidTr="00563037">
        <w:trPr>
          <w:cnfStyle w:val="100000000000" w:firstRow="1" w:lastRow="0" w:firstColumn="0" w:lastColumn="0" w:oddVBand="0" w:evenVBand="0" w:oddHBand="0" w:evenHBand="0" w:firstRowFirstColumn="0" w:firstRowLastColumn="0" w:lastRowFirstColumn="0" w:lastRowLastColumn="0"/>
          <w:trHeight w:val="253"/>
        </w:trPr>
        <w:tc>
          <w:tcPr>
            <w:tcW w:w="2044" w:type="pct"/>
            <w:tcBorders>
              <w:top w:val="single" w:sz="4" w:space="0" w:color="002060"/>
              <w:bottom w:val="single" w:sz="4" w:space="0" w:color="002060"/>
            </w:tcBorders>
            <w:noWrap/>
            <w:vAlign w:val="center"/>
          </w:tcPr>
          <w:p w14:paraId="1D2A164E" w14:textId="77777777" w:rsidR="005F26DA" w:rsidRPr="000E0422" w:rsidRDefault="005F26DA" w:rsidP="00563037">
            <w:pPr>
              <w:keepLines/>
              <w:widowControl w:val="0"/>
              <w:shd w:val="clear" w:color="auto" w:fill="FFFFFF" w:themeFill="background1"/>
              <w:spacing w:after="0"/>
              <w:rPr>
                <w:rFonts w:eastAsia="Times New Roman"/>
                <w:b w:val="0"/>
                <w:color w:val="auto"/>
                <w:sz w:val="18"/>
                <w:szCs w:val="18"/>
                <w:lang w:val="sr-Cyrl-RS"/>
              </w:rPr>
            </w:pPr>
            <w:r w:rsidRPr="000E0422">
              <w:rPr>
                <w:b w:val="0"/>
                <w:color w:val="auto"/>
                <w:sz w:val="18"/>
                <w:szCs w:val="18"/>
                <w:lang w:val="sr-Cyrl-RS"/>
              </w:rPr>
              <w:t>Опис</w:t>
            </w:r>
          </w:p>
        </w:tc>
        <w:tc>
          <w:tcPr>
            <w:tcW w:w="605" w:type="pct"/>
            <w:tcBorders>
              <w:top w:val="single" w:sz="4" w:space="0" w:color="002060"/>
              <w:bottom w:val="single" w:sz="4" w:space="0" w:color="002060"/>
            </w:tcBorders>
            <w:vAlign w:val="center"/>
          </w:tcPr>
          <w:p w14:paraId="72A661CF" w14:textId="77777777" w:rsidR="005F26DA" w:rsidRPr="000E0422" w:rsidRDefault="005F26DA" w:rsidP="00563037">
            <w:pPr>
              <w:keepNext/>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Извршење</w:t>
            </w:r>
          </w:p>
        </w:tc>
        <w:tc>
          <w:tcPr>
            <w:tcW w:w="606" w:type="pct"/>
            <w:tcBorders>
              <w:top w:val="single" w:sz="4" w:space="0" w:color="002060"/>
              <w:bottom w:val="single" w:sz="4" w:space="0" w:color="002060"/>
            </w:tcBorders>
            <w:vAlign w:val="center"/>
          </w:tcPr>
          <w:p w14:paraId="74033A3B" w14:textId="77777777" w:rsidR="005F26DA" w:rsidRPr="000E0422" w:rsidRDefault="005F26DA" w:rsidP="00563037">
            <w:pPr>
              <w:keepNext/>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Процена</w:t>
            </w:r>
          </w:p>
        </w:tc>
        <w:tc>
          <w:tcPr>
            <w:tcW w:w="1745" w:type="pct"/>
            <w:gridSpan w:val="3"/>
            <w:tcBorders>
              <w:top w:val="single" w:sz="4" w:space="0" w:color="002060"/>
              <w:bottom w:val="single" w:sz="4" w:space="0" w:color="002060"/>
            </w:tcBorders>
            <w:vAlign w:val="center"/>
          </w:tcPr>
          <w:p w14:paraId="3ADDE956" w14:textId="77777777" w:rsidR="005F26DA" w:rsidRPr="000E0422" w:rsidRDefault="005F26DA" w:rsidP="00563037">
            <w:pPr>
              <w:keepNext/>
              <w:widowControl w:val="0"/>
              <w:shd w:val="clear" w:color="auto" w:fill="FFFFFF" w:themeFill="background1"/>
              <w:spacing w:after="0"/>
              <w:jc w:val="center"/>
              <w:rPr>
                <w:rFonts w:eastAsia="Times New Roman"/>
                <w:b w:val="0"/>
                <w:color w:val="auto"/>
                <w:sz w:val="18"/>
                <w:szCs w:val="18"/>
                <w:lang w:val="sr-Cyrl-RS"/>
              </w:rPr>
            </w:pPr>
            <w:r w:rsidRPr="000E0422">
              <w:rPr>
                <w:b w:val="0"/>
                <w:color w:val="auto"/>
                <w:sz w:val="18"/>
                <w:szCs w:val="18"/>
                <w:lang w:val="sr-Cyrl-RS"/>
              </w:rPr>
              <w:t>Пројекција</w:t>
            </w:r>
          </w:p>
        </w:tc>
      </w:tr>
      <w:tr w:rsidR="005F26DA" w:rsidRPr="000E0422" w14:paraId="286877E3"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tcBorders>
              <w:top w:val="single" w:sz="4" w:space="0" w:color="002060"/>
            </w:tcBorders>
            <w:shd w:val="clear" w:color="auto" w:fill="FFFFFF" w:themeFill="background1"/>
            <w:noWrap/>
          </w:tcPr>
          <w:p w14:paraId="2A148D2A"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p>
        </w:tc>
        <w:tc>
          <w:tcPr>
            <w:tcW w:w="605" w:type="pct"/>
            <w:tcBorders>
              <w:top w:val="single" w:sz="4" w:space="0" w:color="002060"/>
              <w:bottom w:val="single" w:sz="4" w:space="0" w:color="002060"/>
            </w:tcBorders>
            <w:shd w:val="clear" w:color="auto" w:fill="FFFFFF" w:themeFill="background1"/>
          </w:tcPr>
          <w:p w14:paraId="71784D03"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2020</w:t>
            </w:r>
          </w:p>
        </w:tc>
        <w:tc>
          <w:tcPr>
            <w:tcW w:w="606" w:type="pct"/>
            <w:tcBorders>
              <w:top w:val="single" w:sz="4" w:space="0" w:color="002060"/>
              <w:bottom w:val="single" w:sz="4" w:space="0" w:color="002060"/>
            </w:tcBorders>
            <w:shd w:val="clear" w:color="auto" w:fill="FFFFFF" w:themeFill="background1"/>
          </w:tcPr>
          <w:p w14:paraId="2F2F543E"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2021</w:t>
            </w:r>
          </w:p>
        </w:tc>
        <w:tc>
          <w:tcPr>
            <w:tcW w:w="581" w:type="pct"/>
            <w:tcBorders>
              <w:top w:val="single" w:sz="4" w:space="0" w:color="002060"/>
              <w:bottom w:val="single" w:sz="4" w:space="0" w:color="002060"/>
            </w:tcBorders>
            <w:shd w:val="clear" w:color="auto" w:fill="FFFFFF" w:themeFill="background1"/>
          </w:tcPr>
          <w:p w14:paraId="45BF9495"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2022</w:t>
            </w:r>
          </w:p>
        </w:tc>
        <w:tc>
          <w:tcPr>
            <w:tcW w:w="582" w:type="pct"/>
            <w:tcBorders>
              <w:top w:val="single" w:sz="4" w:space="0" w:color="002060"/>
              <w:bottom w:val="single" w:sz="4" w:space="0" w:color="002060"/>
            </w:tcBorders>
            <w:shd w:val="clear" w:color="auto" w:fill="FFFFFF" w:themeFill="background1"/>
          </w:tcPr>
          <w:p w14:paraId="61B3EB99"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2023</w:t>
            </w:r>
          </w:p>
        </w:tc>
        <w:tc>
          <w:tcPr>
            <w:tcW w:w="582" w:type="pct"/>
            <w:tcBorders>
              <w:top w:val="single" w:sz="4" w:space="0" w:color="002060"/>
              <w:bottom w:val="single" w:sz="4" w:space="0" w:color="002060"/>
            </w:tcBorders>
            <w:shd w:val="clear" w:color="auto" w:fill="FFFFFF" w:themeFill="background1"/>
          </w:tcPr>
          <w:p w14:paraId="4E6233C2"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2024</w:t>
            </w:r>
          </w:p>
        </w:tc>
      </w:tr>
      <w:tr w:rsidR="005F26DA" w:rsidRPr="000E0422" w14:paraId="6A53D65B" w14:textId="77777777" w:rsidTr="00563037">
        <w:trPr>
          <w:trHeight w:val="253"/>
        </w:trPr>
        <w:tc>
          <w:tcPr>
            <w:tcW w:w="2044" w:type="pct"/>
            <w:shd w:val="clear" w:color="auto" w:fill="FFFFFF" w:themeFill="background1"/>
          </w:tcPr>
          <w:p w14:paraId="4ACC1435"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ЈАВНИ ПРИХОДИ</w:t>
            </w:r>
          </w:p>
        </w:tc>
        <w:tc>
          <w:tcPr>
            <w:tcW w:w="605" w:type="pct"/>
            <w:tcBorders>
              <w:top w:val="single" w:sz="4" w:space="0" w:color="002060"/>
            </w:tcBorders>
            <w:shd w:val="clear" w:color="auto" w:fill="FFFFFF" w:themeFill="background1"/>
          </w:tcPr>
          <w:p w14:paraId="12301FC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41,0</w:t>
            </w:r>
          </w:p>
        </w:tc>
        <w:tc>
          <w:tcPr>
            <w:tcW w:w="606" w:type="pct"/>
            <w:tcBorders>
              <w:top w:val="single" w:sz="4" w:space="0" w:color="002060"/>
            </w:tcBorders>
            <w:shd w:val="clear" w:color="auto" w:fill="FFFFFF" w:themeFill="background1"/>
            <w:noWrap/>
          </w:tcPr>
          <w:p w14:paraId="5B40E08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43,5</w:t>
            </w:r>
          </w:p>
        </w:tc>
        <w:tc>
          <w:tcPr>
            <w:tcW w:w="581" w:type="pct"/>
            <w:tcBorders>
              <w:top w:val="single" w:sz="4" w:space="0" w:color="002060"/>
            </w:tcBorders>
            <w:shd w:val="clear" w:color="auto" w:fill="FFFFFF" w:themeFill="background1"/>
            <w:noWrap/>
          </w:tcPr>
          <w:p w14:paraId="62F35C5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42,2</w:t>
            </w:r>
          </w:p>
        </w:tc>
        <w:tc>
          <w:tcPr>
            <w:tcW w:w="582" w:type="pct"/>
            <w:tcBorders>
              <w:top w:val="single" w:sz="4" w:space="0" w:color="002060"/>
            </w:tcBorders>
            <w:shd w:val="clear" w:color="auto" w:fill="FFFFFF" w:themeFill="background1"/>
            <w:noWrap/>
          </w:tcPr>
          <w:p w14:paraId="2D2A244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41.4</w:t>
            </w:r>
          </w:p>
        </w:tc>
        <w:tc>
          <w:tcPr>
            <w:tcW w:w="582" w:type="pct"/>
            <w:tcBorders>
              <w:top w:val="single" w:sz="4" w:space="0" w:color="002060"/>
            </w:tcBorders>
            <w:shd w:val="clear" w:color="auto" w:fill="FFFFFF" w:themeFill="background1"/>
            <w:noWrap/>
          </w:tcPr>
          <w:p w14:paraId="44BEE49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41,1</w:t>
            </w:r>
          </w:p>
        </w:tc>
      </w:tr>
      <w:tr w:rsidR="005F26DA" w:rsidRPr="000E0422" w14:paraId="14655DE9"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2D536409"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Текући приходи</w:t>
            </w:r>
          </w:p>
        </w:tc>
        <w:tc>
          <w:tcPr>
            <w:tcW w:w="605" w:type="pct"/>
            <w:shd w:val="clear" w:color="auto" w:fill="FFFFFF" w:themeFill="background1"/>
          </w:tcPr>
          <w:p w14:paraId="7331743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40,8</w:t>
            </w:r>
          </w:p>
        </w:tc>
        <w:tc>
          <w:tcPr>
            <w:tcW w:w="606" w:type="pct"/>
            <w:shd w:val="clear" w:color="auto" w:fill="FFFFFF" w:themeFill="background1"/>
            <w:noWrap/>
          </w:tcPr>
          <w:p w14:paraId="4B44AF6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43,1</w:t>
            </w:r>
          </w:p>
        </w:tc>
        <w:tc>
          <w:tcPr>
            <w:tcW w:w="581" w:type="pct"/>
            <w:shd w:val="clear" w:color="auto" w:fill="FFFFFF" w:themeFill="background1"/>
            <w:noWrap/>
          </w:tcPr>
          <w:p w14:paraId="250B1190"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41,8</w:t>
            </w:r>
          </w:p>
        </w:tc>
        <w:tc>
          <w:tcPr>
            <w:tcW w:w="582" w:type="pct"/>
            <w:shd w:val="clear" w:color="auto" w:fill="FFFFFF" w:themeFill="background1"/>
            <w:noWrap/>
          </w:tcPr>
          <w:p w14:paraId="34AD8BC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41,1</w:t>
            </w:r>
          </w:p>
        </w:tc>
        <w:tc>
          <w:tcPr>
            <w:tcW w:w="582" w:type="pct"/>
            <w:shd w:val="clear" w:color="auto" w:fill="FFFFFF" w:themeFill="background1"/>
            <w:noWrap/>
          </w:tcPr>
          <w:p w14:paraId="00D8B35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40,8</w:t>
            </w:r>
          </w:p>
        </w:tc>
      </w:tr>
      <w:tr w:rsidR="005F26DA" w:rsidRPr="000E0422" w14:paraId="25E3C780" w14:textId="77777777" w:rsidTr="00563037">
        <w:trPr>
          <w:trHeight w:val="253"/>
        </w:trPr>
        <w:tc>
          <w:tcPr>
            <w:tcW w:w="2044" w:type="pct"/>
            <w:shd w:val="clear" w:color="auto" w:fill="FFFFFF" w:themeFill="background1"/>
          </w:tcPr>
          <w:p w14:paraId="0FD081CD"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Порески приходи</w:t>
            </w:r>
          </w:p>
        </w:tc>
        <w:tc>
          <w:tcPr>
            <w:tcW w:w="605" w:type="pct"/>
            <w:shd w:val="clear" w:color="auto" w:fill="FFFFFF" w:themeFill="background1"/>
          </w:tcPr>
          <w:p w14:paraId="4D103F6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36,2</w:t>
            </w:r>
          </w:p>
        </w:tc>
        <w:tc>
          <w:tcPr>
            <w:tcW w:w="606" w:type="pct"/>
            <w:shd w:val="clear" w:color="auto" w:fill="FFFFFF" w:themeFill="background1"/>
            <w:noWrap/>
          </w:tcPr>
          <w:p w14:paraId="035CE47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38,9</w:t>
            </w:r>
          </w:p>
        </w:tc>
        <w:tc>
          <w:tcPr>
            <w:tcW w:w="581" w:type="pct"/>
            <w:shd w:val="clear" w:color="auto" w:fill="FFFFFF" w:themeFill="background1"/>
            <w:noWrap/>
          </w:tcPr>
          <w:p w14:paraId="1DB47DA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38,1</w:t>
            </w:r>
          </w:p>
        </w:tc>
        <w:tc>
          <w:tcPr>
            <w:tcW w:w="582" w:type="pct"/>
            <w:shd w:val="clear" w:color="auto" w:fill="FFFFFF" w:themeFill="background1"/>
            <w:noWrap/>
          </w:tcPr>
          <w:p w14:paraId="3044FE6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37,4</w:t>
            </w:r>
          </w:p>
        </w:tc>
        <w:tc>
          <w:tcPr>
            <w:tcW w:w="582" w:type="pct"/>
            <w:shd w:val="clear" w:color="auto" w:fill="FFFFFF" w:themeFill="background1"/>
            <w:noWrap/>
          </w:tcPr>
          <w:p w14:paraId="61E1937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37,3</w:t>
            </w:r>
          </w:p>
        </w:tc>
      </w:tr>
      <w:tr w:rsidR="005F26DA" w:rsidRPr="000E0422" w14:paraId="456014DE"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2E694FF8"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Порез на доходак грађана</w:t>
            </w:r>
          </w:p>
        </w:tc>
        <w:tc>
          <w:tcPr>
            <w:tcW w:w="605" w:type="pct"/>
            <w:shd w:val="clear" w:color="auto" w:fill="FFFFFF" w:themeFill="background1"/>
          </w:tcPr>
          <w:p w14:paraId="192DA81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w:t>
            </w:r>
          </w:p>
        </w:tc>
        <w:tc>
          <w:tcPr>
            <w:tcW w:w="606" w:type="pct"/>
            <w:shd w:val="clear" w:color="auto" w:fill="FFFFFF" w:themeFill="background1"/>
            <w:noWrap/>
          </w:tcPr>
          <w:p w14:paraId="07969A1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1" w:type="pct"/>
            <w:shd w:val="clear" w:color="auto" w:fill="FFFFFF" w:themeFill="background1"/>
            <w:noWrap/>
          </w:tcPr>
          <w:p w14:paraId="37A2BB2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2" w:type="pct"/>
            <w:shd w:val="clear" w:color="auto" w:fill="FFFFFF" w:themeFill="background1"/>
            <w:noWrap/>
          </w:tcPr>
          <w:p w14:paraId="78F37E1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2" w:type="pct"/>
            <w:shd w:val="clear" w:color="auto" w:fill="FFFFFF" w:themeFill="background1"/>
            <w:noWrap/>
          </w:tcPr>
          <w:p w14:paraId="303A3DC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r>
      <w:tr w:rsidR="005F26DA" w:rsidRPr="000E0422" w14:paraId="1087DE84" w14:textId="77777777" w:rsidTr="00563037">
        <w:trPr>
          <w:trHeight w:val="253"/>
        </w:trPr>
        <w:tc>
          <w:tcPr>
            <w:tcW w:w="2044" w:type="pct"/>
            <w:shd w:val="clear" w:color="auto" w:fill="FFFFFF" w:themeFill="background1"/>
          </w:tcPr>
          <w:p w14:paraId="120D56E0"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Порез на добит правних лица</w:t>
            </w:r>
          </w:p>
        </w:tc>
        <w:tc>
          <w:tcPr>
            <w:tcW w:w="605" w:type="pct"/>
            <w:shd w:val="clear" w:color="auto" w:fill="FFFFFF" w:themeFill="background1"/>
          </w:tcPr>
          <w:p w14:paraId="24CA9B2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606" w:type="pct"/>
            <w:shd w:val="clear" w:color="auto" w:fill="FFFFFF" w:themeFill="background1"/>
            <w:noWrap/>
          </w:tcPr>
          <w:p w14:paraId="0BAE0CF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2,5</w:t>
            </w:r>
          </w:p>
        </w:tc>
        <w:tc>
          <w:tcPr>
            <w:tcW w:w="581" w:type="pct"/>
            <w:shd w:val="clear" w:color="auto" w:fill="FFFFFF" w:themeFill="background1"/>
            <w:noWrap/>
          </w:tcPr>
          <w:p w14:paraId="2F34409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582" w:type="pct"/>
            <w:shd w:val="clear" w:color="auto" w:fill="FFFFFF" w:themeFill="background1"/>
            <w:noWrap/>
          </w:tcPr>
          <w:p w14:paraId="029F9B8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582" w:type="pct"/>
            <w:shd w:val="clear" w:color="auto" w:fill="FFFFFF" w:themeFill="background1"/>
            <w:noWrap/>
          </w:tcPr>
          <w:p w14:paraId="401F6C3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r>
      <w:tr w:rsidR="005F26DA" w:rsidRPr="000E0422" w14:paraId="57219BB7"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47703895"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ПДВ</w:t>
            </w:r>
          </w:p>
        </w:tc>
        <w:tc>
          <w:tcPr>
            <w:tcW w:w="605" w:type="pct"/>
            <w:shd w:val="clear" w:color="auto" w:fill="FFFFFF" w:themeFill="background1"/>
          </w:tcPr>
          <w:p w14:paraId="373782A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10,0</w:t>
            </w:r>
          </w:p>
        </w:tc>
        <w:tc>
          <w:tcPr>
            <w:tcW w:w="606" w:type="pct"/>
            <w:shd w:val="clear" w:color="auto" w:fill="FFFFFF" w:themeFill="background1"/>
            <w:noWrap/>
          </w:tcPr>
          <w:p w14:paraId="679CD27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10,6</w:t>
            </w:r>
          </w:p>
        </w:tc>
        <w:tc>
          <w:tcPr>
            <w:tcW w:w="581" w:type="pct"/>
            <w:shd w:val="clear" w:color="auto" w:fill="FFFFFF" w:themeFill="background1"/>
            <w:noWrap/>
          </w:tcPr>
          <w:p w14:paraId="0642A16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10,3</w:t>
            </w:r>
          </w:p>
        </w:tc>
        <w:tc>
          <w:tcPr>
            <w:tcW w:w="582" w:type="pct"/>
            <w:shd w:val="clear" w:color="auto" w:fill="FFFFFF" w:themeFill="background1"/>
            <w:noWrap/>
          </w:tcPr>
          <w:p w14:paraId="4536D08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c>
          <w:tcPr>
            <w:tcW w:w="582" w:type="pct"/>
            <w:shd w:val="clear" w:color="auto" w:fill="FFFFFF" w:themeFill="background1"/>
            <w:noWrap/>
          </w:tcPr>
          <w:p w14:paraId="62EA71E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r>
      <w:tr w:rsidR="005F26DA" w:rsidRPr="000E0422" w14:paraId="751793D0" w14:textId="77777777" w:rsidTr="00563037">
        <w:trPr>
          <w:trHeight w:val="253"/>
        </w:trPr>
        <w:tc>
          <w:tcPr>
            <w:tcW w:w="2044" w:type="pct"/>
            <w:shd w:val="clear" w:color="auto" w:fill="FFFFFF" w:themeFill="background1"/>
          </w:tcPr>
          <w:p w14:paraId="3F5F96AB"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Акцизе</w:t>
            </w:r>
          </w:p>
        </w:tc>
        <w:tc>
          <w:tcPr>
            <w:tcW w:w="605" w:type="pct"/>
            <w:shd w:val="clear" w:color="auto" w:fill="FFFFFF" w:themeFill="background1"/>
          </w:tcPr>
          <w:p w14:paraId="5123FA2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5,6</w:t>
            </w:r>
          </w:p>
        </w:tc>
        <w:tc>
          <w:tcPr>
            <w:tcW w:w="606" w:type="pct"/>
            <w:shd w:val="clear" w:color="auto" w:fill="FFFFFF" w:themeFill="background1"/>
            <w:noWrap/>
          </w:tcPr>
          <w:p w14:paraId="6C3FC64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5,3</w:t>
            </w:r>
          </w:p>
        </w:tc>
        <w:tc>
          <w:tcPr>
            <w:tcW w:w="581" w:type="pct"/>
            <w:shd w:val="clear" w:color="auto" w:fill="FFFFFF" w:themeFill="background1"/>
            <w:noWrap/>
          </w:tcPr>
          <w:p w14:paraId="65A6D9D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5,1</w:t>
            </w:r>
          </w:p>
        </w:tc>
        <w:tc>
          <w:tcPr>
            <w:tcW w:w="582" w:type="pct"/>
            <w:shd w:val="clear" w:color="auto" w:fill="FFFFFF" w:themeFill="background1"/>
            <w:noWrap/>
          </w:tcPr>
          <w:p w14:paraId="4D00596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4,9</w:t>
            </w:r>
          </w:p>
        </w:tc>
        <w:tc>
          <w:tcPr>
            <w:tcW w:w="582" w:type="pct"/>
            <w:shd w:val="clear" w:color="auto" w:fill="FFFFFF" w:themeFill="background1"/>
            <w:noWrap/>
          </w:tcPr>
          <w:p w14:paraId="2173DDF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4,7</w:t>
            </w:r>
          </w:p>
        </w:tc>
      </w:tr>
      <w:tr w:rsidR="005F26DA" w:rsidRPr="000E0422" w14:paraId="44043F44"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248E8428"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Царине</w:t>
            </w:r>
          </w:p>
        </w:tc>
        <w:tc>
          <w:tcPr>
            <w:tcW w:w="605" w:type="pct"/>
            <w:shd w:val="clear" w:color="auto" w:fill="FFFFFF" w:themeFill="background1"/>
          </w:tcPr>
          <w:p w14:paraId="0A70B41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0,9</w:t>
            </w:r>
          </w:p>
        </w:tc>
        <w:tc>
          <w:tcPr>
            <w:tcW w:w="606" w:type="pct"/>
            <w:shd w:val="clear" w:color="auto" w:fill="FFFFFF" w:themeFill="background1"/>
            <w:noWrap/>
          </w:tcPr>
          <w:p w14:paraId="20B9D41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1" w:type="pct"/>
            <w:shd w:val="clear" w:color="auto" w:fill="FFFFFF" w:themeFill="background1"/>
            <w:noWrap/>
          </w:tcPr>
          <w:p w14:paraId="140A21E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2" w:type="pct"/>
            <w:shd w:val="clear" w:color="auto" w:fill="FFFFFF" w:themeFill="background1"/>
            <w:noWrap/>
          </w:tcPr>
          <w:p w14:paraId="63C2EFC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2" w:type="pct"/>
            <w:shd w:val="clear" w:color="auto" w:fill="FFFFFF" w:themeFill="background1"/>
            <w:noWrap/>
          </w:tcPr>
          <w:p w14:paraId="4874CDB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r>
      <w:tr w:rsidR="005F26DA" w:rsidRPr="000E0422" w14:paraId="1C0517C1" w14:textId="77777777" w:rsidTr="00563037">
        <w:trPr>
          <w:trHeight w:val="253"/>
        </w:trPr>
        <w:tc>
          <w:tcPr>
            <w:tcW w:w="2044" w:type="pct"/>
            <w:shd w:val="clear" w:color="auto" w:fill="FFFFFF" w:themeFill="background1"/>
          </w:tcPr>
          <w:p w14:paraId="71FBFB7A"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Остали порески приходи</w:t>
            </w:r>
          </w:p>
        </w:tc>
        <w:tc>
          <w:tcPr>
            <w:tcW w:w="605" w:type="pct"/>
            <w:shd w:val="clear" w:color="auto" w:fill="FFFFFF" w:themeFill="background1"/>
          </w:tcPr>
          <w:p w14:paraId="6AEB671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606" w:type="pct"/>
            <w:shd w:val="clear" w:color="auto" w:fill="FFFFFF" w:themeFill="background1"/>
            <w:noWrap/>
          </w:tcPr>
          <w:p w14:paraId="63DF9DA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1" w:type="pct"/>
            <w:shd w:val="clear" w:color="auto" w:fill="FFFFFF" w:themeFill="background1"/>
            <w:noWrap/>
          </w:tcPr>
          <w:p w14:paraId="14B0BD1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2" w:type="pct"/>
            <w:shd w:val="clear" w:color="auto" w:fill="FFFFFF" w:themeFill="background1"/>
            <w:noWrap/>
          </w:tcPr>
          <w:p w14:paraId="5B5384A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2" w:type="pct"/>
            <w:shd w:val="clear" w:color="auto" w:fill="FFFFFF" w:themeFill="background1"/>
            <w:noWrap/>
          </w:tcPr>
          <w:p w14:paraId="2E15F92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1,4</w:t>
            </w:r>
          </w:p>
        </w:tc>
      </w:tr>
      <w:tr w:rsidR="005F26DA" w:rsidRPr="000E0422" w14:paraId="5511305F"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0A6D09E1"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Доприноси</w:t>
            </w:r>
          </w:p>
        </w:tc>
        <w:tc>
          <w:tcPr>
            <w:tcW w:w="605" w:type="pct"/>
            <w:shd w:val="clear" w:color="auto" w:fill="FFFFFF" w:themeFill="background1"/>
          </w:tcPr>
          <w:p w14:paraId="1420AA2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12,2</w:t>
            </w:r>
          </w:p>
        </w:tc>
        <w:tc>
          <w:tcPr>
            <w:tcW w:w="606" w:type="pct"/>
            <w:shd w:val="clear" w:color="auto" w:fill="FFFFFF" w:themeFill="background1"/>
            <w:noWrap/>
          </w:tcPr>
          <w:p w14:paraId="442C2A2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1" w:type="pct"/>
            <w:shd w:val="clear" w:color="auto" w:fill="FFFFFF" w:themeFill="background1"/>
            <w:noWrap/>
          </w:tcPr>
          <w:p w14:paraId="6D5901E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2" w:type="pct"/>
            <w:shd w:val="clear" w:color="auto" w:fill="FFFFFF" w:themeFill="background1"/>
            <w:noWrap/>
          </w:tcPr>
          <w:p w14:paraId="0AAB444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13,6</w:t>
            </w:r>
          </w:p>
        </w:tc>
        <w:tc>
          <w:tcPr>
            <w:tcW w:w="582" w:type="pct"/>
            <w:shd w:val="clear" w:color="auto" w:fill="FFFFFF" w:themeFill="background1"/>
            <w:noWrap/>
          </w:tcPr>
          <w:p w14:paraId="676627C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13,7</w:t>
            </w:r>
          </w:p>
        </w:tc>
      </w:tr>
      <w:tr w:rsidR="005F26DA" w:rsidRPr="000E0422" w14:paraId="3FA2D09C" w14:textId="77777777" w:rsidTr="00563037">
        <w:trPr>
          <w:trHeight w:val="253"/>
        </w:trPr>
        <w:tc>
          <w:tcPr>
            <w:tcW w:w="2044" w:type="pct"/>
            <w:shd w:val="clear" w:color="auto" w:fill="FFFFFF" w:themeFill="background1"/>
          </w:tcPr>
          <w:p w14:paraId="0F798B00"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Непорески приходи</w:t>
            </w:r>
          </w:p>
        </w:tc>
        <w:tc>
          <w:tcPr>
            <w:tcW w:w="605" w:type="pct"/>
            <w:shd w:val="clear" w:color="auto" w:fill="FFFFFF" w:themeFill="background1"/>
          </w:tcPr>
          <w:p w14:paraId="44D6345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4,6</w:t>
            </w:r>
          </w:p>
        </w:tc>
        <w:tc>
          <w:tcPr>
            <w:tcW w:w="606" w:type="pct"/>
            <w:shd w:val="clear" w:color="auto" w:fill="FFFFFF" w:themeFill="background1"/>
            <w:noWrap/>
          </w:tcPr>
          <w:p w14:paraId="68A320C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w:t>
            </w:r>
          </w:p>
        </w:tc>
        <w:tc>
          <w:tcPr>
            <w:tcW w:w="581" w:type="pct"/>
            <w:shd w:val="clear" w:color="auto" w:fill="FFFFFF" w:themeFill="background1"/>
            <w:noWrap/>
          </w:tcPr>
          <w:p w14:paraId="552C97E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w:t>
            </w:r>
          </w:p>
        </w:tc>
        <w:tc>
          <w:tcPr>
            <w:tcW w:w="582" w:type="pct"/>
            <w:shd w:val="clear" w:color="auto" w:fill="FFFFFF" w:themeFill="background1"/>
            <w:noWrap/>
          </w:tcPr>
          <w:p w14:paraId="2ACD5D0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w:t>
            </w:r>
          </w:p>
        </w:tc>
        <w:tc>
          <w:tcPr>
            <w:tcW w:w="582" w:type="pct"/>
            <w:shd w:val="clear" w:color="auto" w:fill="FFFFFF" w:themeFill="background1"/>
            <w:noWrap/>
          </w:tcPr>
          <w:p w14:paraId="2377A28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w:t>
            </w:r>
          </w:p>
        </w:tc>
      </w:tr>
      <w:tr w:rsidR="005F26DA" w:rsidRPr="000E0422" w14:paraId="08489F17"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tcBorders>
              <w:bottom w:val="single" w:sz="4" w:space="0" w:color="002060"/>
            </w:tcBorders>
            <w:shd w:val="clear" w:color="auto" w:fill="FFFFFF" w:themeFill="background1"/>
          </w:tcPr>
          <w:p w14:paraId="6429DA05"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Донације</w:t>
            </w:r>
          </w:p>
        </w:tc>
        <w:tc>
          <w:tcPr>
            <w:tcW w:w="605" w:type="pct"/>
            <w:tcBorders>
              <w:bottom w:val="single" w:sz="4" w:space="0" w:color="002060"/>
            </w:tcBorders>
            <w:shd w:val="clear" w:color="auto" w:fill="FFFFFF" w:themeFill="background1"/>
          </w:tcPr>
          <w:p w14:paraId="349DDA7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606" w:type="pct"/>
            <w:tcBorders>
              <w:bottom w:val="single" w:sz="4" w:space="0" w:color="002060"/>
            </w:tcBorders>
            <w:shd w:val="clear" w:color="auto" w:fill="FFFFFF" w:themeFill="background1"/>
            <w:noWrap/>
          </w:tcPr>
          <w:p w14:paraId="26D3E41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0,3</w:t>
            </w:r>
          </w:p>
        </w:tc>
        <w:tc>
          <w:tcPr>
            <w:tcW w:w="581" w:type="pct"/>
            <w:tcBorders>
              <w:bottom w:val="single" w:sz="4" w:space="0" w:color="002060"/>
            </w:tcBorders>
            <w:shd w:val="clear" w:color="auto" w:fill="FFFFFF" w:themeFill="background1"/>
            <w:noWrap/>
          </w:tcPr>
          <w:p w14:paraId="29E2622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2" w:type="pct"/>
            <w:tcBorders>
              <w:bottom w:val="single" w:sz="4" w:space="0" w:color="002060"/>
            </w:tcBorders>
            <w:shd w:val="clear" w:color="auto" w:fill="FFFFFF" w:themeFill="background1"/>
            <w:noWrap/>
          </w:tcPr>
          <w:p w14:paraId="6CDB7E0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2" w:type="pct"/>
            <w:tcBorders>
              <w:bottom w:val="single" w:sz="4" w:space="0" w:color="002060"/>
            </w:tcBorders>
            <w:shd w:val="clear" w:color="auto" w:fill="FFFFFF" w:themeFill="background1"/>
            <w:noWrap/>
          </w:tcPr>
          <w:p w14:paraId="3B7EBDE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0,3</w:t>
            </w:r>
          </w:p>
        </w:tc>
      </w:tr>
    </w:tbl>
    <w:p w14:paraId="650BEA1A" w14:textId="77777777" w:rsidR="005F26DA" w:rsidRPr="000E0422" w:rsidRDefault="005F26DA" w:rsidP="00563037">
      <w:pPr>
        <w:rPr>
          <w:sz w:val="16"/>
          <w:szCs w:val="16"/>
          <w:lang w:val="sr-Cyrl-RS" w:eastAsia="ja-JP"/>
        </w:rPr>
      </w:pPr>
      <w:r w:rsidRPr="000E0422">
        <w:rPr>
          <w:bCs/>
          <w:sz w:val="16"/>
          <w:szCs w:val="16"/>
          <w:lang w:val="sr-Cyrl-RS" w:eastAsia="ja-JP"/>
        </w:rPr>
        <w:t>Извор:</w:t>
      </w:r>
      <w:r w:rsidRPr="000E0422">
        <w:rPr>
          <w:sz w:val="16"/>
          <w:szCs w:val="16"/>
          <w:lang w:val="sr-Cyrl-RS" w:eastAsia="ja-JP"/>
        </w:rPr>
        <w:t>Министарствофинансија</w:t>
      </w:r>
    </w:p>
    <w:p w14:paraId="1520E2DB" w14:textId="77777777" w:rsidR="005F26DA" w:rsidRPr="000E0422" w:rsidRDefault="005F26DA" w:rsidP="00E02533">
      <w:pPr>
        <w:spacing w:after="60"/>
        <w:rPr>
          <w:lang w:val="sr-Cyrl-RS" w:eastAsia="ja-JP"/>
        </w:rPr>
      </w:pPr>
      <w:r w:rsidRPr="000E0422">
        <w:rPr>
          <w:lang w:val="sr-Cyrl-RS" w:eastAsia="ja-JP"/>
        </w:rPr>
        <w:t xml:space="preserve">Опадајући тренд прихода у смислу учешћа у БДП је очекиван с обзиром на пројектовану структуру средњорочног раста српске привреде. Наплата одложених обавеза из 2020. године ће повећати ниво прихода изнад трендног и у 2022. години, али ће појачати </w:t>
      </w:r>
      <w:r w:rsidRPr="000E0422">
        <w:rPr>
          <w:lang w:val="sr-Cyrl-RS" w:eastAsia="ja-JP"/>
        </w:rPr>
        <w:lastRenderedPageBreak/>
        <w:t>ефекат пада учешћа прихода у БДП у 2023. години. Пројекција пореских прихода подразумева одржавање постојећег степена наплате.</w:t>
      </w:r>
    </w:p>
    <w:p w14:paraId="29ABA541" w14:textId="77777777" w:rsidR="005F26DA" w:rsidRPr="000E0422" w:rsidRDefault="005F26DA" w:rsidP="00E02533">
      <w:pPr>
        <w:spacing w:after="60"/>
        <w:rPr>
          <w:lang w:val="sr-Cyrl-RS" w:eastAsia="ja-JP"/>
        </w:rPr>
      </w:pPr>
      <w:r w:rsidRPr="000E0422">
        <w:rPr>
          <w:lang w:val="sr-Cyrl-RS" w:eastAsia="ja-JP"/>
        </w:rPr>
        <w:t>Најважнија мера пореске политике у 2022. години је повећање неопорезивог цензуса са 18.300 динара на 19.300 динара уз умањење доприноса за пензијско и инвалидско осигурање на терет послодавца за 0,5 процентних поена. Губитак прихода по овом основу износи 17,2 млрд динара, од чега се 14,2 млрд динара односи на доприносе и 3 млрд на порез на зараде. На расходној страни доћи ће до мањих расхода за зараде у износу од 3,5 млрд динара с обзиром да се смањује износ бруто зараде. Укупан ефекат ове мере на резултат опште државе износи 13,7 млрд динара.</w:t>
      </w:r>
    </w:p>
    <w:p w14:paraId="38EF8335" w14:textId="77777777" w:rsidR="005F26DA" w:rsidRPr="000E0422" w:rsidRDefault="005F26DA" w:rsidP="00E02533">
      <w:pPr>
        <w:spacing w:after="60"/>
        <w:rPr>
          <w:lang w:val="sr-Cyrl-RS" w:eastAsia="ja-JP"/>
        </w:rPr>
      </w:pPr>
      <w:r w:rsidRPr="000E0422">
        <w:rPr>
          <w:lang w:val="sr-Cyrl-RS" w:eastAsia="ja-JP"/>
        </w:rPr>
        <w:t>Преовлађујући облик пореза на доходак је порез на зараде, тако да су кретање масе зарада и запослености главни фактори који утичу на кретање овог пореског облика. Ове приходе ће у 2022. години (као и у текућој) увећати наплата дела одложеног пореза на зараде из 2020. године у склопу пакета мера у борби против пандемије у износу од око 6 млрд динара, а смањиће ванредно повећање неопорезивог цензуса. У наредном периоду очекује се да маса зарада расте брже од номиналног БДП као резултат наставка повољних кретања на тржишту рада, те ће и приход по основу пореза на зараде расти у смислу учешћа у БДП. Очекивано повећање минималне зараде ће, такође, утицати на раст укупне масе зарада у привреди, а самим тим и на ову пореску категорију.</w:t>
      </w:r>
    </w:p>
    <w:p w14:paraId="578964DD" w14:textId="77777777" w:rsidR="005F26DA" w:rsidRPr="000E0422" w:rsidRDefault="005F26DA" w:rsidP="00E02533">
      <w:pPr>
        <w:spacing w:after="60"/>
        <w:rPr>
          <w:lang w:val="sr-Cyrl-RS" w:eastAsia="ja-JP"/>
        </w:rPr>
      </w:pPr>
      <w:r w:rsidRPr="000E0422">
        <w:rPr>
          <w:lang w:val="sr-Cyrl-RS" w:eastAsia="ja-JP"/>
        </w:rPr>
        <w:t>Остали облици пореза на доходак (порез на дивиденде, порез на приходе од камата, годишњи порез на доходак, итд.) ће расти спорије, то јест у складу са кретањем опште економске активности, тако да се очекује стабилан ниво прихода по основу укупног пореза на доходак, у смислу учешћа у БДП. Код пореза на зараде кључна је борба против сиве економије, с обзиром на знатан број непријављених радника и исплате зарада „на руке”. У последњим годинама интензивиране су контроле и појачане санкције што је дало резултате у сузбијању сиве економије у области рада и запошљавања, али је значајно да се на овом пољу настави са континуираним ангажманом и у наредном периоду.</w:t>
      </w:r>
    </w:p>
    <w:p w14:paraId="4CEF5F9B" w14:textId="77777777" w:rsidR="005F26DA" w:rsidRPr="000E0422" w:rsidRDefault="005F26DA" w:rsidP="00E02533">
      <w:pPr>
        <w:spacing w:after="60"/>
        <w:rPr>
          <w:lang w:val="sr-Cyrl-RS" w:eastAsia="ja-JP"/>
        </w:rPr>
      </w:pPr>
      <w:r w:rsidRPr="000E0422">
        <w:rPr>
          <w:lang w:val="sr-Cyrl-RS" w:eastAsia="ja-JP"/>
        </w:rPr>
        <w:t>Кретање учешћа доприноса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Део прихода ће се прикупити од наплате одложених доприноса из 2020. године у износу од по 30 млрд динара, и у 2022. години, док ће смањење стопа доприноса за пензијско и инвалидско осигурање на терет послодавца негативно утицати на приходе. Доприноси су пореска категорија код које је најизраженија пореска недисциплина и регистрован највећи дуг пореских обвезника, те су последице евентуалног повећања фискалне недисциплине највидљивије код овог пореског облика.</w:t>
      </w:r>
    </w:p>
    <w:p w14:paraId="163397AD" w14:textId="77777777" w:rsidR="005F26DA" w:rsidRPr="000E0422" w:rsidRDefault="005F26DA" w:rsidP="00E02533">
      <w:pPr>
        <w:spacing w:after="60"/>
        <w:rPr>
          <w:lang w:val="sr-Cyrl-RS" w:eastAsia="ja-JP"/>
        </w:rPr>
      </w:pPr>
      <w:r w:rsidRPr="000E0422">
        <w:rPr>
          <w:lang w:val="sr-Cyrl-RS" w:eastAsia="ja-JP"/>
        </w:rPr>
        <w:t>Приходи од пореза на добит правних лица у периоду 2022 – 2024. године зависиће од путање привредног раста, релативне стабилности курса динара и опште профитабилности привреде. Процена прихода по овом основу може бити неизвесна како због економских фактора, тако и због могућности коришћења пореског кредита или повраћаја, као и разлика у рачуноводственим и пореским билансима. Раст профитабилности привреде у 2020. години, и поред успоравања макроекономских активности, допринео је значајном скоку прихода од пореза на добит у 2021. години. С обзиром да се део ових прихода у 2021. години односи на пренете обавезе из 2020. године. Очекује се да се у периоду 2022</w:t>
      </w:r>
      <w:r w:rsidR="002A7232">
        <w:rPr>
          <w:lang w:val="sr-Cyrl-RS" w:eastAsia="ja-JP"/>
        </w:rPr>
        <w:t>–</w:t>
      </w:r>
      <w:r w:rsidRPr="000E0422">
        <w:rPr>
          <w:lang w:val="sr-Cyrl-RS" w:eastAsia="ja-JP"/>
        </w:rPr>
        <w:t>2024. године наплата пореза на добит стабилизује у складу са кретањем БДП.</w:t>
      </w:r>
    </w:p>
    <w:p w14:paraId="544E7D92" w14:textId="77777777" w:rsidR="005F26DA" w:rsidRPr="000E0422" w:rsidRDefault="005F26DA" w:rsidP="00E02533">
      <w:pPr>
        <w:spacing w:after="60"/>
        <w:rPr>
          <w:lang w:val="sr-Cyrl-RS" w:eastAsia="ja-JP"/>
        </w:rPr>
      </w:pPr>
      <w:r w:rsidRPr="000E0422">
        <w:rPr>
          <w:lang w:val="sr-Cyrl-RS" w:eastAsia="ja-JP"/>
        </w:rPr>
        <w:t xml:space="preserve">Главна детерминанта кретања ПДВ је домаћа тражња вођена расположивим дохотком становништва. Расположиви доходак као највећа детерминанта потрошње зависи од кретања зарада у јавном сектору, пензија, социјалне помоћи, кретања масе зарада у </w:t>
      </w:r>
      <w:r w:rsidRPr="000E0422">
        <w:rPr>
          <w:lang w:val="sr-Cyrl-RS" w:eastAsia="ja-JP"/>
        </w:rPr>
        <w:lastRenderedPageBreak/>
        <w:t>приватном сектору и осталих облика доходака, укључујући и дознаке, као и од динамике кредитне активности банака према становништву.</w:t>
      </w:r>
    </w:p>
    <w:p w14:paraId="62342CF1" w14:textId="77777777" w:rsidR="005F26DA" w:rsidRPr="000E0422" w:rsidRDefault="005F26DA" w:rsidP="00E02533">
      <w:pPr>
        <w:spacing w:after="60"/>
        <w:rPr>
          <w:lang w:val="sr-Cyrl-RS" w:eastAsia="ja-JP"/>
        </w:rPr>
      </w:pPr>
      <w:r w:rsidRPr="000E0422">
        <w:rPr>
          <w:lang w:val="sr-Cyrl-RS" w:eastAsia="ja-JP"/>
        </w:rPr>
        <w:t>У 2021. години неколико фактора је утицало на снажнији раст личне потрошње од очекиваног што је допринело ванредном повећању прихода од ПДВ, као што су стимулативне мере државе, одложена потрошња из претходне године и добар биланс у сектору туризма и других услужних делатности.</w:t>
      </w:r>
    </w:p>
    <w:p w14:paraId="06AD10C4" w14:textId="77777777" w:rsidR="005F26DA" w:rsidRPr="000E0422" w:rsidRDefault="005F26DA" w:rsidP="00E02533">
      <w:pPr>
        <w:spacing w:after="60"/>
        <w:rPr>
          <w:lang w:val="sr-Cyrl-RS" w:eastAsia="ja-JP"/>
        </w:rPr>
      </w:pPr>
      <w:r w:rsidRPr="000E0422">
        <w:rPr>
          <w:lang w:val="sr-Cyrl-RS" w:eastAsia="ja-JP"/>
        </w:rPr>
        <w:t xml:space="preserve"> Као и код пореза на доходак грађана, ризици за остварење пројекције ПДВ у наредном периоду, поред неизвесности у вези пандемије, односе се на кретање зарада у приватном сектору, раст привредне активности, као и на степен сиве економије, односно ефикасност у њеном смањењу.</w:t>
      </w:r>
    </w:p>
    <w:p w14:paraId="3868E24E" w14:textId="77777777" w:rsidR="005F26DA" w:rsidRPr="000E0422" w:rsidRDefault="005F26DA" w:rsidP="00E02533">
      <w:pPr>
        <w:spacing w:after="60"/>
        <w:rPr>
          <w:lang w:val="sr-Cyrl-RS" w:eastAsia="ja-JP"/>
        </w:rPr>
      </w:pPr>
      <w:r w:rsidRPr="000E0422">
        <w:rPr>
          <w:lang w:val="sr-Cyrl-RS" w:eastAsia="ja-JP"/>
        </w:rPr>
        <w:t>Резултати ефикасније наплате и контроле пореских обвезника су били евидентни у претходном периоду и очекује се да ће тај тренд бити настављен и даље, с тим што ефекти борбе против сиве економије нису експлицитно укључени у средњорочну пројекцију јавних прихода. Повећање степена ПДВ наплате у смислу спровођења независних антиевазионих мера у области ПДВ дало је резултате у протеклом периоду. У овом сегменту постоји простор за даља побољшања, кроз јачање и модернизацију пореске администрације.</w:t>
      </w:r>
    </w:p>
    <w:p w14:paraId="2ABE9F88" w14:textId="77777777" w:rsidR="005F26DA" w:rsidRPr="000E0422" w:rsidRDefault="005F26DA" w:rsidP="00E02533">
      <w:pPr>
        <w:spacing w:after="60"/>
        <w:rPr>
          <w:lang w:val="sr-Cyrl-RS" w:eastAsia="ja-JP"/>
        </w:rPr>
      </w:pPr>
      <w:r w:rsidRPr="000E0422">
        <w:rPr>
          <w:lang w:val="sr-Cyrl-RS" w:eastAsia="ja-JP"/>
        </w:rPr>
        <w:t>Пројекција прихода од акциза сачињена је на основу важеће акцизне политике и пројектоване потрошње акцизних производа. У оквиру акцизне политике код дуванских производа очекује се даље постепено усклађивање са директивама ЕУ у складу са средњорочним планом поступног повећавања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 у динарској противвредности прерачунато по званичном средњем курсу НБС. У наредном периоду је за потребе пројекције прихода од акциза, услед опрезности, предвиђен даљи природан пад тржишта дуванских производа, у просеку од око 3% годишње. За разлику од дуванских производа ситуација на тржишту деривата нафте је знатно мање волатилна. Боља контрола и ефекти маркирања деривата нафте смањили су могућност и исплативост нелегалних активности. У наредним годинама, услед опрезности, није претпостављен наставак раста потрошње деривата нафте иако се може очекивати да ће убрзање економске активности допринети расту потрошње. Приходи од акциза на алкохолна пића, кафу и електричну енергију су пројектовани у складу са постојећом структуром потрошње. Тренутни номинални износи акциза на алкохолна пића и кафу усклађени су са очекиваним износима стопе инфлације у средњорочном периоду. Усклађивање акциза на алкохолна пића у складу са директивом ЕУ неће имати значајне фискалне ефекте.</w:t>
      </w:r>
    </w:p>
    <w:p w14:paraId="6DFAEC09" w14:textId="77777777" w:rsidR="005F26DA" w:rsidRPr="000E0422" w:rsidRDefault="005F26DA" w:rsidP="00E02533">
      <w:pPr>
        <w:spacing w:after="60"/>
        <w:rPr>
          <w:lang w:val="sr-Cyrl-RS" w:eastAsia="ja-JP"/>
        </w:rPr>
      </w:pPr>
      <w:r w:rsidRPr="000E0422">
        <w:rPr>
          <w:lang w:val="sr-Cyrl-RS" w:eastAsia="ja-JP"/>
        </w:rPr>
        <w:t>Приходи од царина ће се стабилизовати на нивоу од 1,0% БДП у наредном периоду. Пројекција наплате прихода од царина рађена је на бази пројектованог кретања увоза, девизног курса и потрошње.</w:t>
      </w:r>
    </w:p>
    <w:p w14:paraId="4E3E07FC" w14:textId="77777777" w:rsidR="005F26DA" w:rsidRPr="000E0422" w:rsidRDefault="005F26DA" w:rsidP="00E02533">
      <w:pPr>
        <w:spacing w:after="60"/>
        <w:rPr>
          <w:lang w:val="sr-Cyrl-RS" w:eastAsia="ja-JP"/>
        </w:rPr>
      </w:pPr>
      <w:r w:rsidRPr="000E0422">
        <w:rPr>
          <w:lang w:val="sr-Cyrl-RS" w:eastAsia="ja-JP"/>
        </w:rPr>
        <w:t>Пројектује се стабилизација учешћа у БДП осталих пореских прихода. Најзначајнији порески приход у овој категорији је порез на имовину чије учешће износи око 70%. Номинално повећање овог прихода може се очекивати по основу проширења основице. Повећање степена наплате, кроз повећање обухвата непокретности на које се порез плаћа (то јест по основу проширења пореске базе), није укључено у пројекције у средњем року и представља позитиван ризик. Поред пореза на имовину, у остале пореске приходе укључују се и порези на употребу, држање и ношење добара, те други облици пореза на локалном нивоу. Они су пројектовани у складу са кретањем инфлације, будући да је инфлаторна компонента уграђена у значајан део ових пореских облика.</w:t>
      </w:r>
    </w:p>
    <w:p w14:paraId="3CC52BFC" w14:textId="77777777" w:rsidR="005F26DA" w:rsidRPr="000E0422" w:rsidRDefault="005F26DA" w:rsidP="00E02533">
      <w:pPr>
        <w:spacing w:after="60"/>
        <w:rPr>
          <w:lang w:val="sr-Cyrl-RS" w:eastAsia="ja-JP"/>
        </w:rPr>
      </w:pPr>
      <w:r w:rsidRPr="000E0422">
        <w:rPr>
          <w:lang w:val="sr-Cyrl-RS" w:eastAsia="ja-JP"/>
        </w:rPr>
        <w:lastRenderedPageBreak/>
        <w:t>Предвиђено је смањење учешћа непореских прихода у БДП, са 4,6% колико је приходовано у 2020. години на 3,5% колико се очекује да ће износити у 2024. години. Разлог за смањење пројектованог учешћа непореских прихода у БДП је искључивање из базне 2020. године свих оних прихода који се не сматрају структурним тј. трајним, а првенствено се то односи на ванредне категорије непореских прихода. Ванредни непорески приходи су углавном једнократни, у одређеној мери неизвесни, како по питању износа, тако и по питању тренутка уплате. Највећи део ових прихода представљају ванредне уплате добити јавних предузећа и агенција, дивиденде буџета, приходи по основу наплаћених потраживања АОД, емисионе премије, итд. Редовни непорески приходи обухватају различите таксе, накнаде, казне, приходе органа и организација и све остале приходе који се остварују устаљеном динамиком током године. Ови непорески приходи индексирају се са оствареном инфлацијом у претходној години, или пак прате промену у вредности основе на које се примењују и услед тога се коригују пројектованом инфлацијом.</w:t>
      </w:r>
    </w:p>
    <w:p w14:paraId="7335296D" w14:textId="77777777" w:rsidR="005F26DA" w:rsidRPr="000E0422" w:rsidRDefault="005F26DA" w:rsidP="00E02533">
      <w:pPr>
        <w:spacing w:after="60"/>
        <w:rPr>
          <w:lang w:val="sr-Cyrl-RS" w:eastAsia="ja-JP"/>
        </w:rPr>
      </w:pPr>
      <w:r w:rsidRPr="000E0422">
        <w:rPr>
          <w:lang w:val="sr-Cyrl-RS" w:eastAsia="ja-JP"/>
        </w:rPr>
        <w:t>Процесом приближавања државе чланству у ЕУ повећавају се расположива средства из ИПА и ИПАРД фондова која чине преовлађујући део прихода од донација. У пројектоване износе по основу донација укључена су и средства по основу секторске буџетске подршке ЕУ. Приходи по основу донација су неутрални у односу на резултат, с обзиром да су једнаки расходима по овом основу.</w:t>
      </w:r>
    </w:p>
    <w:p w14:paraId="5983345B" w14:textId="46BE6509" w:rsidR="005F26DA" w:rsidRDefault="005F26DA" w:rsidP="00E02533">
      <w:pPr>
        <w:spacing w:after="60"/>
        <w:rPr>
          <w:lang w:val="sr-Cyrl-RS" w:eastAsia="ja-JP"/>
        </w:rPr>
      </w:pPr>
      <w:r w:rsidRPr="000E0422">
        <w:rPr>
          <w:lang w:val="sr-Cyrl-RS" w:eastAsia="ja-JP"/>
        </w:rPr>
        <w:t>Одговорном фискалном политиком у комбинацији са добрим макроекономским перформансама у протеклом периоду обезбеђено је релаксирање политике плата и пензија и значајно повећање капиталних инвестиција као битне компоненте развоја привреде. Посебна пажња је посвећена унапређењу ефикасности реализације капиталних инвестиција државе. Социјална компонента буџета је побољшана бољим таргетирањем програма социјалне помоћи и већим издвајањем за функције здравства и образовања. Дефинисан је и начин индексације пензија. Плате и пензије заједно чине преко 40% расхода на нивоу опште државе и њихова стабилизација је од пресудног значаја за одрживост јавних финансија.</w:t>
      </w:r>
    </w:p>
    <w:p w14:paraId="1136E95B" w14:textId="6C4C7BE7" w:rsidR="00E02533" w:rsidRDefault="00E02533" w:rsidP="00E02533">
      <w:pPr>
        <w:spacing w:after="60"/>
        <w:rPr>
          <w:lang w:val="sr-Cyrl-RS" w:eastAsia="ja-JP"/>
        </w:rPr>
      </w:pPr>
    </w:p>
    <w:p w14:paraId="4D3A342B" w14:textId="38195143" w:rsidR="00E02533" w:rsidRDefault="00E02533" w:rsidP="00E02533">
      <w:pPr>
        <w:spacing w:after="60"/>
        <w:rPr>
          <w:lang w:val="sr-Cyrl-RS" w:eastAsia="ja-JP"/>
        </w:rPr>
      </w:pPr>
    </w:p>
    <w:p w14:paraId="3E4F457E" w14:textId="4C843A74" w:rsidR="00E02533" w:rsidRDefault="00E02533" w:rsidP="00E02533">
      <w:pPr>
        <w:spacing w:after="60"/>
        <w:rPr>
          <w:lang w:val="sr-Cyrl-RS" w:eastAsia="ja-JP"/>
        </w:rPr>
      </w:pPr>
    </w:p>
    <w:p w14:paraId="07C34A89" w14:textId="77777777" w:rsidR="00E02533" w:rsidRPr="000E0422" w:rsidRDefault="00E02533" w:rsidP="00E02533">
      <w:pPr>
        <w:spacing w:after="60"/>
        <w:rPr>
          <w:lang w:val="sr-Cyrl-RS" w:eastAsia="ja-JP"/>
        </w:rPr>
      </w:pPr>
    </w:p>
    <w:p w14:paraId="197C6758" w14:textId="77777777" w:rsidR="005F26DA" w:rsidRPr="000E0422" w:rsidRDefault="0075627A" w:rsidP="00563037">
      <w:pPr>
        <w:rPr>
          <w:lang w:val="sr-Cyrl-RS" w:eastAsia="ja-JP"/>
        </w:rPr>
      </w:pPr>
      <w:r>
        <w:rPr>
          <w:lang w:val="sr-Cyrl-RS" w:eastAsia="ja-JP"/>
        </w:rPr>
        <w:t>Табела 10</w:t>
      </w:r>
      <w:r w:rsidR="005F26DA" w:rsidRPr="000E0422">
        <w:rPr>
          <w:lang w:val="sr-Cyrl-RS" w:eastAsia="ja-JP"/>
        </w:rPr>
        <w:t>. Укупни расходи у периоду 2020–2024. године, % БДП</w:t>
      </w:r>
    </w:p>
    <w:tbl>
      <w:tblPr>
        <w:tblStyle w:val="LightShading-Accent1221"/>
        <w:tblW w:w="4952" w:type="pct"/>
        <w:tblLook w:val="0420" w:firstRow="1" w:lastRow="0" w:firstColumn="0" w:lastColumn="0" w:noHBand="0" w:noVBand="1"/>
      </w:tblPr>
      <w:tblGrid>
        <w:gridCol w:w="3517"/>
        <w:gridCol w:w="1151"/>
        <w:gridCol w:w="1151"/>
        <w:gridCol w:w="1039"/>
        <w:gridCol w:w="1039"/>
        <w:gridCol w:w="1042"/>
      </w:tblGrid>
      <w:tr w:rsidR="005F26DA" w:rsidRPr="000E0422" w14:paraId="6159175A" w14:textId="77777777" w:rsidTr="00563037">
        <w:trPr>
          <w:cnfStyle w:val="100000000000" w:firstRow="1" w:lastRow="0" w:firstColumn="0" w:lastColumn="0" w:oddVBand="0" w:evenVBand="0" w:oddHBand="0" w:evenHBand="0" w:firstRowFirstColumn="0" w:firstRowLastColumn="0" w:lastRowFirstColumn="0" w:lastRowLastColumn="0"/>
          <w:trHeight w:val="49"/>
        </w:trPr>
        <w:tc>
          <w:tcPr>
            <w:tcW w:w="1967" w:type="pct"/>
            <w:tcBorders>
              <w:top w:val="single" w:sz="4" w:space="0" w:color="002060"/>
              <w:bottom w:val="single" w:sz="4" w:space="0" w:color="002060"/>
            </w:tcBorders>
            <w:noWrap/>
            <w:vAlign w:val="center"/>
          </w:tcPr>
          <w:p w14:paraId="54955E1B" w14:textId="77777777" w:rsidR="005F26DA" w:rsidRPr="000E0422" w:rsidRDefault="005F26DA" w:rsidP="00563037">
            <w:pPr>
              <w:widowControl w:val="0"/>
              <w:shd w:val="clear" w:color="auto" w:fill="FFFFFF" w:themeFill="background1"/>
              <w:spacing w:after="0"/>
              <w:rPr>
                <w:rFonts w:eastAsia="Times New Roman"/>
                <w:b w:val="0"/>
                <w:color w:val="auto"/>
                <w:sz w:val="18"/>
                <w:szCs w:val="18"/>
                <w:lang w:val="sr-Cyrl-RS"/>
              </w:rPr>
            </w:pPr>
            <w:r w:rsidRPr="000E0422">
              <w:rPr>
                <w:b w:val="0"/>
                <w:color w:val="auto"/>
                <w:sz w:val="18"/>
                <w:szCs w:val="18"/>
                <w:lang w:val="sr-Cyrl-RS"/>
              </w:rPr>
              <w:t>Опис</w:t>
            </w:r>
          </w:p>
        </w:tc>
        <w:tc>
          <w:tcPr>
            <w:tcW w:w="644" w:type="pct"/>
            <w:tcBorders>
              <w:top w:val="single" w:sz="4" w:space="0" w:color="002060"/>
              <w:bottom w:val="single" w:sz="4" w:space="0" w:color="002060"/>
            </w:tcBorders>
            <w:vAlign w:val="center"/>
          </w:tcPr>
          <w:p w14:paraId="01480210" w14:textId="77777777" w:rsidR="005F26DA" w:rsidRPr="000E0422" w:rsidRDefault="005F26DA" w:rsidP="00563037">
            <w:pPr>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Извршење</w:t>
            </w:r>
          </w:p>
        </w:tc>
        <w:tc>
          <w:tcPr>
            <w:tcW w:w="644" w:type="pct"/>
            <w:tcBorders>
              <w:top w:val="single" w:sz="4" w:space="0" w:color="002060"/>
              <w:bottom w:val="single" w:sz="4" w:space="0" w:color="002060"/>
            </w:tcBorders>
            <w:vAlign w:val="center"/>
          </w:tcPr>
          <w:p w14:paraId="4283C188" w14:textId="77777777" w:rsidR="005F26DA" w:rsidRPr="000E0422" w:rsidRDefault="005F26DA" w:rsidP="00563037">
            <w:pPr>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Процена</w:t>
            </w:r>
          </w:p>
        </w:tc>
        <w:tc>
          <w:tcPr>
            <w:tcW w:w="1745" w:type="pct"/>
            <w:gridSpan w:val="3"/>
            <w:tcBorders>
              <w:top w:val="single" w:sz="4" w:space="0" w:color="002060"/>
              <w:bottom w:val="single" w:sz="4" w:space="0" w:color="002060"/>
            </w:tcBorders>
            <w:vAlign w:val="center"/>
          </w:tcPr>
          <w:p w14:paraId="53A44E35" w14:textId="77777777" w:rsidR="005F26DA" w:rsidRPr="000E0422" w:rsidRDefault="005F26DA" w:rsidP="00563037">
            <w:pPr>
              <w:widowControl w:val="0"/>
              <w:shd w:val="clear" w:color="auto" w:fill="FFFFFF" w:themeFill="background1"/>
              <w:spacing w:after="0"/>
              <w:jc w:val="center"/>
              <w:rPr>
                <w:rFonts w:eastAsia="Times New Roman"/>
                <w:b w:val="0"/>
                <w:color w:val="auto"/>
                <w:sz w:val="18"/>
                <w:szCs w:val="18"/>
                <w:lang w:val="sr-Cyrl-RS"/>
              </w:rPr>
            </w:pPr>
            <w:r w:rsidRPr="000E0422">
              <w:rPr>
                <w:b w:val="0"/>
                <w:color w:val="auto"/>
                <w:sz w:val="18"/>
                <w:szCs w:val="18"/>
                <w:lang w:val="sr-Cyrl-RS"/>
              </w:rPr>
              <w:t>Пројекција</w:t>
            </w:r>
          </w:p>
        </w:tc>
      </w:tr>
      <w:tr w:rsidR="005F26DA" w:rsidRPr="000E0422" w14:paraId="1D807C60"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tcBorders>
              <w:top w:val="single" w:sz="4" w:space="0" w:color="002060"/>
              <w:bottom w:val="nil"/>
            </w:tcBorders>
            <w:shd w:val="clear" w:color="auto" w:fill="FFFFFF" w:themeFill="background1"/>
            <w:noWrap/>
          </w:tcPr>
          <w:p w14:paraId="31E1B834"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p>
        </w:tc>
        <w:tc>
          <w:tcPr>
            <w:tcW w:w="644" w:type="pct"/>
            <w:tcBorders>
              <w:top w:val="single" w:sz="4" w:space="0" w:color="002060"/>
              <w:bottom w:val="single" w:sz="4" w:space="0" w:color="002060"/>
            </w:tcBorders>
            <w:shd w:val="clear" w:color="auto" w:fill="FFFFFF" w:themeFill="background1"/>
          </w:tcPr>
          <w:p w14:paraId="3B647AEF"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2020</w:t>
            </w:r>
          </w:p>
        </w:tc>
        <w:tc>
          <w:tcPr>
            <w:tcW w:w="644" w:type="pct"/>
            <w:tcBorders>
              <w:top w:val="single" w:sz="4" w:space="0" w:color="002060"/>
              <w:bottom w:val="single" w:sz="4" w:space="0" w:color="002060"/>
            </w:tcBorders>
            <w:shd w:val="clear" w:color="auto" w:fill="FFFFFF" w:themeFill="background1"/>
          </w:tcPr>
          <w:p w14:paraId="18CCE6B6"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2021</w:t>
            </w:r>
          </w:p>
        </w:tc>
        <w:tc>
          <w:tcPr>
            <w:tcW w:w="581" w:type="pct"/>
            <w:tcBorders>
              <w:top w:val="single" w:sz="4" w:space="0" w:color="002060"/>
              <w:bottom w:val="single" w:sz="4" w:space="0" w:color="002060"/>
            </w:tcBorders>
            <w:shd w:val="clear" w:color="auto" w:fill="FFFFFF" w:themeFill="background1"/>
          </w:tcPr>
          <w:p w14:paraId="07BB9D53"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2022</w:t>
            </w:r>
          </w:p>
        </w:tc>
        <w:tc>
          <w:tcPr>
            <w:tcW w:w="581" w:type="pct"/>
            <w:tcBorders>
              <w:top w:val="single" w:sz="4" w:space="0" w:color="002060"/>
              <w:bottom w:val="single" w:sz="4" w:space="0" w:color="002060"/>
            </w:tcBorders>
            <w:shd w:val="clear" w:color="auto" w:fill="FFFFFF" w:themeFill="background1"/>
          </w:tcPr>
          <w:p w14:paraId="438F3E63"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2023</w:t>
            </w:r>
          </w:p>
        </w:tc>
        <w:tc>
          <w:tcPr>
            <w:tcW w:w="583" w:type="pct"/>
            <w:tcBorders>
              <w:top w:val="single" w:sz="4" w:space="0" w:color="002060"/>
              <w:bottom w:val="single" w:sz="4" w:space="0" w:color="002060"/>
            </w:tcBorders>
            <w:shd w:val="clear" w:color="auto" w:fill="FFFFFF" w:themeFill="background1"/>
          </w:tcPr>
          <w:p w14:paraId="69592F82"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2024</w:t>
            </w:r>
          </w:p>
        </w:tc>
      </w:tr>
      <w:tr w:rsidR="005F26DA" w:rsidRPr="000E0422" w14:paraId="5B1F0065" w14:textId="77777777" w:rsidTr="00563037">
        <w:trPr>
          <w:trHeight w:val="49"/>
        </w:trPr>
        <w:tc>
          <w:tcPr>
            <w:tcW w:w="1967" w:type="pct"/>
            <w:tcBorders>
              <w:top w:val="nil"/>
            </w:tcBorders>
            <w:shd w:val="clear" w:color="auto" w:fill="FFFFFF" w:themeFill="background1"/>
          </w:tcPr>
          <w:p w14:paraId="653022CC" w14:textId="77777777" w:rsidR="005F26DA" w:rsidRPr="000E0422" w:rsidRDefault="005F26DA" w:rsidP="00563037">
            <w:pPr>
              <w:widowControl w:val="0"/>
              <w:shd w:val="clear" w:color="auto" w:fill="FFFFFF" w:themeFill="background1"/>
              <w:spacing w:after="0"/>
              <w:rPr>
                <w:color w:val="auto"/>
                <w:sz w:val="18"/>
                <w:szCs w:val="18"/>
                <w:lang w:val="sr-Cyrl-RS"/>
              </w:rPr>
            </w:pPr>
            <w:r w:rsidRPr="000E0422">
              <w:rPr>
                <w:color w:val="auto"/>
                <w:sz w:val="18"/>
                <w:szCs w:val="18"/>
                <w:lang w:val="sr-Cyrl-RS"/>
              </w:rPr>
              <w:t>ЈАВНИ РАСХОДИ</w:t>
            </w:r>
          </w:p>
        </w:tc>
        <w:tc>
          <w:tcPr>
            <w:tcW w:w="644" w:type="pct"/>
            <w:tcBorders>
              <w:top w:val="single" w:sz="4" w:space="0" w:color="002060"/>
            </w:tcBorders>
            <w:shd w:val="clear" w:color="auto" w:fill="FFFFFF" w:themeFill="background1"/>
          </w:tcPr>
          <w:p w14:paraId="02B3E79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49,0</w:t>
            </w:r>
          </w:p>
        </w:tc>
        <w:tc>
          <w:tcPr>
            <w:tcW w:w="644" w:type="pct"/>
            <w:tcBorders>
              <w:top w:val="single" w:sz="4" w:space="0" w:color="002060"/>
            </w:tcBorders>
            <w:shd w:val="clear" w:color="auto" w:fill="FFFFFF" w:themeFill="background1"/>
            <w:noWrap/>
          </w:tcPr>
          <w:p w14:paraId="4AC872E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48,4</w:t>
            </w:r>
          </w:p>
        </w:tc>
        <w:tc>
          <w:tcPr>
            <w:tcW w:w="581" w:type="pct"/>
            <w:tcBorders>
              <w:top w:val="single" w:sz="4" w:space="0" w:color="002060"/>
            </w:tcBorders>
            <w:shd w:val="clear" w:color="auto" w:fill="FFFFFF" w:themeFill="background1"/>
            <w:noWrap/>
          </w:tcPr>
          <w:p w14:paraId="06EC189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45,3</w:t>
            </w:r>
          </w:p>
        </w:tc>
        <w:tc>
          <w:tcPr>
            <w:tcW w:w="581" w:type="pct"/>
            <w:tcBorders>
              <w:top w:val="single" w:sz="4" w:space="0" w:color="002060"/>
            </w:tcBorders>
            <w:shd w:val="clear" w:color="auto" w:fill="FFFFFF" w:themeFill="background1"/>
            <w:noWrap/>
          </w:tcPr>
          <w:p w14:paraId="2A77B36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42,9</w:t>
            </w:r>
          </w:p>
        </w:tc>
        <w:tc>
          <w:tcPr>
            <w:tcW w:w="583" w:type="pct"/>
            <w:tcBorders>
              <w:top w:val="single" w:sz="4" w:space="0" w:color="002060"/>
            </w:tcBorders>
            <w:shd w:val="clear" w:color="auto" w:fill="FFFFFF" w:themeFill="background1"/>
            <w:noWrap/>
          </w:tcPr>
          <w:p w14:paraId="4D29E40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42,1</w:t>
            </w:r>
          </w:p>
        </w:tc>
      </w:tr>
      <w:tr w:rsidR="005F26DA" w:rsidRPr="000E0422" w14:paraId="2250B9DF"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4F5F0093"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Текући расходи</w:t>
            </w:r>
          </w:p>
        </w:tc>
        <w:tc>
          <w:tcPr>
            <w:tcW w:w="644" w:type="pct"/>
            <w:shd w:val="clear" w:color="auto" w:fill="FFFFFF" w:themeFill="background1"/>
          </w:tcPr>
          <w:p w14:paraId="0AA5F81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42,8</w:t>
            </w:r>
          </w:p>
        </w:tc>
        <w:tc>
          <w:tcPr>
            <w:tcW w:w="644" w:type="pct"/>
            <w:shd w:val="clear" w:color="auto" w:fill="FFFFFF" w:themeFill="background1"/>
            <w:noWrap/>
          </w:tcPr>
          <w:p w14:paraId="1C2B91C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40,1</w:t>
            </w:r>
          </w:p>
        </w:tc>
        <w:tc>
          <w:tcPr>
            <w:tcW w:w="581" w:type="pct"/>
            <w:shd w:val="clear" w:color="auto" w:fill="FFFFFF" w:themeFill="background1"/>
            <w:noWrap/>
          </w:tcPr>
          <w:p w14:paraId="4E83553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37,5</w:t>
            </w:r>
          </w:p>
        </w:tc>
        <w:tc>
          <w:tcPr>
            <w:tcW w:w="581" w:type="pct"/>
            <w:shd w:val="clear" w:color="auto" w:fill="FFFFFF" w:themeFill="background1"/>
            <w:noWrap/>
          </w:tcPr>
          <w:p w14:paraId="1F689FA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35,7</w:t>
            </w:r>
          </w:p>
        </w:tc>
        <w:tc>
          <w:tcPr>
            <w:tcW w:w="583" w:type="pct"/>
            <w:shd w:val="clear" w:color="auto" w:fill="FFFFFF" w:themeFill="background1"/>
            <w:noWrap/>
          </w:tcPr>
          <w:p w14:paraId="0BC1BBD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34,9</w:t>
            </w:r>
          </w:p>
        </w:tc>
      </w:tr>
      <w:tr w:rsidR="005F26DA" w:rsidRPr="000E0422" w14:paraId="27308672" w14:textId="77777777" w:rsidTr="00563037">
        <w:trPr>
          <w:trHeight w:val="49"/>
        </w:trPr>
        <w:tc>
          <w:tcPr>
            <w:tcW w:w="1967" w:type="pct"/>
            <w:shd w:val="clear" w:color="auto" w:fill="FFFFFF" w:themeFill="background1"/>
          </w:tcPr>
          <w:p w14:paraId="0DF7566A"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Расходи за запослене</w:t>
            </w:r>
          </w:p>
        </w:tc>
        <w:tc>
          <w:tcPr>
            <w:tcW w:w="644" w:type="pct"/>
            <w:shd w:val="clear" w:color="auto" w:fill="FFFFFF" w:themeFill="background1"/>
          </w:tcPr>
          <w:p w14:paraId="64BACF0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10,5</w:t>
            </w:r>
          </w:p>
        </w:tc>
        <w:tc>
          <w:tcPr>
            <w:tcW w:w="644" w:type="pct"/>
            <w:shd w:val="clear" w:color="auto" w:fill="FFFFFF" w:themeFill="background1"/>
            <w:noWrap/>
          </w:tcPr>
          <w:p w14:paraId="6DA584C0"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c>
          <w:tcPr>
            <w:tcW w:w="581" w:type="pct"/>
            <w:shd w:val="clear" w:color="auto" w:fill="FFFFFF" w:themeFill="background1"/>
            <w:noWrap/>
          </w:tcPr>
          <w:p w14:paraId="01E2BCF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10,1</w:t>
            </w:r>
          </w:p>
        </w:tc>
        <w:tc>
          <w:tcPr>
            <w:tcW w:w="581" w:type="pct"/>
            <w:shd w:val="clear" w:color="auto" w:fill="FFFFFF" w:themeFill="background1"/>
            <w:noWrap/>
          </w:tcPr>
          <w:p w14:paraId="7277923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10,1</w:t>
            </w:r>
          </w:p>
        </w:tc>
        <w:tc>
          <w:tcPr>
            <w:tcW w:w="583" w:type="pct"/>
            <w:shd w:val="clear" w:color="auto" w:fill="FFFFFF" w:themeFill="background1"/>
            <w:noWrap/>
          </w:tcPr>
          <w:p w14:paraId="70311CF3"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10,0</w:t>
            </w:r>
          </w:p>
        </w:tc>
      </w:tr>
      <w:tr w:rsidR="005F26DA" w:rsidRPr="000E0422" w14:paraId="3F22FD4F"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0BA29A1C"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Куповина робе и услуга</w:t>
            </w:r>
          </w:p>
        </w:tc>
        <w:tc>
          <w:tcPr>
            <w:tcW w:w="644" w:type="pct"/>
            <w:shd w:val="clear" w:color="auto" w:fill="FFFFFF" w:themeFill="background1"/>
          </w:tcPr>
          <w:p w14:paraId="77FEDDB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8,0</w:t>
            </w:r>
          </w:p>
        </w:tc>
        <w:tc>
          <w:tcPr>
            <w:tcW w:w="644" w:type="pct"/>
            <w:shd w:val="clear" w:color="auto" w:fill="FFFFFF" w:themeFill="background1"/>
            <w:noWrap/>
          </w:tcPr>
          <w:p w14:paraId="078CA28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8,0</w:t>
            </w:r>
          </w:p>
        </w:tc>
        <w:tc>
          <w:tcPr>
            <w:tcW w:w="581" w:type="pct"/>
            <w:shd w:val="clear" w:color="auto" w:fill="FFFFFF" w:themeFill="background1"/>
            <w:noWrap/>
          </w:tcPr>
          <w:p w14:paraId="3942ED6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7,7</w:t>
            </w:r>
          </w:p>
        </w:tc>
        <w:tc>
          <w:tcPr>
            <w:tcW w:w="581" w:type="pct"/>
            <w:shd w:val="clear" w:color="auto" w:fill="FFFFFF" w:themeFill="background1"/>
            <w:noWrap/>
          </w:tcPr>
          <w:p w14:paraId="579B6223"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7,4</w:t>
            </w:r>
          </w:p>
        </w:tc>
        <w:tc>
          <w:tcPr>
            <w:tcW w:w="583" w:type="pct"/>
            <w:shd w:val="clear" w:color="auto" w:fill="FFFFFF" w:themeFill="background1"/>
            <w:noWrap/>
          </w:tcPr>
          <w:p w14:paraId="7F10B5F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7,1</w:t>
            </w:r>
          </w:p>
        </w:tc>
      </w:tr>
      <w:tr w:rsidR="005F26DA" w:rsidRPr="000E0422" w14:paraId="14422A6F" w14:textId="77777777" w:rsidTr="00563037">
        <w:trPr>
          <w:trHeight w:val="49"/>
        </w:trPr>
        <w:tc>
          <w:tcPr>
            <w:tcW w:w="1967" w:type="pct"/>
            <w:shd w:val="clear" w:color="auto" w:fill="FFFFFF" w:themeFill="background1"/>
          </w:tcPr>
          <w:p w14:paraId="3C5C9B56"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Отплата камата</w:t>
            </w:r>
          </w:p>
        </w:tc>
        <w:tc>
          <w:tcPr>
            <w:tcW w:w="644" w:type="pct"/>
            <w:shd w:val="clear" w:color="auto" w:fill="FFFFFF" w:themeFill="background1"/>
          </w:tcPr>
          <w:p w14:paraId="47C011B3"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2,0</w:t>
            </w:r>
          </w:p>
        </w:tc>
        <w:tc>
          <w:tcPr>
            <w:tcW w:w="644" w:type="pct"/>
            <w:shd w:val="clear" w:color="auto" w:fill="FFFFFF" w:themeFill="background1"/>
            <w:noWrap/>
          </w:tcPr>
          <w:p w14:paraId="2E73E99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1" w:type="pct"/>
            <w:shd w:val="clear" w:color="auto" w:fill="FFFFFF" w:themeFill="background1"/>
            <w:noWrap/>
          </w:tcPr>
          <w:p w14:paraId="2FD5902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1" w:type="pct"/>
            <w:shd w:val="clear" w:color="auto" w:fill="FFFFFF" w:themeFill="background1"/>
            <w:noWrap/>
          </w:tcPr>
          <w:p w14:paraId="2F085F3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3" w:type="pct"/>
            <w:shd w:val="clear" w:color="auto" w:fill="FFFFFF" w:themeFill="background1"/>
            <w:noWrap/>
          </w:tcPr>
          <w:p w14:paraId="6F39B78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1,7</w:t>
            </w:r>
          </w:p>
        </w:tc>
      </w:tr>
      <w:tr w:rsidR="005F26DA" w:rsidRPr="000E0422" w14:paraId="2AF8DF38"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496291F5"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Субвенције</w:t>
            </w:r>
          </w:p>
        </w:tc>
        <w:tc>
          <w:tcPr>
            <w:tcW w:w="644" w:type="pct"/>
            <w:shd w:val="clear" w:color="auto" w:fill="FFFFFF" w:themeFill="background1"/>
          </w:tcPr>
          <w:p w14:paraId="65862F3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4,6</w:t>
            </w:r>
          </w:p>
        </w:tc>
        <w:tc>
          <w:tcPr>
            <w:tcW w:w="644" w:type="pct"/>
            <w:shd w:val="clear" w:color="auto" w:fill="FFFFFF" w:themeFill="background1"/>
            <w:noWrap/>
          </w:tcPr>
          <w:p w14:paraId="67CED25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w:t>
            </w:r>
          </w:p>
        </w:tc>
        <w:tc>
          <w:tcPr>
            <w:tcW w:w="581" w:type="pct"/>
            <w:shd w:val="clear" w:color="auto" w:fill="FFFFFF" w:themeFill="background1"/>
            <w:noWrap/>
          </w:tcPr>
          <w:p w14:paraId="0468EAC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2,5</w:t>
            </w:r>
          </w:p>
        </w:tc>
        <w:tc>
          <w:tcPr>
            <w:tcW w:w="581" w:type="pct"/>
            <w:shd w:val="clear" w:color="auto" w:fill="FFFFFF" w:themeFill="background1"/>
            <w:noWrap/>
          </w:tcPr>
          <w:p w14:paraId="4804194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2,1</w:t>
            </w:r>
          </w:p>
        </w:tc>
        <w:tc>
          <w:tcPr>
            <w:tcW w:w="583" w:type="pct"/>
            <w:shd w:val="clear" w:color="auto" w:fill="FFFFFF" w:themeFill="background1"/>
            <w:noWrap/>
          </w:tcPr>
          <w:p w14:paraId="604AA71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1,9</w:t>
            </w:r>
          </w:p>
        </w:tc>
      </w:tr>
      <w:tr w:rsidR="005F26DA" w:rsidRPr="000E0422" w14:paraId="7C0CBB1C" w14:textId="77777777" w:rsidTr="00563037">
        <w:trPr>
          <w:trHeight w:val="49"/>
        </w:trPr>
        <w:tc>
          <w:tcPr>
            <w:tcW w:w="1967" w:type="pct"/>
            <w:shd w:val="clear" w:color="auto" w:fill="FFFFFF" w:themeFill="background1"/>
          </w:tcPr>
          <w:p w14:paraId="28983439"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Социјална помоћ и трансфери</w:t>
            </w:r>
          </w:p>
        </w:tc>
        <w:tc>
          <w:tcPr>
            <w:tcW w:w="644" w:type="pct"/>
            <w:shd w:val="clear" w:color="auto" w:fill="FFFFFF" w:themeFill="background1"/>
          </w:tcPr>
          <w:p w14:paraId="7218301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14,7</w:t>
            </w:r>
          </w:p>
        </w:tc>
        <w:tc>
          <w:tcPr>
            <w:tcW w:w="644" w:type="pct"/>
            <w:shd w:val="clear" w:color="auto" w:fill="FFFFFF" w:themeFill="background1"/>
            <w:noWrap/>
          </w:tcPr>
          <w:p w14:paraId="24FADEB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1" w:type="pct"/>
            <w:shd w:val="clear" w:color="auto" w:fill="FFFFFF" w:themeFill="background1"/>
            <w:noWrap/>
          </w:tcPr>
          <w:p w14:paraId="473E0670"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13,8</w:t>
            </w:r>
          </w:p>
        </w:tc>
        <w:tc>
          <w:tcPr>
            <w:tcW w:w="581" w:type="pct"/>
            <w:shd w:val="clear" w:color="auto" w:fill="FFFFFF" w:themeFill="background1"/>
            <w:noWrap/>
          </w:tcPr>
          <w:p w14:paraId="3189E43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12,9</w:t>
            </w:r>
          </w:p>
        </w:tc>
        <w:tc>
          <w:tcPr>
            <w:tcW w:w="583" w:type="pct"/>
            <w:shd w:val="clear" w:color="auto" w:fill="FFFFFF" w:themeFill="background1"/>
            <w:noWrap/>
          </w:tcPr>
          <w:p w14:paraId="12059AB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12,6</w:t>
            </w:r>
          </w:p>
        </w:tc>
      </w:tr>
      <w:tr w:rsidR="005F26DA" w:rsidRPr="000E0422" w14:paraId="3B7BA29C" w14:textId="77777777" w:rsidTr="00563037">
        <w:trPr>
          <w:cnfStyle w:val="000000100000" w:firstRow="0" w:lastRow="0" w:firstColumn="0" w:lastColumn="0" w:oddVBand="0" w:evenVBand="0" w:oddHBand="1" w:evenHBand="0" w:firstRowFirstColumn="0" w:firstRowLastColumn="0" w:lastRowFirstColumn="0" w:lastRowLastColumn="0"/>
          <w:trHeight w:val="104"/>
        </w:trPr>
        <w:tc>
          <w:tcPr>
            <w:tcW w:w="1967" w:type="pct"/>
            <w:shd w:val="clear" w:color="auto" w:fill="FFFFFF" w:themeFill="background1"/>
          </w:tcPr>
          <w:p w14:paraId="0F732B91" w14:textId="77777777" w:rsidR="005F26DA" w:rsidRPr="000E0422" w:rsidRDefault="005F26DA" w:rsidP="00563037">
            <w:pPr>
              <w:widowControl w:val="0"/>
              <w:shd w:val="clear" w:color="auto" w:fill="FFFFFF" w:themeFill="background1"/>
              <w:spacing w:after="0"/>
              <w:ind w:left="397"/>
              <w:rPr>
                <w:rFonts w:eastAsia="Times New Roman"/>
                <w:bCs/>
                <w:i/>
                <w:color w:val="auto"/>
                <w:sz w:val="18"/>
                <w:szCs w:val="18"/>
                <w:lang w:val="sr-Cyrl-RS"/>
              </w:rPr>
            </w:pPr>
            <w:r w:rsidRPr="000E0422">
              <w:rPr>
                <w:rFonts w:eastAsia="Times New Roman"/>
                <w:bCs/>
                <w:i/>
                <w:color w:val="auto"/>
                <w:sz w:val="18"/>
                <w:szCs w:val="18"/>
                <w:lang w:val="sr-Cyrl-RS"/>
              </w:rPr>
              <w:t>од чега пензије</w:t>
            </w:r>
          </w:p>
        </w:tc>
        <w:tc>
          <w:tcPr>
            <w:tcW w:w="644" w:type="pct"/>
            <w:shd w:val="clear" w:color="auto" w:fill="FFFFFF" w:themeFill="background1"/>
          </w:tcPr>
          <w:p w14:paraId="505B2008"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10,6</w:t>
            </w:r>
          </w:p>
        </w:tc>
        <w:tc>
          <w:tcPr>
            <w:tcW w:w="644" w:type="pct"/>
            <w:shd w:val="clear" w:color="auto" w:fill="FFFFFF" w:themeFill="background1"/>
            <w:noWrap/>
          </w:tcPr>
          <w:p w14:paraId="52E8C240"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9,9</w:t>
            </w:r>
          </w:p>
        </w:tc>
        <w:tc>
          <w:tcPr>
            <w:tcW w:w="581" w:type="pct"/>
            <w:shd w:val="clear" w:color="auto" w:fill="FFFFFF" w:themeFill="background1"/>
            <w:noWrap/>
          </w:tcPr>
          <w:p w14:paraId="4670E7F1"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9,7</w:t>
            </w:r>
          </w:p>
        </w:tc>
        <w:tc>
          <w:tcPr>
            <w:tcW w:w="581" w:type="pct"/>
            <w:shd w:val="clear" w:color="auto" w:fill="FFFFFF" w:themeFill="background1"/>
            <w:noWrap/>
          </w:tcPr>
          <w:p w14:paraId="747EE875"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9,5</w:t>
            </w:r>
          </w:p>
        </w:tc>
        <w:tc>
          <w:tcPr>
            <w:tcW w:w="583" w:type="pct"/>
            <w:shd w:val="clear" w:color="auto" w:fill="FFFFFF" w:themeFill="background1"/>
            <w:noWrap/>
          </w:tcPr>
          <w:p w14:paraId="43A8BD86"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9,3</w:t>
            </w:r>
          </w:p>
        </w:tc>
      </w:tr>
      <w:tr w:rsidR="005F26DA" w:rsidRPr="000E0422" w14:paraId="53659EEF" w14:textId="77777777" w:rsidTr="00563037">
        <w:trPr>
          <w:trHeight w:val="49"/>
        </w:trPr>
        <w:tc>
          <w:tcPr>
            <w:tcW w:w="1967" w:type="pct"/>
            <w:shd w:val="clear" w:color="auto" w:fill="FFFFFF" w:themeFill="background1"/>
          </w:tcPr>
          <w:p w14:paraId="111A07DA"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Остали текући расходи</w:t>
            </w:r>
          </w:p>
        </w:tc>
        <w:tc>
          <w:tcPr>
            <w:tcW w:w="644" w:type="pct"/>
            <w:shd w:val="clear" w:color="auto" w:fill="FFFFFF" w:themeFill="background1"/>
          </w:tcPr>
          <w:p w14:paraId="2EABED1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3,0</w:t>
            </w:r>
          </w:p>
        </w:tc>
        <w:tc>
          <w:tcPr>
            <w:tcW w:w="644" w:type="pct"/>
            <w:shd w:val="clear" w:color="auto" w:fill="FFFFFF" w:themeFill="background1"/>
            <w:noWrap/>
          </w:tcPr>
          <w:p w14:paraId="14B4773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2,7</w:t>
            </w:r>
          </w:p>
        </w:tc>
        <w:tc>
          <w:tcPr>
            <w:tcW w:w="581" w:type="pct"/>
            <w:shd w:val="clear" w:color="auto" w:fill="FFFFFF" w:themeFill="background1"/>
            <w:noWrap/>
          </w:tcPr>
          <w:p w14:paraId="6A4E07E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1,6</w:t>
            </w:r>
          </w:p>
        </w:tc>
        <w:tc>
          <w:tcPr>
            <w:tcW w:w="581" w:type="pct"/>
            <w:shd w:val="clear" w:color="auto" w:fill="FFFFFF" w:themeFill="background1"/>
            <w:noWrap/>
          </w:tcPr>
          <w:p w14:paraId="4E91954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3" w:type="pct"/>
            <w:shd w:val="clear" w:color="auto" w:fill="FFFFFF" w:themeFill="background1"/>
            <w:noWrap/>
          </w:tcPr>
          <w:p w14:paraId="4218FB1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r>
      <w:tr w:rsidR="005F26DA" w:rsidRPr="000E0422" w14:paraId="06BE9992"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7C8F2125"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Капитални расходи</w:t>
            </w:r>
          </w:p>
        </w:tc>
        <w:tc>
          <w:tcPr>
            <w:tcW w:w="644" w:type="pct"/>
            <w:shd w:val="clear" w:color="auto" w:fill="FFFFFF" w:themeFill="background1"/>
          </w:tcPr>
          <w:p w14:paraId="19F77EF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5,3</w:t>
            </w:r>
          </w:p>
        </w:tc>
        <w:tc>
          <w:tcPr>
            <w:tcW w:w="644" w:type="pct"/>
            <w:shd w:val="clear" w:color="auto" w:fill="FFFFFF" w:themeFill="background1"/>
            <w:noWrap/>
          </w:tcPr>
          <w:p w14:paraId="46CF247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7,8</w:t>
            </w:r>
          </w:p>
        </w:tc>
        <w:tc>
          <w:tcPr>
            <w:tcW w:w="581" w:type="pct"/>
            <w:shd w:val="clear" w:color="auto" w:fill="FFFFFF" w:themeFill="background1"/>
            <w:noWrap/>
          </w:tcPr>
          <w:p w14:paraId="13B60B4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7,3</w:t>
            </w:r>
          </w:p>
        </w:tc>
        <w:tc>
          <w:tcPr>
            <w:tcW w:w="581" w:type="pct"/>
            <w:shd w:val="clear" w:color="auto" w:fill="FFFFFF" w:themeFill="background1"/>
            <w:noWrap/>
          </w:tcPr>
          <w:p w14:paraId="49DB387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6,9</w:t>
            </w:r>
          </w:p>
        </w:tc>
        <w:tc>
          <w:tcPr>
            <w:tcW w:w="583" w:type="pct"/>
            <w:shd w:val="clear" w:color="auto" w:fill="FFFFFF" w:themeFill="background1"/>
            <w:noWrap/>
          </w:tcPr>
          <w:p w14:paraId="7A115A3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6,9</w:t>
            </w:r>
          </w:p>
        </w:tc>
      </w:tr>
      <w:tr w:rsidR="005F26DA" w:rsidRPr="000E0422" w14:paraId="7A84474E" w14:textId="77777777" w:rsidTr="00563037">
        <w:trPr>
          <w:trHeight w:val="49"/>
        </w:trPr>
        <w:tc>
          <w:tcPr>
            <w:tcW w:w="1967" w:type="pct"/>
            <w:tcBorders>
              <w:bottom w:val="nil"/>
            </w:tcBorders>
            <w:shd w:val="clear" w:color="auto" w:fill="FFFFFF" w:themeFill="background1"/>
            <w:noWrap/>
          </w:tcPr>
          <w:p w14:paraId="59162252"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Нето буџетске позајмице</w:t>
            </w:r>
          </w:p>
        </w:tc>
        <w:tc>
          <w:tcPr>
            <w:tcW w:w="644" w:type="pct"/>
            <w:tcBorders>
              <w:bottom w:val="nil"/>
            </w:tcBorders>
            <w:shd w:val="clear" w:color="auto" w:fill="FFFFFF" w:themeFill="background1"/>
          </w:tcPr>
          <w:p w14:paraId="412F8B0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0,8</w:t>
            </w:r>
          </w:p>
        </w:tc>
        <w:tc>
          <w:tcPr>
            <w:tcW w:w="644" w:type="pct"/>
            <w:tcBorders>
              <w:bottom w:val="nil"/>
            </w:tcBorders>
            <w:shd w:val="clear" w:color="auto" w:fill="FFFFFF" w:themeFill="background1"/>
            <w:noWrap/>
          </w:tcPr>
          <w:p w14:paraId="57F5E40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1" w:type="pct"/>
            <w:tcBorders>
              <w:bottom w:val="nil"/>
            </w:tcBorders>
            <w:shd w:val="clear" w:color="auto" w:fill="FFFFFF" w:themeFill="background1"/>
            <w:noWrap/>
          </w:tcPr>
          <w:p w14:paraId="0F3917B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1" w:type="pct"/>
            <w:tcBorders>
              <w:bottom w:val="nil"/>
            </w:tcBorders>
            <w:shd w:val="clear" w:color="auto" w:fill="FFFFFF" w:themeFill="background1"/>
            <w:noWrap/>
          </w:tcPr>
          <w:p w14:paraId="1C4F8C0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583" w:type="pct"/>
            <w:tcBorders>
              <w:bottom w:val="nil"/>
            </w:tcBorders>
            <w:shd w:val="clear" w:color="auto" w:fill="FFFFFF" w:themeFill="background1"/>
            <w:noWrap/>
          </w:tcPr>
          <w:p w14:paraId="32BC3D3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r>
      <w:tr w:rsidR="005F26DA" w:rsidRPr="000E0422" w14:paraId="3590931B" w14:textId="77777777" w:rsidTr="00563037">
        <w:trPr>
          <w:cnfStyle w:val="000000100000" w:firstRow="0" w:lastRow="0" w:firstColumn="0" w:lastColumn="0" w:oddVBand="0" w:evenVBand="0" w:oddHBand="1" w:evenHBand="0" w:firstRowFirstColumn="0" w:firstRowLastColumn="0" w:lastRowFirstColumn="0" w:lastRowLastColumn="0"/>
          <w:trHeight w:val="95"/>
        </w:trPr>
        <w:tc>
          <w:tcPr>
            <w:tcW w:w="1967" w:type="pct"/>
            <w:tcBorders>
              <w:top w:val="nil"/>
              <w:bottom w:val="single" w:sz="4" w:space="0" w:color="002060"/>
            </w:tcBorders>
            <w:shd w:val="clear" w:color="auto" w:fill="FFFFFF" w:themeFill="background1"/>
            <w:noWrap/>
          </w:tcPr>
          <w:p w14:paraId="3FB0789E"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Отплата по основу гаранција</w:t>
            </w:r>
          </w:p>
        </w:tc>
        <w:tc>
          <w:tcPr>
            <w:tcW w:w="644" w:type="pct"/>
            <w:tcBorders>
              <w:top w:val="nil"/>
              <w:bottom w:val="single" w:sz="4" w:space="0" w:color="002060"/>
            </w:tcBorders>
            <w:shd w:val="clear" w:color="auto" w:fill="FFFFFF" w:themeFill="background1"/>
          </w:tcPr>
          <w:p w14:paraId="701013D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644" w:type="pct"/>
            <w:tcBorders>
              <w:top w:val="nil"/>
              <w:bottom w:val="single" w:sz="4" w:space="0" w:color="002060"/>
            </w:tcBorders>
            <w:shd w:val="clear" w:color="auto" w:fill="FFFFFF" w:themeFill="background1"/>
            <w:noWrap/>
          </w:tcPr>
          <w:p w14:paraId="33D64C7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581" w:type="pct"/>
            <w:tcBorders>
              <w:top w:val="nil"/>
              <w:bottom w:val="single" w:sz="4" w:space="0" w:color="002060"/>
            </w:tcBorders>
            <w:shd w:val="clear" w:color="auto" w:fill="FFFFFF" w:themeFill="background1"/>
            <w:noWrap/>
          </w:tcPr>
          <w:p w14:paraId="3F413D8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1" w:type="pct"/>
            <w:tcBorders>
              <w:top w:val="nil"/>
              <w:bottom w:val="single" w:sz="4" w:space="0" w:color="002060"/>
            </w:tcBorders>
            <w:shd w:val="clear" w:color="auto" w:fill="FFFFFF" w:themeFill="background1"/>
            <w:noWrap/>
          </w:tcPr>
          <w:p w14:paraId="44E2A0B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3" w:type="pct"/>
            <w:tcBorders>
              <w:top w:val="nil"/>
              <w:bottom w:val="single" w:sz="4" w:space="0" w:color="002060"/>
            </w:tcBorders>
            <w:shd w:val="clear" w:color="auto" w:fill="FFFFFF" w:themeFill="background1"/>
            <w:noWrap/>
          </w:tcPr>
          <w:p w14:paraId="453C4E3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r>
    </w:tbl>
    <w:p w14:paraId="06683C78" w14:textId="77777777" w:rsidR="005F26DA" w:rsidRPr="000E0422" w:rsidRDefault="005F26DA" w:rsidP="00563037">
      <w:pPr>
        <w:rPr>
          <w:sz w:val="16"/>
          <w:szCs w:val="16"/>
          <w:lang w:val="sr-Cyrl-RS" w:eastAsia="ja-JP"/>
        </w:rPr>
      </w:pPr>
      <w:r w:rsidRPr="000E0422">
        <w:rPr>
          <w:bCs/>
          <w:sz w:val="16"/>
          <w:szCs w:val="16"/>
          <w:lang w:val="sr-Cyrl-RS" w:eastAsia="ja-JP"/>
        </w:rPr>
        <w:t xml:space="preserve">Извор: </w:t>
      </w:r>
      <w:r w:rsidRPr="000E0422">
        <w:rPr>
          <w:sz w:val="16"/>
          <w:szCs w:val="16"/>
          <w:lang w:val="sr-Cyrl-RS" w:eastAsia="ja-JP"/>
        </w:rPr>
        <w:t>Министарство финансија</w:t>
      </w:r>
    </w:p>
    <w:p w14:paraId="67E469E9" w14:textId="77777777" w:rsidR="005F26DA" w:rsidRPr="000E0422" w:rsidRDefault="005F26DA" w:rsidP="00E02533">
      <w:pPr>
        <w:spacing w:after="60"/>
        <w:rPr>
          <w:lang w:val="sr-Cyrl-RS" w:eastAsia="ja-JP"/>
        </w:rPr>
      </w:pPr>
      <w:r w:rsidRPr="000E0422">
        <w:rPr>
          <w:lang w:val="sr-Cyrl-RS" w:eastAsia="ja-JP"/>
        </w:rPr>
        <w:t>У 2020. и 2021. години дошло је до промене тренда у јавним расходима с обзиром на размере кризе изазване пандемијом. Мере су биле значајне на расходној страни што је довело до једнократног повећања учешћа расходне стране буџета у БДП.</w:t>
      </w:r>
    </w:p>
    <w:p w14:paraId="40BFF0D4" w14:textId="77777777" w:rsidR="005F26DA" w:rsidRPr="000E0422" w:rsidRDefault="005F26DA" w:rsidP="00E02533">
      <w:pPr>
        <w:spacing w:after="60"/>
        <w:rPr>
          <w:lang w:val="sr-Cyrl-RS" w:eastAsia="ja-JP"/>
        </w:rPr>
      </w:pPr>
      <w:r w:rsidRPr="000E0422">
        <w:rPr>
          <w:lang w:val="sr-Cyrl-RS" w:eastAsia="ja-JP"/>
        </w:rPr>
        <w:lastRenderedPageBreak/>
        <w:t>На повећање расхода за запослене, чије учешће у БДП у 2020. години је износило 10,5% БДП, утицало је ванредно повећања зарада запослених у систему здравства, као и повећане исплате осталих облика дохотка као што су прековремени рад, награде и повећање броја запослених у овом сектору. С обзиром на ограничен фискални простор у наредном периоду зараде ће се повећавати умерено и уз контролу, водећи рачуна о њиховом учешћу у БДП.</w:t>
      </w:r>
    </w:p>
    <w:p w14:paraId="1E86BF0C" w14:textId="77777777" w:rsidR="005F26DA" w:rsidRPr="000E0422" w:rsidRDefault="005F26DA" w:rsidP="00E02533">
      <w:pPr>
        <w:spacing w:after="60"/>
        <w:rPr>
          <w:lang w:val="sr-Cyrl-RS" w:eastAsia="ja-JP"/>
        </w:rPr>
      </w:pPr>
      <w:r w:rsidRPr="000E0422">
        <w:rPr>
          <w:lang w:val="sr-Cyrl-RS" w:eastAsia="ja-JP"/>
        </w:rPr>
        <w:t>Законом о буџетском систему предвиђено је снижавање нивоа зарада без доприноса на терет послодавца до 7% БДП, међутим чини се да је тако таргетиран ниво зарада постављен доста ниско. Тренутно је учешће овако дефинисаних зарада у БДП око 8,7%. Просечан ниво зарада на нивоу опште државе у ЕУ је, пре пандемије, износио око 10% БДП, док је током 2020. године подигнут на 10,9% БДП. Током 2020. године, у Србији, као и у свим земљама ЕУ, учешће расхода за запослене у БДП је повећано.</w:t>
      </w:r>
    </w:p>
    <w:p w14:paraId="325BF485" w14:textId="77777777" w:rsidR="005F26DA" w:rsidRPr="000E0422" w:rsidRDefault="005F26DA" w:rsidP="00E02533">
      <w:pPr>
        <w:spacing w:after="60"/>
        <w:rPr>
          <w:lang w:val="sr-Cyrl-RS" w:eastAsia="ja-JP"/>
        </w:rPr>
      </w:pPr>
      <w:r w:rsidRPr="000E0422">
        <w:rPr>
          <w:lang w:val="sr-Cyrl-RS" w:eastAsia="ja-JP"/>
        </w:rPr>
        <w:t>У претходном периоду, започета је свеобухватна реформа система зарада у јавном сектору, која за циљ има обезбеђење правичности и смањење разлика између плата запослених у јавном сектору. С обзиром на ефекте пандемије на структуру запослених и нивое зараде у јавном сектору примена новог реформисаног система би требало да започне 2025. године.</w:t>
      </w:r>
    </w:p>
    <w:p w14:paraId="0CC05EE6" w14:textId="77777777" w:rsidR="005F26DA" w:rsidRPr="000E0422" w:rsidRDefault="005F26DA" w:rsidP="00E02533">
      <w:pPr>
        <w:spacing w:after="60"/>
        <w:rPr>
          <w:lang w:val="sr-Cyrl-RS" w:eastAsia="ja-JP"/>
        </w:rPr>
      </w:pPr>
      <w:r w:rsidRPr="000E0422">
        <w:rPr>
          <w:lang w:val="sr-Cyrl-RS" w:eastAsia="ja-JP"/>
        </w:rPr>
        <w:t>Током процеса консолидације на снази је била забрана запошљавања у јавном сектору. Са једне стране то је омогућавало контролу нивоа зарада, али се са друге стране повећао број уговора о раду на одређено време, као и недостатак кадрова у појединим деловима јавне управе. Сада је на снази флексибилнији начин контроле запошљавања, који је базиран на средњорочном планирању броја запослених у свим областима јавног сектора у складу са буџетским ограничењима.</w:t>
      </w:r>
    </w:p>
    <w:p w14:paraId="4B054318" w14:textId="77777777" w:rsidR="005F26DA" w:rsidRPr="000E0422" w:rsidRDefault="005F26DA" w:rsidP="00E02533">
      <w:pPr>
        <w:spacing w:after="60"/>
        <w:rPr>
          <w:lang w:val="sr-Cyrl-RS" w:eastAsia="ja-JP"/>
        </w:rPr>
      </w:pPr>
      <w:r w:rsidRPr="000E0422">
        <w:rPr>
          <w:lang w:val="sr-Cyrl-RS" w:eastAsia="ja-JP"/>
        </w:rPr>
        <w:t>Издаци за робе и услуге ће се постепено смањивати у средњорочном периоду у смислу учешћа у БДП, с обзиром да је предвиђено да номинално расту спорије од раста номиналног БДП. Висок ниво у 2020. и 2021. години у највећој мери је резултат већих расхода у здравству.</w:t>
      </w:r>
    </w:p>
    <w:p w14:paraId="23EBC9A2" w14:textId="77777777" w:rsidR="005F26DA" w:rsidRPr="000E0422" w:rsidRDefault="005F26DA" w:rsidP="00E02533">
      <w:pPr>
        <w:spacing w:after="60"/>
        <w:rPr>
          <w:lang w:val="sr-Cyrl-RS" w:eastAsia="ja-JP"/>
        </w:rPr>
      </w:pPr>
      <w:r w:rsidRPr="000E0422">
        <w:rPr>
          <w:lang w:val="sr-Cyrl-RS" w:eastAsia="ja-JP"/>
        </w:rPr>
        <w:t>Смањење расхода за камате један је од најбољих показатеља успешног вођене фискалне и монетарне политике, као и њихове пуне координације у претходном периоду. Добри фискални резултати у претходном периоду смањили су потребе за задуживањем, што је уз ублажавање монетарне политике довело до пада каматних стопа. У 2024. години ниво расхода за камате ће се смањити на 1,7% БДП.</w:t>
      </w:r>
    </w:p>
    <w:p w14:paraId="27A3247E" w14:textId="77777777" w:rsidR="005F26DA" w:rsidRPr="000E0422" w:rsidRDefault="005F26DA" w:rsidP="00E02533">
      <w:pPr>
        <w:spacing w:after="60"/>
        <w:rPr>
          <w:lang w:val="sr-Cyrl-RS" w:eastAsia="ja-JP"/>
        </w:rPr>
      </w:pPr>
      <w:r w:rsidRPr="000E0422">
        <w:rPr>
          <w:lang w:val="sr-Cyrl-RS" w:eastAsia="ja-JP"/>
        </w:rPr>
        <w:t>Социјална помоћ и трансфери становништву представљају највећу расходну категорију буџета опште државе. Највећа појединачна ставка ове групе расхода, а уједно и највећа ставка свих расхода, су пензије, која је у 2020. години достигла ниво од 10,6% БДП. Од 2020. године пензије се усклађују са такозваном „швајцарском формулом”, како би се истовремено обезбедио раст животног стандарда пензионера и одрживост пензионог система и система јавних финансија. „Швајцарска формула” подразумева индексацију, односно увећање пензија једнако збиру половине стопе раста просечне зараде и половине стопе раста потрошачких цена. Процењује се да ће законска индексација пензија у наредном средњорочном периоду износити између 5 и 6%, у 2022. години ће износити 5,5%, а у 2021. години, конкретно, је износила 5,9%. Остали облици социјалних давања и трансфера становништву у наредном периоду усклађиваће се применом прописане индексације, текућих и планираних измена политика у овој области и са пројектованим бројем корисника. Учешће расхода за социјална давања у БДП опада са 14,7%, колико износи у 2020. години, на 12,6% у 2024. години. У 2022. години предвиђена је једнократна исплата свим пензионерима у износу од по 20.000 динара, односно око 34 млрд динара укупно, што ће се одразити и на учешће расхода за социјалну заштиту у БДП.</w:t>
      </w:r>
    </w:p>
    <w:p w14:paraId="38BBCB0B" w14:textId="77777777" w:rsidR="005F26DA" w:rsidRPr="000E0422" w:rsidRDefault="005F26DA" w:rsidP="00E02533">
      <w:pPr>
        <w:spacing w:after="60"/>
        <w:rPr>
          <w:lang w:val="sr-Cyrl-RS" w:eastAsia="ja-JP"/>
        </w:rPr>
      </w:pPr>
      <w:r w:rsidRPr="000E0422">
        <w:rPr>
          <w:lang w:val="sr-Cyrl-RS" w:eastAsia="ja-JP"/>
        </w:rPr>
        <w:lastRenderedPageBreak/>
        <w:t>Смањење субвенција које служе као помоћ неефикасним сегментима јавног сектора омогућава повећање оног дела субвенција које представљају праве подстицаје привреди, пре свега пољопривреди и малим и средњим предузећима, и које доводе до убрзања привредне активности. Циљ је да се субвенционисана средства преусмере ка развојним програмима у привреди и пољопривреди. Раст субвенција у 2020. и 2021. години резултат је примене мера за превазилажење проблема изазваних пандемијском кризом.</w:t>
      </w:r>
    </w:p>
    <w:p w14:paraId="17693399" w14:textId="77777777" w:rsidR="005F26DA" w:rsidRPr="000E0422" w:rsidRDefault="005F26DA" w:rsidP="00E02533">
      <w:pPr>
        <w:spacing w:after="60"/>
        <w:rPr>
          <w:lang w:val="sr-Cyrl-RS" w:eastAsia="ja-JP"/>
        </w:rPr>
      </w:pPr>
      <w:r w:rsidRPr="000E0422">
        <w:rPr>
          <w:lang w:val="sr-Cyrl-RS" w:eastAsia="ja-JP"/>
        </w:rPr>
        <w:t>Категорије осталих текућих расхода чине различити издаци, као што су дотације удружењима, политичким странкама, верским и спортским организацијама, казне, накнада штете итд. Као и код субвенција једнократни раст је узрокован фискалном реакцијом на кризу, а у наредном периоду се очекује смањење ових расхода у БДП.</w:t>
      </w:r>
    </w:p>
    <w:p w14:paraId="39ED3CD0" w14:textId="77777777" w:rsidR="005F26DA" w:rsidRPr="000E0422" w:rsidRDefault="005F26DA" w:rsidP="00E02533">
      <w:pPr>
        <w:spacing w:after="60"/>
        <w:rPr>
          <w:lang w:val="sr-Cyrl-RS" w:eastAsia="ja-JP"/>
        </w:rPr>
      </w:pPr>
      <w:r w:rsidRPr="000E0422">
        <w:rPr>
          <w:lang w:val="sr-Cyrl-RS" w:eastAsia="ja-JP"/>
        </w:rPr>
        <w:t>Током претходне три године значајно је побољшана ефикасност извршења јавних инвестиција. Капитални расходи су повећани на 5,3% БДП у 2020. години захваљујући отпочињању новог циклуса инфраструктурних пројеката, а у 2021. години се очекује достизање нивоа од чак 7,8% БДП, упркос проблемима које је проузроковала пандемија. У наредном средњорочном периоду очекује се ниво улагања у јавну инфраструктуру који је знатно виши од оног у претходним годинама. Најзначајнији радови су на путној, железничкој, комуналној и водној инфраструктури који се углавном финансирају из међународних кредита. Поред саобраћајне инфраструктуре обезбеђена су средства за додатна капитална улагања у здравству, заштити животне средине, просвети, култури, одбрани и другим областима које представљају најважније функције државе. Ово је све део новог инвестиционог циклуса на националном нивоу који је омогућен стварањем фискалног простора и подржан повољним условима за задуживање на међународном финансијском тржишту.</w:t>
      </w:r>
    </w:p>
    <w:p w14:paraId="5D42D54C" w14:textId="77777777" w:rsidR="005F26DA" w:rsidRPr="000E0422" w:rsidRDefault="005F26DA" w:rsidP="00E02533">
      <w:pPr>
        <w:spacing w:after="60"/>
        <w:rPr>
          <w:lang w:val="sr-Cyrl-RS" w:eastAsia="ja-JP"/>
        </w:rPr>
      </w:pPr>
      <w:r w:rsidRPr="000E0422">
        <w:rPr>
          <w:lang w:val="sr-Cyrl-RS" w:eastAsia="ja-JP"/>
        </w:rPr>
        <w:t>Опште опредељење фискалне политике у средњем року јесте повећање улагања у инфраструктуру на свим нивоима власти. Кад је реч о локалном нивоу власти то се пре свега односи на улагања у водоводну и канализациону инфраструктуру, управљању отпадом, локалну путну инфраструктуру и друго.</w:t>
      </w:r>
    </w:p>
    <w:p w14:paraId="67FDA75D" w14:textId="77777777" w:rsidR="005F26DA" w:rsidRPr="000E0422" w:rsidRDefault="005F26DA" w:rsidP="00E02533">
      <w:pPr>
        <w:spacing w:after="60"/>
        <w:rPr>
          <w:lang w:val="sr-Cyrl-RS" w:eastAsia="ja-JP"/>
        </w:rPr>
      </w:pPr>
      <w:r w:rsidRPr="000E0422">
        <w:rPr>
          <w:lang w:val="sr-Cyrl-RS" w:eastAsia="ja-JP"/>
        </w:rPr>
        <w:t>У средњорочном фискалном оквиру, до краја 2024. године, пројектована је избалансирана укупна фискална позиција локалне самоуправе. То значи да у збиру сви градови и општине имају приближно избалансиран буџет. Пројекција је рађена на основу кретања у претходном периоду, у коме су збирно ЈЛС најчешће биле у суфициту. Овакво стање на нивоу свих локалних самоуправа је последица раздуживања у претходном периоду. То не значи да појединачне ЈЛС не могу ићи у дефицит, што зависи од фискалне позиције сваке појединачне општине и града.</w:t>
      </w:r>
    </w:p>
    <w:p w14:paraId="090A8410" w14:textId="77777777" w:rsidR="005F26DA" w:rsidRPr="000E0422" w:rsidRDefault="005F26DA" w:rsidP="00E02533">
      <w:pPr>
        <w:spacing w:after="60"/>
        <w:rPr>
          <w:lang w:val="sr-Cyrl-RS" w:eastAsia="ja-JP"/>
        </w:rPr>
      </w:pPr>
      <w:r w:rsidRPr="000E0422">
        <w:rPr>
          <w:lang w:val="sr-Cyrl-RS" w:eastAsia="ja-JP"/>
        </w:rPr>
        <w:t>Пројектовано је смањивање нивоа буџетских позајмица и отплате дуга по основу гаранција у наредном средњорочном периоду. Укупно учешће ове две категорије у БДП сведено је на 0,4% БДП у 2019. години уз привремени раст у 2020. и 2021. години. До краја 2024. године ови издаци ће бити минимални, са учешћем до 0,2% БДП.</w:t>
      </w:r>
    </w:p>
    <w:p w14:paraId="73791527" w14:textId="77777777" w:rsidR="005F26DA" w:rsidRPr="000E0422" w:rsidRDefault="005F26DA" w:rsidP="00E02533">
      <w:pPr>
        <w:spacing w:after="60"/>
        <w:rPr>
          <w:lang w:val="sr-Cyrl-RS" w:eastAsia="ja-JP"/>
        </w:rPr>
      </w:pPr>
      <w:r w:rsidRPr="000E0422">
        <w:rPr>
          <w:lang w:val="sr-Cyrl-RS" w:eastAsia="ja-JP"/>
        </w:rPr>
        <w:t>Отплата по основу издатих гаранција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та предузећа нису могла самостално да их извршавају. Ови расходи су представљали велики терет за буџет с обзиром на дугогодишње неефикасно пословање великог броја државних предузећа и привредних друштава. У претходном периоду ови расходи су значајно смањени, а планом отплате предвиђено је да ће до 2024. године ови расходи бити на нивоу од 0,1% БДП.</w:t>
      </w:r>
    </w:p>
    <w:p w14:paraId="703A1334" w14:textId="541CCD23" w:rsidR="005F26DA" w:rsidRPr="00735870" w:rsidRDefault="00735870" w:rsidP="00E02533">
      <w:pPr>
        <w:pStyle w:val="Heading2"/>
        <w:spacing w:before="120" w:after="120"/>
        <w:rPr>
          <w:rFonts w:ascii="Times New Roman" w:eastAsia="Calibri" w:hAnsi="Times New Roman" w:cs="Times New Roman"/>
          <w:b/>
          <w:color w:val="auto"/>
          <w:sz w:val="24"/>
          <w:szCs w:val="24"/>
          <w:lang w:val="sr-Cyrl-RS"/>
        </w:rPr>
      </w:pPr>
      <w:bookmarkStart w:id="19" w:name="_Toc89375526"/>
      <w:r w:rsidRPr="00735870">
        <w:rPr>
          <w:rFonts w:ascii="Times New Roman" w:eastAsia="Calibri" w:hAnsi="Times New Roman" w:cs="Times New Roman"/>
          <w:b/>
          <w:color w:val="auto"/>
          <w:sz w:val="24"/>
          <w:szCs w:val="24"/>
        </w:rPr>
        <w:lastRenderedPageBreak/>
        <w:t>4.</w:t>
      </w:r>
      <w:r w:rsidR="005F26DA" w:rsidRPr="00735870">
        <w:rPr>
          <w:rFonts w:ascii="Times New Roman" w:eastAsia="Calibri" w:hAnsi="Times New Roman" w:cs="Times New Roman"/>
          <w:b/>
          <w:color w:val="auto"/>
          <w:sz w:val="24"/>
          <w:szCs w:val="24"/>
          <w:lang w:val="sr-Cyrl-RS"/>
        </w:rPr>
        <w:t>4. ЦИКЛИЧНО ПРИЛАГОЂЕНИ ФИСКАЛНИ БИЛАНС</w:t>
      </w:r>
      <w:bookmarkEnd w:id="19"/>
    </w:p>
    <w:p w14:paraId="7EFFADE5" w14:textId="77777777" w:rsidR="005F26DA" w:rsidRPr="000E0422" w:rsidRDefault="005F26DA" w:rsidP="00563037">
      <w:pPr>
        <w:rPr>
          <w:rFonts w:eastAsia="MS PGothic" w:cs="Times New Roman"/>
          <w:szCs w:val="24"/>
          <w:lang w:val="sr-Cyrl-RS" w:eastAsia="ja-JP"/>
        </w:rPr>
      </w:pPr>
      <w:r w:rsidRPr="000E0422">
        <w:rPr>
          <w:rFonts w:eastAsia="MS PGothic" w:cs="Times New Roman"/>
          <w:szCs w:val="24"/>
          <w:lang w:val="sr-Cyrl-RS" w:eastAsia="ja-JP"/>
        </w:rPr>
        <w:t>Циклично прилагођени фискални биланс је фискални биланс из кога је искључен изоловани утицај привредног циклуса, а идентитет од кога се полази је следећи</w:t>
      </w:r>
      <w:r w:rsidRPr="000E0422">
        <w:rPr>
          <w:rFonts w:eastAsia="MS PGothic" w:cs="Times New Roman"/>
          <w:szCs w:val="24"/>
          <w:vertAlign w:val="superscript"/>
          <w:lang w:val="sr-Cyrl-RS" w:eastAsia="ja-JP"/>
        </w:rPr>
        <w:footnoteReference w:id="7"/>
      </w:r>
      <w:r w:rsidRPr="000E0422">
        <w:rPr>
          <w:rFonts w:eastAsia="MS PGothic" w:cs="Times New Roman"/>
          <w:szCs w:val="24"/>
          <w:lang w:val="sr-Cyrl-RS" w:eastAsia="ja-JP"/>
        </w:rPr>
        <w:t>:</w:t>
      </w:r>
    </w:p>
    <w:p w14:paraId="31BF1BB5" w14:textId="77777777" w:rsidR="005F26DA" w:rsidRPr="000E0422" w:rsidRDefault="005F26DA" w:rsidP="00563037">
      <w:pPr>
        <w:jc w:val="center"/>
        <w:rPr>
          <w:rFonts w:eastAsia="MS PGothic" w:cs="Times New Roman"/>
          <w:szCs w:val="24"/>
          <w:lang w:val="sr-Cyrl-RS" w:eastAsia="ja-JP"/>
        </w:rPr>
      </w:pPr>
      <w:r w:rsidRPr="000E0422">
        <w:rPr>
          <w:rFonts w:eastAsia="MS PGothic" w:cs="Times New Roman"/>
          <w:szCs w:val="24"/>
          <w:lang w:val="sr-Cyrl-RS" w:eastAsia="ja-JP"/>
        </w:rPr>
        <w:t>FB = CB + CAB</w:t>
      </w:r>
    </w:p>
    <w:p w14:paraId="0B96CFCA"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Део фискалног биланса (FB)</w:t>
      </w:r>
      <w:r w:rsidRPr="000E0422">
        <w:rPr>
          <w:rFonts w:eastAsia="MS PGothic" w:cs="Times New Roman"/>
          <w:i/>
          <w:szCs w:val="24"/>
          <w:lang w:val="sr-Cyrl-RS" w:eastAsia="ja-JP"/>
        </w:rPr>
        <w:t xml:space="preserve"> </w:t>
      </w:r>
      <w:r w:rsidRPr="000E0422">
        <w:rPr>
          <w:rFonts w:eastAsia="MS PGothic" w:cs="Times New Roman"/>
          <w:szCs w:val="24"/>
          <w:lang w:val="sr-Cyrl-RS" w:eastAsia="ja-JP"/>
        </w:rPr>
        <w:t>који није под утицајем цикличних флуктуација назива се циклично прилагођени фискални биланс (CAB</w:t>
      </w:r>
      <w:r w:rsidRPr="000E0422">
        <w:rPr>
          <w:rFonts w:eastAsia="MS PGothic" w:cs="Times New Roman"/>
          <w:i/>
          <w:szCs w:val="24"/>
          <w:lang w:val="sr-Cyrl-RS" w:eastAsia="ja-JP"/>
        </w:rPr>
        <w:t xml:space="preserve">), </w:t>
      </w:r>
      <w:r w:rsidRPr="000E0422">
        <w:rPr>
          <w:rFonts w:eastAsia="MS PGothic" w:cs="Times New Roman"/>
          <w:szCs w:val="24"/>
          <w:lang w:val="sr-Cyrl-RS" w:eastAsia="ja-JP"/>
        </w:rPr>
        <w:t>а циљ ове процедуре је изоловање цикличне компоненте фискалног биланса (CB) која је резултат дејства производног јаза. Стварни фискални биланс биће једнак циклично прилагођеном у случају да је производни јаз једнак нули, тј. ако је стопа раста реалног БДП једнака потенцијалној. Структурни фискални биланс се даље рачунски добија елиминацијом једнократних ефеката на приходној и расходној страни, и тако показује структурну (трајну) фискалну позицију.</w:t>
      </w:r>
    </w:p>
    <w:p w14:paraId="33AE347A"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Циклично прилагођени дефицит се убрзано смањује након 2014. године, упоредо са кретањем општег фискалног резултата, а у 2017. години улази у зону суфицита. Структурни примарни биланс очишћен од једнократних фактора у 2017. године такође бележи високу позитивну вредност. Структурне промене у пореском систему током 2012. и 2013. године су почеле да дају резултате у наредном периоду, чиме је процес фискалне консолидације суштински и почео. Наредна фаза фискалне консолидације, спроведена током аранжмана са ММФ, али овог пута са нагласком на структурном прилагођавању на расходној страни, значајно је поправила фискалну позицију земље. Анализом и квантификацијом структурног примарног биланса могу се изоловати, пре свега, једнократни ефекти на страни расходна, иако у појединим годинама, нису безначајни и једнократни ефекти у виду непланираних уплата на приходној страни. Анализом структурног примарног биланса оцењена је фискална позиција земље. Тако је у периоду од 2014. до 2019. године фискална позиција значајно побољшана, чиме је и потврђена оцена успеха програма фискалне консолидације.</w:t>
      </w:r>
    </w:p>
    <w:p w14:paraId="3D1FF9B9"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Фискални простор креиран у претходном периоду и значајно структурно унапређена фискална позиција земље, омогућили су релаксацију фискалне политике у кризним временима.</w:t>
      </w:r>
    </w:p>
    <w:p w14:paraId="0EBBFA0A" w14:textId="351FD520" w:rsidR="005F26DA" w:rsidRPr="000E0422" w:rsidRDefault="005F26DA" w:rsidP="00E02533">
      <w:pPr>
        <w:spacing w:after="60"/>
        <w:rPr>
          <w:rFonts w:eastAsia="Calibri" w:cs="Times New Roman"/>
          <w:szCs w:val="24"/>
          <w:lang w:val="sr-Cyrl-RS"/>
        </w:rPr>
      </w:pPr>
      <w:r w:rsidRPr="000E0422">
        <w:rPr>
          <w:rFonts w:eastAsia="MS PGothic" w:cs="Times New Roman"/>
          <w:spacing w:val="-2"/>
          <w:szCs w:val="24"/>
          <w:lang w:val="sr-Cyrl-RS" w:eastAsia="ja-JP"/>
        </w:rPr>
        <w:t xml:space="preserve">Избијањем пандемије </w:t>
      </w:r>
      <w:r w:rsidR="0063502F">
        <w:rPr>
          <w:szCs w:val="24"/>
          <w:lang w:val="sr-Cyrl-RS"/>
        </w:rPr>
        <w:t>Ковид</w:t>
      </w:r>
      <w:r w:rsidRPr="000E0422">
        <w:rPr>
          <w:rFonts w:eastAsia="MS PGothic" w:cs="Times New Roman"/>
          <w:spacing w:val="-2"/>
          <w:szCs w:val="24"/>
          <w:lang w:val="sr-Cyrl-RS" w:eastAsia="ja-JP"/>
        </w:rPr>
        <w:t xml:space="preserve">-19 почетком 2020. године и увођењем мера за здравствену заштиту становништва, глобална економија је ушла у кризу без преседана, која и поред назнака постепеног опоравка није још увек окончана. </w:t>
      </w:r>
      <w:r w:rsidRPr="000E0422">
        <w:rPr>
          <w:rFonts w:eastAsia="Calibri" w:cs="Times New Roman"/>
          <w:szCs w:val="24"/>
          <w:lang w:val="sr-Cyrl-RS"/>
        </w:rPr>
        <w:t>Специфичност кризе огледа се у самом узроку који није економске већ здравствене природе, при чему начин борбе у обуздавању даљег ширења вируса производи додатне негативне економске ефекте. Утицај на фискалну позицију је био видљив кроз смањене прихода буџета, који су последица успоравања економске активности услед пандемије, и драматично већих расхода условљених већим трошковима здравствене заштите и доношењем обимног пакета помоћи привреди и грађанима. У таквој ситуацији, уобичајена анализа привредног циклуса, квантификација фискалних мултипликатора и оцена еластичности фискалног баланса у односу на производни јаз не даје сасвим коректне оцене фискалне позиције земље.</w:t>
      </w:r>
    </w:p>
    <w:p w14:paraId="4F482DEB" w14:textId="77777777" w:rsidR="005F26DA" w:rsidRPr="000E0422" w:rsidRDefault="0075627A" w:rsidP="00563037">
      <w:pPr>
        <w:rPr>
          <w:rFonts w:eastAsia="MS PGothic" w:cs="Times New Roman"/>
          <w:bCs/>
          <w:szCs w:val="24"/>
          <w:lang w:val="sr-Cyrl-RS"/>
        </w:rPr>
      </w:pPr>
      <w:r>
        <w:rPr>
          <w:rFonts w:eastAsia="MS PGothic" w:cs="Times New Roman"/>
          <w:bCs/>
          <w:szCs w:val="24"/>
          <w:lang w:val="sr-Cyrl-RS"/>
        </w:rPr>
        <w:t>Табела 1</w:t>
      </w:r>
      <w:r w:rsidR="005F26DA" w:rsidRPr="000E0422">
        <w:rPr>
          <w:rFonts w:eastAsia="MS PGothic" w:cs="Times New Roman"/>
          <w:bCs/>
          <w:szCs w:val="24"/>
          <w:lang w:val="sr-Cyrl-RS"/>
        </w:rPr>
        <w:t>1. Фискални биланс и компоненте за обрачун циклично прилагођеног биланса у периоду 2005–2024. године, % БДП*</w:t>
      </w:r>
    </w:p>
    <w:tbl>
      <w:tblPr>
        <w:tblStyle w:val="LightShading-Accent337"/>
        <w:tblpPr w:leftFromText="180" w:rightFromText="180" w:vertAnchor="text" w:horzAnchor="margin" w:tblpXSpec="center" w:tblpY="28"/>
        <w:tblW w:w="5275" w:type="pct"/>
        <w:tblLook w:val="04A0" w:firstRow="1" w:lastRow="0" w:firstColumn="1" w:lastColumn="0" w:noHBand="0" w:noVBand="1"/>
      </w:tblPr>
      <w:tblGrid>
        <w:gridCol w:w="711"/>
        <w:gridCol w:w="1120"/>
        <w:gridCol w:w="1087"/>
        <w:gridCol w:w="1087"/>
        <w:gridCol w:w="1097"/>
        <w:gridCol w:w="1169"/>
        <w:gridCol w:w="1078"/>
        <w:gridCol w:w="1087"/>
        <w:gridCol w:w="1086"/>
      </w:tblGrid>
      <w:tr w:rsidR="005F26DA" w:rsidRPr="000E0422" w14:paraId="7C82FC13" w14:textId="77777777" w:rsidTr="00563037">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002060"/>
              <w:bottom w:val="single" w:sz="4" w:space="0" w:color="002060"/>
            </w:tcBorders>
            <w:noWrap/>
            <w:hideMark/>
          </w:tcPr>
          <w:p w14:paraId="1F16627F" w14:textId="77777777" w:rsidR="005F26DA" w:rsidRPr="000E0422" w:rsidRDefault="005F26DA" w:rsidP="00563037">
            <w:pPr>
              <w:spacing w:line="256" w:lineRule="auto"/>
              <w:rPr>
                <w:rFonts w:eastAsia="MS PGothic"/>
                <w:color w:val="auto"/>
                <w:sz w:val="16"/>
                <w:szCs w:val="16"/>
                <w:lang w:val="sr-Cyrl-RS" w:eastAsia="ja-JP"/>
              </w:rPr>
            </w:pPr>
          </w:p>
        </w:tc>
        <w:tc>
          <w:tcPr>
            <w:tcW w:w="588" w:type="pct"/>
            <w:tcBorders>
              <w:top w:val="single" w:sz="4" w:space="0" w:color="002060"/>
              <w:bottom w:val="single" w:sz="4" w:space="0" w:color="002060"/>
            </w:tcBorders>
          </w:tcPr>
          <w:p w14:paraId="38CD589C"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Производни јаз</w:t>
            </w:r>
          </w:p>
        </w:tc>
        <w:tc>
          <w:tcPr>
            <w:tcW w:w="571" w:type="pct"/>
            <w:tcBorders>
              <w:top w:val="single" w:sz="4" w:space="0" w:color="002060"/>
              <w:bottom w:val="single" w:sz="4" w:space="0" w:color="002060"/>
            </w:tcBorders>
            <w:hideMark/>
          </w:tcPr>
          <w:p w14:paraId="38CD3489"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Фискални </w:t>
            </w:r>
            <w:r w:rsidRPr="000E0422">
              <w:rPr>
                <w:b w:val="0"/>
                <w:color w:val="auto"/>
                <w:sz w:val="16"/>
                <w:szCs w:val="16"/>
                <w:lang w:val="sr-Cyrl-RS"/>
              </w:rPr>
              <w:br/>
              <w:t>биланс</w:t>
            </w:r>
          </w:p>
        </w:tc>
        <w:tc>
          <w:tcPr>
            <w:tcW w:w="571" w:type="pct"/>
            <w:tcBorders>
              <w:top w:val="single" w:sz="4" w:space="0" w:color="002060"/>
              <w:bottom w:val="single" w:sz="4" w:space="0" w:color="002060"/>
            </w:tcBorders>
            <w:hideMark/>
          </w:tcPr>
          <w:p w14:paraId="336539C5"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Примарни фискални биланс</w:t>
            </w:r>
          </w:p>
        </w:tc>
        <w:tc>
          <w:tcPr>
            <w:tcW w:w="576" w:type="pct"/>
            <w:tcBorders>
              <w:top w:val="single" w:sz="4" w:space="0" w:color="002060"/>
              <w:bottom w:val="single" w:sz="4" w:space="0" w:color="002060"/>
            </w:tcBorders>
            <w:hideMark/>
          </w:tcPr>
          <w:p w14:paraId="4D6617C7"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Циклично </w:t>
            </w:r>
            <w:r w:rsidRPr="000E0422">
              <w:rPr>
                <w:b w:val="0"/>
                <w:color w:val="auto"/>
                <w:sz w:val="16"/>
                <w:szCs w:val="16"/>
                <w:lang w:val="sr-Cyrl-RS"/>
              </w:rPr>
              <w:br/>
              <w:t>прилагођени фискални биланс</w:t>
            </w:r>
          </w:p>
        </w:tc>
        <w:tc>
          <w:tcPr>
            <w:tcW w:w="614" w:type="pct"/>
            <w:tcBorders>
              <w:top w:val="single" w:sz="4" w:space="0" w:color="002060"/>
              <w:bottom w:val="single" w:sz="4" w:space="0" w:color="002060"/>
            </w:tcBorders>
            <w:hideMark/>
          </w:tcPr>
          <w:p w14:paraId="60AB05A2"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Циклично </w:t>
            </w:r>
            <w:r w:rsidRPr="000E0422">
              <w:rPr>
                <w:b w:val="0"/>
                <w:color w:val="auto"/>
                <w:sz w:val="16"/>
                <w:szCs w:val="16"/>
                <w:lang w:val="sr-Cyrl-RS"/>
              </w:rPr>
              <w:br/>
              <w:t>прилагођени примарни фискални биланс</w:t>
            </w:r>
          </w:p>
        </w:tc>
        <w:tc>
          <w:tcPr>
            <w:tcW w:w="566" w:type="pct"/>
            <w:tcBorders>
              <w:top w:val="single" w:sz="4" w:space="0" w:color="002060"/>
              <w:bottom w:val="single" w:sz="4" w:space="0" w:color="002060"/>
            </w:tcBorders>
          </w:tcPr>
          <w:p w14:paraId="1C03F79D"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Структурни фискални биланс</w:t>
            </w:r>
          </w:p>
        </w:tc>
        <w:tc>
          <w:tcPr>
            <w:tcW w:w="571" w:type="pct"/>
            <w:tcBorders>
              <w:top w:val="single" w:sz="4" w:space="0" w:color="002060"/>
              <w:bottom w:val="single" w:sz="4" w:space="0" w:color="002060"/>
            </w:tcBorders>
            <w:hideMark/>
          </w:tcPr>
          <w:p w14:paraId="5F3EFAC1"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Структурни примарни фискални биланс**</w:t>
            </w:r>
          </w:p>
        </w:tc>
        <w:tc>
          <w:tcPr>
            <w:tcW w:w="570" w:type="pct"/>
            <w:tcBorders>
              <w:top w:val="single" w:sz="4" w:space="0" w:color="002060"/>
              <w:bottom w:val="single" w:sz="4" w:space="0" w:color="002060"/>
            </w:tcBorders>
            <w:hideMark/>
          </w:tcPr>
          <w:p w14:paraId="0E26AB36"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Фискални импулс</w:t>
            </w:r>
          </w:p>
        </w:tc>
      </w:tr>
      <w:tr w:rsidR="005F26DA" w:rsidRPr="000E0422" w14:paraId="49A753C0"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002060"/>
              <w:bottom w:val="nil"/>
            </w:tcBorders>
            <w:shd w:val="clear" w:color="auto" w:fill="FFFFFF" w:themeFill="background1"/>
            <w:noWrap/>
            <w:hideMark/>
          </w:tcPr>
          <w:p w14:paraId="480D4D5A"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2005</w:t>
            </w:r>
          </w:p>
        </w:tc>
        <w:tc>
          <w:tcPr>
            <w:tcW w:w="588" w:type="pct"/>
            <w:tcBorders>
              <w:top w:val="single" w:sz="4" w:space="0" w:color="002060"/>
              <w:bottom w:val="nil"/>
            </w:tcBorders>
            <w:shd w:val="clear" w:color="auto" w:fill="FFFFFF" w:themeFill="background1"/>
          </w:tcPr>
          <w:p w14:paraId="415D57A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71" w:type="pct"/>
            <w:tcBorders>
              <w:top w:val="single" w:sz="4" w:space="0" w:color="002060"/>
              <w:bottom w:val="nil"/>
            </w:tcBorders>
            <w:shd w:val="clear" w:color="auto" w:fill="FFFFFF" w:themeFill="background1"/>
            <w:hideMark/>
          </w:tcPr>
          <w:p w14:paraId="34F77E7A"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single" w:sz="4" w:space="0" w:color="002060"/>
              <w:bottom w:val="nil"/>
            </w:tcBorders>
            <w:shd w:val="clear" w:color="auto" w:fill="FFFFFF" w:themeFill="background1"/>
            <w:hideMark/>
          </w:tcPr>
          <w:p w14:paraId="15BBD0A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c>
          <w:tcPr>
            <w:tcW w:w="576" w:type="pct"/>
            <w:tcBorders>
              <w:top w:val="single" w:sz="4" w:space="0" w:color="002060"/>
              <w:bottom w:val="nil"/>
            </w:tcBorders>
            <w:shd w:val="clear" w:color="auto" w:fill="FFFFFF" w:themeFill="background1"/>
            <w:noWrap/>
            <w:hideMark/>
          </w:tcPr>
          <w:p w14:paraId="613FA72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614" w:type="pct"/>
            <w:tcBorders>
              <w:top w:val="single" w:sz="4" w:space="0" w:color="002060"/>
              <w:bottom w:val="nil"/>
            </w:tcBorders>
            <w:shd w:val="clear" w:color="auto" w:fill="FFFFFF" w:themeFill="background1"/>
            <w:noWrap/>
            <w:hideMark/>
          </w:tcPr>
          <w:p w14:paraId="61FD386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c>
          <w:tcPr>
            <w:tcW w:w="566" w:type="pct"/>
            <w:tcBorders>
              <w:top w:val="single" w:sz="4" w:space="0" w:color="002060"/>
              <w:bottom w:val="nil"/>
            </w:tcBorders>
            <w:shd w:val="clear" w:color="auto" w:fill="FFFFFF" w:themeFill="background1"/>
          </w:tcPr>
          <w:p w14:paraId="4A696CB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1,3</w:t>
            </w:r>
          </w:p>
        </w:tc>
        <w:tc>
          <w:tcPr>
            <w:tcW w:w="571" w:type="pct"/>
            <w:tcBorders>
              <w:top w:val="single" w:sz="4" w:space="0" w:color="002060"/>
              <w:bottom w:val="nil"/>
            </w:tcBorders>
            <w:shd w:val="clear" w:color="auto" w:fill="FFFFFF" w:themeFill="background1"/>
            <w:noWrap/>
            <w:hideMark/>
          </w:tcPr>
          <w:p w14:paraId="497D2D4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0" w:type="pct"/>
            <w:tcBorders>
              <w:top w:val="single" w:sz="4" w:space="0" w:color="002060"/>
              <w:bottom w:val="nil"/>
            </w:tcBorders>
            <w:shd w:val="clear" w:color="auto" w:fill="FFFFFF" w:themeFill="background1"/>
            <w:noWrap/>
            <w:hideMark/>
          </w:tcPr>
          <w:p w14:paraId="623FEE5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p>
        </w:tc>
      </w:tr>
      <w:tr w:rsidR="005F26DA" w:rsidRPr="000E0422" w14:paraId="629FC420"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left w:val="nil"/>
              <w:bottom w:val="nil"/>
              <w:right w:val="nil"/>
            </w:tcBorders>
            <w:shd w:val="clear" w:color="auto" w:fill="FFFFFF" w:themeFill="background1"/>
            <w:noWrap/>
            <w:hideMark/>
          </w:tcPr>
          <w:p w14:paraId="3344C5EA"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2006</w:t>
            </w:r>
          </w:p>
        </w:tc>
        <w:tc>
          <w:tcPr>
            <w:tcW w:w="588" w:type="pct"/>
            <w:tcBorders>
              <w:top w:val="nil"/>
              <w:left w:val="nil"/>
              <w:bottom w:val="nil"/>
              <w:right w:val="nil"/>
            </w:tcBorders>
            <w:shd w:val="clear" w:color="auto" w:fill="FFFFFF" w:themeFill="background1"/>
          </w:tcPr>
          <w:p w14:paraId="706981B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-2,7</w:t>
            </w:r>
          </w:p>
        </w:tc>
        <w:tc>
          <w:tcPr>
            <w:tcW w:w="571" w:type="pct"/>
            <w:tcBorders>
              <w:top w:val="nil"/>
              <w:left w:val="nil"/>
              <w:bottom w:val="nil"/>
              <w:right w:val="nil"/>
            </w:tcBorders>
            <w:shd w:val="clear" w:color="auto" w:fill="FFFFFF" w:themeFill="background1"/>
            <w:hideMark/>
          </w:tcPr>
          <w:p w14:paraId="1AA13B6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c>
          <w:tcPr>
            <w:tcW w:w="571" w:type="pct"/>
            <w:tcBorders>
              <w:top w:val="nil"/>
              <w:left w:val="nil"/>
              <w:bottom w:val="nil"/>
              <w:right w:val="nil"/>
            </w:tcBorders>
            <w:shd w:val="clear" w:color="auto" w:fill="FFFFFF" w:themeFill="background1"/>
            <w:hideMark/>
          </w:tcPr>
          <w:p w14:paraId="367142B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6" w:type="pct"/>
            <w:tcBorders>
              <w:top w:val="nil"/>
              <w:left w:val="nil"/>
              <w:bottom w:val="nil"/>
              <w:right w:val="nil"/>
            </w:tcBorders>
            <w:shd w:val="clear" w:color="auto" w:fill="FFFFFF" w:themeFill="background1"/>
            <w:noWrap/>
            <w:hideMark/>
          </w:tcPr>
          <w:p w14:paraId="32199EA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614" w:type="pct"/>
            <w:tcBorders>
              <w:top w:val="nil"/>
              <w:left w:val="nil"/>
              <w:bottom w:val="nil"/>
              <w:right w:val="nil"/>
            </w:tcBorders>
            <w:shd w:val="clear" w:color="auto" w:fill="FFFFFF" w:themeFill="background1"/>
            <w:noWrap/>
            <w:hideMark/>
          </w:tcPr>
          <w:p w14:paraId="1BE858A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66" w:type="pct"/>
            <w:tcBorders>
              <w:top w:val="nil"/>
              <w:left w:val="nil"/>
              <w:bottom w:val="nil"/>
              <w:right w:val="nil"/>
            </w:tcBorders>
            <w:shd w:val="clear" w:color="auto" w:fill="FFFFFF" w:themeFill="background1"/>
          </w:tcPr>
          <w:p w14:paraId="3B9D5B9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1" w:type="pct"/>
            <w:tcBorders>
              <w:top w:val="nil"/>
              <w:left w:val="nil"/>
              <w:bottom w:val="nil"/>
              <w:right w:val="nil"/>
            </w:tcBorders>
            <w:shd w:val="clear" w:color="auto" w:fill="FFFFFF" w:themeFill="background1"/>
            <w:noWrap/>
            <w:hideMark/>
          </w:tcPr>
          <w:p w14:paraId="1ECFFC7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70" w:type="pct"/>
            <w:tcBorders>
              <w:top w:val="nil"/>
              <w:left w:val="nil"/>
              <w:bottom w:val="nil"/>
              <w:right w:val="nil"/>
            </w:tcBorders>
            <w:shd w:val="clear" w:color="auto" w:fill="FFFFFF" w:themeFill="background1"/>
            <w:noWrap/>
            <w:hideMark/>
          </w:tcPr>
          <w:p w14:paraId="2C15FD3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r>
      <w:tr w:rsidR="005F26DA" w:rsidRPr="000E0422" w14:paraId="468FA833"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hideMark/>
          </w:tcPr>
          <w:p w14:paraId="2633F2B7"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2007</w:t>
            </w:r>
          </w:p>
        </w:tc>
        <w:tc>
          <w:tcPr>
            <w:tcW w:w="588" w:type="pct"/>
            <w:tcBorders>
              <w:top w:val="nil"/>
              <w:bottom w:val="nil"/>
            </w:tcBorders>
            <w:shd w:val="clear" w:color="auto" w:fill="FFFFFF" w:themeFill="background1"/>
          </w:tcPr>
          <w:p w14:paraId="31F3305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71" w:type="pct"/>
            <w:tcBorders>
              <w:top w:val="nil"/>
              <w:bottom w:val="nil"/>
            </w:tcBorders>
            <w:shd w:val="clear" w:color="auto" w:fill="FFFFFF" w:themeFill="background1"/>
            <w:hideMark/>
          </w:tcPr>
          <w:p w14:paraId="59918B7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1" w:type="pct"/>
            <w:tcBorders>
              <w:top w:val="nil"/>
              <w:bottom w:val="nil"/>
            </w:tcBorders>
            <w:shd w:val="clear" w:color="auto" w:fill="FFFFFF" w:themeFill="background1"/>
            <w:hideMark/>
          </w:tcPr>
          <w:p w14:paraId="3FA0074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6" w:type="pct"/>
            <w:tcBorders>
              <w:top w:val="nil"/>
              <w:bottom w:val="nil"/>
            </w:tcBorders>
            <w:shd w:val="clear" w:color="auto" w:fill="FFFFFF" w:themeFill="background1"/>
            <w:hideMark/>
          </w:tcPr>
          <w:p w14:paraId="79433D3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-2,1</w:t>
            </w:r>
          </w:p>
        </w:tc>
        <w:tc>
          <w:tcPr>
            <w:tcW w:w="614" w:type="pct"/>
            <w:tcBorders>
              <w:top w:val="nil"/>
              <w:bottom w:val="nil"/>
            </w:tcBorders>
            <w:shd w:val="clear" w:color="auto" w:fill="FFFFFF" w:themeFill="background1"/>
            <w:noWrap/>
            <w:hideMark/>
          </w:tcPr>
          <w:p w14:paraId="238FBFA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66" w:type="pct"/>
            <w:tcBorders>
              <w:top w:val="nil"/>
              <w:bottom w:val="nil"/>
            </w:tcBorders>
            <w:shd w:val="clear" w:color="auto" w:fill="FFFFFF" w:themeFill="background1"/>
          </w:tcPr>
          <w:p w14:paraId="5CB7E8F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1" w:type="pct"/>
            <w:tcBorders>
              <w:top w:val="nil"/>
              <w:bottom w:val="nil"/>
            </w:tcBorders>
            <w:shd w:val="clear" w:color="auto" w:fill="FFFFFF" w:themeFill="background1"/>
            <w:noWrap/>
            <w:hideMark/>
          </w:tcPr>
          <w:p w14:paraId="1672402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0" w:type="pct"/>
            <w:tcBorders>
              <w:top w:val="nil"/>
              <w:bottom w:val="nil"/>
            </w:tcBorders>
            <w:shd w:val="clear" w:color="auto" w:fill="FFFFFF" w:themeFill="background1"/>
            <w:noWrap/>
            <w:hideMark/>
          </w:tcPr>
          <w:p w14:paraId="3812DC0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2,3</w:t>
            </w:r>
          </w:p>
        </w:tc>
      </w:tr>
      <w:tr w:rsidR="005F26DA" w:rsidRPr="000E0422" w14:paraId="1B2F7CFB"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left w:val="nil"/>
              <w:bottom w:val="nil"/>
              <w:right w:val="nil"/>
            </w:tcBorders>
            <w:shd w:val="clear" w:color="auto" w:fill="FFFFFF" w:themeFill="background1"/>
            <w:noWrap/>
            <w:hideMark/>
          </w:tcPr>
          <w:p w14:paraId="10347416"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2008</w:t>
            </w:r>
          </w:p>
        </w:tc>
        <w:tc>
          <w:tcPr>
            <w:tcW w:w="588" w:type="pct"/>
            <w:tcBorders>
              <w:top w:val="nil"/>
              <w:left w:val="nil"/>
              <w:bottom w:val="nil"/>
              <w:right w:val="nil"/>
            </w:tcBorders>
            <w:shd w:val="clear" w:color="auto" w:fill="FFFFFF" w:themeFill="background1"/>
          </w:tcPr>
          <w:p w14:paraId="4756356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571" w:type="pct"/>
            <w:tcBorders>
              <w:top w:val="nil"/>
              <w:left w:val="nil"/>
              <w:bottom w:val="nil"/>
              <w:right w:val="nil"/>
            </w:tcBorders>
            <w:shd w:val="clear" w:color="auto" w:fill="FFFFFF" w:themeFill="background1"/>
            <w:hideMark/>
          </w:tcPr>
          <w:p w14:paraId="514A855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-2,5</w:t>
            </w:r>
          </w:p>
        </w:tc>
        <w:tc>
          <w:tcPr>
            <w:tcW w:w="571" w:type="pct"/>
            <w:tcBorders>
              <w:top w:val="nil"/>
              <w:left w:val="nil"/>
              <w:bottom w:val="nil"/>
              <w:right w:val="nil"/>
            </w:tcBorders>
            <w:shd w:val="clear" w:color="auto" w:fill="FFFFFF" w:themeFill="background1"/>
            <w:hideMark/>
          </w:tcPr>
          <w:p w14:paraId="32EAD9F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c>
          <w:tcPr>
            <w:tcW w:w="576" w:type="pct"/>
            <w:tcBorders>
              <w:top w:val="nil"/>
              <w:left w:val="nil"/>
              <w:bottom w:val="nil"/>
              <w:right w:val="nil"/>
            </w:tcBorders>
            <w:shd w:val="clear" w:color="auto" w:fill="FFFFFF" w:themeFill="background1"/>
            <w:hideMark/>
          </w:tcPr>
          <w:p w14:paraId="76B88D6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-3,9</w:t>
            </w:r>
          </w:p>
        </w:tc>
        <w:tc>
          <w:tcPr>
            <w:tcW w:w="614" w:type="pct"/>
            <w:tcBorders>
              <w:top w:val="nil"/>
              <w:left w:val="nil"/>
              <w:bottom w:val="nil"/>
              <w:right w:val="nil"/>
            </w:tcBorders>
            <w:shd w:val="clear" w:color="auto" w:fill="FFFFFF" w:themeFill="background1"/>
            <w:noWrap/>
            <w:hideMark/>
          </w:tcPr>
          <w:p w14:paraId="21159CD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66" w:type="pct"/>
            <w:tcBorders>
              <w:top w:val="nil"/>
              <w:left w:val="nil"/>
              <w:bottom w:val="nil"/>
              <w:right w:val="nil"/>
            </w:tcBorders>
            <w:shd w:val="clear" w:color="auto" w:fill="FFFFFF" w:themeFill="background1"/>
          </w:tcPr>
          <w:p w14:paraId="552F61E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571" w:type="pct"/>
            <w:tcBorders>
              <w:top w:val="nil"/>
              <w:left w:val="nil"/>
              <w:bottom w:val="nil"/>
              <w:right w:val="nil"/>
            </w:tcBorders>
            <w:shd w:val="clear" w:color="auto" w:fill="FFFFFF" w:themeFill="background1"/>
            <w:noWrap/>
            <w:hideMark/>
          </w:tcPr>
          <w:p w14:paraId="15CB23A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0" w:type="pct"/>
            <w:tcBorders>
              <w:top w:val="nil"/>
              <w:left w:val="nil"/>
              <w:bottom w:val="nil"/>
              <w:right w:val="nil"/>
            </w:tcBorders>
            <w:shd w:val="clear" w:color="auto" w:fill="FFFFFF" w:themeFill="background1"/>
            <w:noWrap/>
            <w:hideMark/>
          </w:tcPr>
          <w:p w14:paraId="2D2262A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r>
      <w:tr w:rsidR="005F26DA" w:rsidRPr="000E0422" w14:paraId="04C35513"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hideMark/>
          </w:tcPr>
          <w:p w14:paraId="07DA7AA2"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2009</w:t>
            </w:r>
          </w:p>
        </w:tc>
        <w:tc>
          <w:tcPr>
            <w:tcW w:w="588" w:type="pct"/>
            <w:tcBorders>
              <w:top w:val="nil"/>
              <w:bottom w:val="nil"/>
            </w:tcBorders>
            <w:shd w:val="clear" w:color="auto" w:fill="FFFFFF" w:themeFill="background1"/>
          </w:tcPr>
          <w:p w14:paraId="639F5D5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c>
          <w:tcPr>
            <w:tcW w:w="571" w:type="pct"/>
            <w:tcBorders>
              <w:top w:val="nil"/>
              <w:bottom w:val="nil"/>
            </w:tcBorders>
            <w:shd w:val="clear" w:color="auto" w:fill="FFFFFF" w:themeFill="background1"/>
            <w:hideMark/>
          </w:tcPr>
          <w:p w14:paraId="73CC86D4"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-4,2</w:t>
            </w:r>
          </w:p>
        </w:tc>
        <w:tc>
          <w:tcPr>
            <w:tcW w:w="571" w:type="pct"/>
            <w:tcBorders>
              <w:top w:val="nil"/>
              <w:bottom w:val="nil"/>
            </w:tcBorders>
            <w:shd w:val="clear" w:color="auto" w:fill="FFFFFF" w:themeFill="background1"/>
            <w:hideMark/>
          </w:tcPr>
          <w:p w14:paraId="085D640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6" w:type="pct"/>
            <w:tcBorders>
              <w:top w:val="nil"/>
              <w:bottom w:val="nil"/>
            </w:tcBorders>
            <w:shd w:val="clear" w:color="auto" w:fill="FFFFFF" w:themeFill="background1"/>
            <w:hideMark/>
          </w:tcPr>
          <w:p w14:paraId="01D2774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614" w:type="pct"/>
            <w:tcBorders>
              <w:top w:val="nil"/>
              <w:bottom w:val="nil"/>
            </w:tcBorders>
            <w:shd w:val="clear" w:color="auto" w:fill="FFFFFF" w:themeFill="background1"/>
            <w:hideMark/>
          </w:tcPr>
          <w:p w14:paraId="0236640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66" w:type="pct"/>
            <w:tcBorders>
              <w:top w:val="nil"/>
              <w:bottom w:val="nil"/>
            </w:tcBorders>
            <w:shd w:val="clear" w:color="auto" w:fill="FFFFFF" w:themeFill="background1"/>
          </w:tcPr>
          <w:p w14:paraId="7BA8A28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-4,1</w:t>
            </w:r>
          </w:p>
        </w:tc>
        <w:tc>
          <w:tcPr>
            <w:tcW w:w="571" w:type="pct"/>
            <w:tcBorders>
              <w:top w:val="nil"/>
              <w:bottom w:val="nil"/>
            </w:tcBorders>
            <w:shd w:val="clear" w:color="auto" w:fill="FFFFFF" w:themeFill="background1"/>
            <w:noWrap/>
            <w:hideMark/>
          </w:tcPr>
          <w:p w14:paraId="0F70368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0" w:type="pct"/>
            <w:tcBorders>
              <w:top w:val="nil"/>
              <w:bottom w:val="nil"/>
            </w:tcBorders>
            <w:shd w:val="clear" w:color="auto" w:fill="FFFFFF" w:themeFill="background1"/>
            <w:noWrap/>
            <w:hideMark/>
          </w:tcPr>
          <w:p w14:paraId="5EE7FC3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r>
      <w:tr w:rsidR="005F26DA" w:rsidRPr="000E0422" w14:paraId="4D0D5E41"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left w:val="nil"/>
              <w:bottom w:val="nil"/>
              <w:right w:val="nil"/>
            </w:tcBorders>
            <w:shd w:val="clear" w:color="auto" w:fill="FFFFFF" w:themeFill="background1"/>
            <w:noWrap/>
          </w:tcPr>
          <w:p w14:paraId="54A368E2"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2010</w:t>
            </w:r>
          </w:p>
          <w:p w14:paraId="1BFB7BAC" w14:textId="77777777" w:rsidR="005F26DA" w:rsidRPr="000E0422" w:rsidRDefault="005F26DA" w:rsidP="00563037">
            <w:pPr>
              <w:shd w:val="clear" w:color="auto" w:fill="FFFFFF" w:themeFill="background1"/>
              <w:spacing w:line="276" w:lineRule="auto"/>
              <w:rPr>
                <w:b w:val="0"/>
                <w:color w:val="auto"/>
                <w:sz w:val="16"/>
                <w:szCs w:val="16"/>
                <w:lang w:val="sr-Cyrl-RS"/>
              </w:rPr>
            </w:pPr>
          </w:p>
        </w:tc>
        <w:tc>
          <w:tcPr>
            <w:tcW w:w="588" w:type="pct"/>
            <w:tcBorders>
              <w:top w:val="nil"/>
              <w:left w:val="nil"/>
              <w:bottom w:val="nil"/>
              <w:right w:val="nil"/>
            </w:tcBorders>
            <w:shd w:val="clear" w:color="auto" w:fill="FFFFFF" w:themeFill="background1"/>
          </w:tcPr>
          <w:p w14:paraId="19C4399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1" w:type="pct"/>
            <w:tcBorders>
              <w:top w:val="nil"/>
              <w:left w:val="nil"/>
              <w:bottom w:val="nil"/>
              <w:right w:val="nil"/>
            </w:tcBorders>
            <w:shd w:val="clear" w:color="auto" w:fill="FFFFFF" w:themeFill="background1"/>
            <w:hideMark/>
          </w:tcPr>
          <w:p w14:paraId="17E25A55"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-4,3</w:t>
            </w:r>
          </w:p>
        </w:tc>
        <w:tc>
          <w:tcPr>
            <w:tcW w:w="571" w:type="pct"/>
            <w:tcBorders>
              <w:top w:val="nil"/>
              <w:left w:val="nil"/>
              <w:bottom w:val="nil"/>
              <w:right w:val="nil"/>
            </w:tcBorders>
            <w:shd w:val="clear" w:color="auto" w:fill="FFFFFF" w:themeFill="background1"/>
            <w:hideMark/>
          </w:tcPr>
          <w:p w14:paraId="61B027B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6" w:type="pct"/>
            <w:tcBorders>
              <w:top w:val="nil"/>
              <w:left w:val="nil"/>
              <w:bottom w:val="nil"/>
              <w:right w:val="nil"/>
            </w:tcBorders>
            <w:shd w:val="clear" w:color="auto" w:fill="FFFFFF" w:themeFill="background1"/>
            <w:hideMark/>
          </w:tcPr>
          <w:p w14:paraId="3DF1C56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-4,1</w:t>
            </w:r>
          </w:p>
        </w:tc>
        <w:tc>
          <w:tcPr>
            <w:tcW w:w="614" w:type="pct"/>
            <w:tcBorders>
              <w:top w:val="nil"/>
              <w:left w:val="nil"/>
              <w:bottom w:val="nil"/>
              <w:right w:val="nil"/>
            </w:tcBorders>
            <w:shd w:val="clear" w:color="auto" w:fill="FFFFFF" w:themeFill="background1"/>
            <w:hideMark/>
          </w:tcPr>
          <w:p w14:paraId="7F2F7D72"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66" w:type="pct"/>
            <w:tcBorders>
              <w:top w:val="nil"/>
              <w:left w:val="nil"/>
              <w:bottom w:val="nil"/>
              <w:right w:val="nil"/>
            </w:tcBorders>
            <w:shd w:val="clear" w:color="auto" w:fill="FFFFFF" w:themeFill="background1"/>
          </w:tcPr>
          <w:p w14:paraId="5BEC8DF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-4,2</w:t>
            </w:r>
          </w:p>
        </w:tc>
        <w:tc>
          <w:tcPr>
            <w:tcW w:w="571" w:type="pct"/>
            <w:tcBorders>
              <w:top w:val="nil"/>
              <w:left w:val="nil"/>
              <w:bottom w:val="nil"/>
              <w:right w:val="nil"/>
            </w:tcBorders>
            <w:shd w:val="clear" w:color="auto" w:fill="FFFFFF" w:themeFill="background1"/>
            <w:noWrap/>
            <w:hideMark/>
          </w:tcPr>
          <w:p w14:paraId="1D0F8A9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-3,2</w:t>
            </w:r>
          </w:p>
        </w:tc>
        <w:tc>
          <w:tcPr>
            <w:tcW w:w="570" w:type="pct"/>
            <w:tcBorders>
              <w:top w:val="nil"/>
              <w:left w:val="nil"/>
              <w:bottom w:val="nil"/>
              <w:right w:val="nil"/>
            </w:tcBorders>
            <w:shd w:val="clear" w:color="auto" w:fill="FFFFFF" w:themeFill="background1"/>
            <w:noWrap/>
            <w:hideMark/>
          </w:tcPr>
          <w:p w14:paraId="7843688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r>
      <w:tr w:rsidR="005F26DA" w:rsidRPr="000E0422" w14:paraId="4674C7D9"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hideMark/>
          </w:tcPr>
          <w:p w14:paraId="14E5B669"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2011</w:t>
            </w:r>
          </w:p>
        </w:tc>
        <w:tc>
          <w:tcPr>
            <w:tcW w:w="588" w:type="pct"/>
            <w:tcBorders>
              <w:top w:val="nil"/>
              <w:bottom w:val="nil"/>
            </w:tcBorders>
            <w:shd w:val="clear" w:color="auto" w:fill="FFFFFF" w:themeFill="background1"/>
          </w:tcPr>
          <w:p w14:paraId="4B93A8F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571" w:type="pct"/>
            <w:tcBorders>
              <w:top w:val="nil"/>
              <w:bottom w:val="nil"/>
            </w:tcBorders>
            <w:shd w:val="clear" w:color="auto" w:fill="FFFFFF" w:themeFill="background1"/>
            <w:hideMark/>
          </w:tcPr>
          <w:p w14:paraId="7AC60F3A"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-4,5</w:t>
            </w:r>
          </w:p>
        </w:tc>
        <w:tc>
          <w:tcPr>
            <w:tcW w:w="571" w:type="pct"/>
            <w:tcBorders>
              <w:top w:val="nil"/>
              <w:bottom w:val="nil"/>
            </w:tcBorders>
            <w:shd w:val="clear" w:color="auto" w:fill="FFFFFF" w:themeFill="background1"/>
            <w:hideMark/>
          </w:tcPr>
          <w:p w14:paraId="1B431BC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6" w:type="pct"/>
            <w:tcBorders>
              <w:top w:val="nil"/>
              <w:bottom w:val="nil"/>
            </w:tcBorders>
            <w:shd w:val="clear" w:color="auto" w:fill="FFFFFF" w:themeFill="background1"/>
            <w:hideMark/>
          </w:tcPr>
          <w:p w14:paraId="788E91DD"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-4,7</w:t>
            </w:r>
          </w:p>
        </w:tc>
        <w:tc>
          <w:tcPr>
            <w:tcW w:w="614" w:type="pct"/>
            <w:tcBorders>
              <w:top w:val="nil"/>
              <w:bottom w:val="nil"/>
            </w:tcBorders>
            <w:shd w:val="clear" w:color="auto" w:fill="FFFFFF" w:themeFill="background1"/>
            <w:hideMark/>
          </w:tcPr>
          <w:p w14:paraId="107EB7E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66" w:type="pct"/>
            <w:tcBorders>
              <w:top w:val="nil"/>
              <w:bottom w:val="nil"/>
            </w:tcBorders>
            <w:shd w:val="clear" w:color="auto" w:fill="FFFFFF" w:themeFill="background1"/>
          </w:tcPr>
          <w:p w14:paraId="68630DF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571" w:type="pct"/>
            <w:tcBorders>
              <w:top w:val="nil"/>
              <w:bottom w:val="nil"/>
            </w:tcBorders>
            <w:shd w:val="clear" w:color="auto" w:fill="FFFFFF" w:themeFill="background1"/>
            <w:noWrap/>
            <w:hideMark/>
          </w:tcPr>
          <w:p w14:paraId="3B1C654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-3,8</w:t>
            </w:r>
          </w:p>
        </w:tc>
        <w:tc>
          <w:tcPr>
            <w:tcW w:w="570" w:type="pct"/>
            <w:tcBorders>
              <w:top w:val="nil"/>
              <w:bottom w:val="nil"/>
            </w:tcBorders>
            <w:shd w:val="clear" w:color="auto" w:fill="FFFFFF" w:themeFill="background1"/>
            <w:noWrap/>
            <w:hideMark/>
          </w:tcPr>
          <w:p w14:paraId="4B66EBE7"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r>
      <w:tr w:rsidR="005F26DA" w:rsidRPr="000E0422" w14:paraId="7ED67D74"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09239BE3"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2012</w:t>
            </w:r>
          </w:p>
          <w:p w14:paraId="362014F4" w14:textId="77777777" w:rsidR="005F26DA" w:rsidRPr="000E0422" w:rsidRDefault="005F26DA" w:rsidP="00563037">
            <w:pPr>
              <w:shd w:val="clear" w:color="auto" w:fill="FFFFFF" w:themeFill="background1"/>
              <w:spacing w:line="276" w:lineRule="auto"/>
              <w:rPr>
                <w:b w:val="0"/>
                <w:color w:val="auto"/>
                <w:sz w:val="16"/>
                <w:szCs w:val="16"/>
                <w:lang w:val="sr-Cyrl-RS"/>
              </w:rPr>
            </w:pPr>
          </w:p>
        </w:tc>
        <w:tc>
          <w:tcPr>
            <w:tcW w:w="588" w:type="pct"/>
            <w:tcBorders>
              <w:top w:val="nil"/>
              <w:bottom w:val="nil"/>
            </w:tcBorders>
            <w:shd w:val="clear" w:color="auto" w:fill="FFFFFF" w:themeFill="background1"/>
          </w:tcPr>
          <w:p w14:paraId="07D0A50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571" w:type="pct"/>
            <w:tcBorders>
              <w:top w:val="nil"/>
              <w:bottom w:val="nil"/>
            </w:tcBorders>
            <w:shd w:val="clear" w:color="auto" w:fill="FFFFFF" w:themeFill="background1"/>
          </w:tcPr>
          <w:p w14:paraId="6A5846A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-6,4</w:t>
            </w:r>
          </w:p>
        </w:tc>
        <w:tc>
          <w:tcPr>
            <w:tcW w:w="571" w:type="pct"/>
            <w:tcBorders>
              <w:top w:val="nil"/>
              <w:bottom w:val="nil"/>
            </w:tcBorders>
            <w:shd w:val="clear" w:color="auto" w:fill="FFFFFF" w:themeFill="background1"/>
          </w:tcPr>
          <w:p w14:paraId="579B3C3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-4,7</w:t>
            </w:r>
          </w:p>
        </w:tc>
        <w:tc>
          <w:tcPr>
            <w:tcW w:w="576" w:type="pct"/>
            <w:tcBorders>
              <w:top w:val="nil"/>
              <w:bottom w:val="nil"/>
            </w:tcBorders>
            <w:shd w:val="clear" w:color="auto" w:fill="FFFFFF" w:themeFill="background1"/>
          </w:tcPr>
          <w:p w14:paraId="7962427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-6,1</w:t>
            </w:r>
          </w:p>
        </w:tc>
        <w:tc>
          <w:tcPr>
            <w:tcW w:w="614" w:type="pct"/>
            <w:tcBorders>
              <w:top w:val="nil"/>
              <w:bottom w:val="nil"/>
            </w:tcBorders>
            <w:shd w:val="clear" w:color="auto" w:fill="FFFFFF" w:themeFill="background1"/>
          </w:tcPr>
          <w:p w14:paraId="499C3D9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-4,4</w:t>
            </w:r>
          </w:p>
        </w:tc>
        <w:tc>
          <w:tcPr>
            <w:tcW w:w="566" w:type="pct"/>
            <w:tcBorders>
              <w:top w:val="nil"/>
              <w:bottom w:val="nil"/>
            </w:tcBorders>
            <w:shd w:val="clear" w:color="auto" w:fill="FFFFFF" w:themeFill="background1"/>
          </w:tcPr>
          <w:p w14:paraId="09F4E2B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-6,1</w:t>
            </w:r>
          </w:p>
        </w:tc>
        <w:tc>
          <w:tcPr>
            <w:tcW w:w="571" w:type="pct"/>
            <w:tcBorders>
              <w:top w:val="nil"/>
              <w:bottom w:val="nil"/>
            </w:tcBorders>
            <w:shd w:val="clear" w:color="auto" w:fill="FFFFFF" w:themeFill="background1"/>
            <w:noWrap/>
          </w:tcPr>
          <w:p w14:paraId="12AB4EA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-4,4</w:t>
            </w:r>
          </w:p>
        </w:tc>
        <w:tc>
          <w:tcPr>
            <w:tcW w:w="570" w:type="pct"/>
            <w:tcBorders>
              <w:top w:val="nil"/>
              <w:bottom w:val="nil"/>
            </w:tcBorders>
            <w:shd w:val="clear" w:color="auto" w:fill="FFFFFF" w:themeFill="background1"/>
            <w:noWrap/>
          </w:tcPr>
          <w:p w14:paraId="50F5C01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0,9</w:t>
            </w:r>
          </w:p>
        </w:tc>
      </w:tr>
      <w:tr w:rsidR="005F26DA" w:rsidRPr="000E0422" w14:paraId="65AAA2A5"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0597C235"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2013</w:t>
            </w:r>
          </w:p>
        </w:tc>
        <w:tc>
          <w:tcPr>
            <w:tcW w:w="588" w:type="pct"/>
            <w:tcBorders>
              <w:top w:val="nil"/>
              <w:bottom w:val="nil"/>
            </w:tcBorders>
            <w:shd w:val="clear" w:color="auto" w:fill="FFFFFF" w:themeFill="background1"/>
          </w:tcPr>
          <w:p w14:paraId="2A02107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1" w:type="pct"/>
            <w:tcBorders>
              <w:top w:val="nil"/>
              <w:bottom w:val="nil"/>
            </w:tcBorders>
            <w:shd w:val="clear" w:color="auto" w:fill="FFFFFF" w:themeFill="background1"/>
          </w:tcPr>
          <w:p w14:paraId="2C3F962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-5,1</w:t>
            </w:r>
          </w:p>
        </w:tc>
        <w:tc>
          <w:tcPr>
            <w:tcW w:w="571" w:type="pct"/>
            <w:tcBorders>
              <w:top w:val="nil"/>
              <w:bottom w:val="nil"/>
            </w:tcBorders>
            <w:shd w:val="clear" w:color="auto" w:fill="FFFFFF" w:themeFill="background1"/>
          </w:tcPr>
          <w:p w14:paraId="1E71257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6" w:type="pct"/>
            <w:tcBorders>
              <w:top w:val="nil"/>
              <w:bottom w:val="nil"/>
            </w:tcBorders>
            <w:shd w:val="clear" w:color="auto" w:fill="FFFFFF" w:themeFill="background1"/>
          </w:tcPr>
          <w:p w14:paraId="75B766B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-5,6</w:t>
            </w:r>
          </w:p>
        </w:tc>
        <w:tc>
          <w:tcPr>
            <w:tcW w:w="614" w:type="pct"/>
            <w:tcBorders>
              <w:top w:val="nil"/>
              <w:bottom w:val="nil"/>
            </w:tcBorders>
            <w:shd w:val="clear" w:color="auto" w:fill="FFFFFF" w:themeFill="background1"/>
          </w:tcPr>
          <w:p w14:paraId="17ECCA4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66" w:type="pct"/>
            <w:tcBorders>
              <w:top w:val="nil"/>
              <w:bottom w:val="nil"/>
            </w:tcBorders>
            <w:shd w:val="clear" w:color="auto" w:fill="FFFFFF" w:themeFill="background1"/>
          </w:tcPr>
          <w:p w14:paraId="721813F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-5,3</w:t>
            </w:r>
          </w:p>
        </w:tc>
        <w:tc>
          <w:tcPr>
            <w:tcW w:w="571" w:type="pct"/>
            <w:tcBorders>
              <w:top w:val="nil"/>
              <w:bottom w:val="nil"/>
            </w:tcBorders>
            <w:shd w:val="clear" w:color="auto" w:fill="FFFFFF" w:themeFill="background1"/>
            <w:noWrap/>
          </w:tcPr>
          <w:p w14:paraId="20C33B0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0" w:type="pct"/>
            <w:tcBorders>
              <w:top w:val="nil"/>
              <w:bottom w:val="nil"/>
            </w:tcBorders>
            <w:shd w:val="clear" w:color="auto" w:fill="FFFFFF" w:themeFill="background1"/>
            <w:noWrap/>
          </w:tcPr>
          <w:p w14:paraId="7CBC7A3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-1,0</w:t>
            </w:r>
          </w:p>
        </w:tc>
      </w:tr>
      <w:tr w:rsidR="005F26DA" w:rsidRPr="000E0422" w14:paraId="6DFAD20A"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5E2E732C"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2014</w:t>
            </w:r>
          </w:p>
        </w:tc>
        <w:tc>
          <w:tcPr>
            <w:tcW w:w="588" w:type="pct"/>
            <w:tcBorders>
              <w:top w:val="nil"/>
              <w:bottom w:val="nil"/>
            </w:tcBorders>
            <w:shd w:val="clear" w:color="auto" w:fill="FFFFFF" w:themeFill="background1"/>
          </w:tcPr>
          <w:p w14:paraId="37055A0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c>
          <w:tcPr>
            <w:tcW w:w="571" w:type="pct"/>
            <w:tcBorders>
              <w:top w:val="nil"/>
              <w:bottom w:val="nil"/>
            </w:tcBorders>
            <w:shd w:val="clear" w:color="auto" w:fill="FFFFFF" w:themeFill="background1"/>
          </w:tcPr>
          <w:p w14:paraId="635B2F0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-6,2</w:t>
            </w:r>
          </w:p>
        </w:tc>
        <w:tc>
          <w:tcPr>
            <w:tcW w:w="571" w:type="pct"/>
            <w:tcBorders>
              <w:top w:val="nil"/>
              <w:bottom w:val="nil"/>
            </w:tcBorders>
            <w:shd w:val="clear" w:color="auto" w:fill="FFFFFF" w:themeFill="background1"/>
          </w:tcPr>
          <w:p w14:paraId="3C282F1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6" w:type="pct"/>
            <w:tcBorders>
              <w:top w:val="nil"/>
              <w:bottom w:val="nil"/>
            </w:tcBorders>
            <w:shd w:val="clear" w:color="auto" w:fill="FFFFFF" w:themeFill="background1"/>
          </w:tcPr>
          <w:p w14:paraId="6CA3F98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-5,7</w:t>
            </w:r>
          </w:p>
        </w:tc>
        <w:tc>
          <w:tcPr>
            <w:tcW w:w="614" w:type="pct"/>
            <w:tcBorders>
              <w:top w:val="nil"/>
              <w:bottom w:val="nil"/>
            </w:tcBorders>
            <w:shd w:val="clear" w:color="auto" w:fill="FFFFFF" w:themeFill="background1"/>
          </w:tcPr>
          <w:p w14:paraId="69A9486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66" w:type="pct"/>
            <w:tcBorders>
              <w:top w:val="nil"/>
              <w:bottom w:val="nil"/>
            </w:tcBorders>
            <w:shd w:val="clear" w:color="auto" w:fill="FFFFFF" w:themeFill="background1"/>
          </w:tcPr>
          <w:p w14:paraId="1E4C4C0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-4,8</w:t>
            </w:r>
          </w:p>
        </w:tc>
        <w:tc>
          <w:tcPr>
            <w:tcW w:w="571" w:type="pct"/>
            <w:tcBorders>
              <w:top w:val="nil"/>
              <w:bottom w:val="nil"/>
            </w:tcBorders>
            <w:shd w:val="clear" w:color="auto" w:fill="FFFFFF" w:themeFill="background1"/>
            <w:noWrap/>
          </w:tcPr>
          <w:p w14:paraId="700E490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0" w:type="pct"/>
            <w:tcBorders>
              <w:top w:val="nil"/>
              <w:bottom w:val="nil"/>
            </w:tcBorders>
            <w:shd w:val="clear" w:color="auto" w:fill="FFFFFF" w:themeFill="background1"/>
            <w:noWrap/>
          </w:tcPr>
          <w:p w14:paraId="6F14046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r>
      <w:tr w:rsidR="005F26DA" w:rsidRPr="000E0422" w14:paraId="0450469C"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4A58C0FE"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2015</w:t>
            </w:r>
          </w:p>
        </w:tc>
        <w:tc>
          <w:tcPr>
            <w:tcW w:w="588" w:type="pct"/>
            <w:tcBorders>
              <w:top w:val="nil"/>
              <w:bottom w:val="nil"/>
            </w:tcBorders>
            <w:shd w:val="clear" w:color="auto" w:fill="FFFFFF" w:themeFill="background1"/>
          </w:tcPr>
          <w:p w14:paraId="49F0B7C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tcPr>
          <w:p w14:paraId="32C614A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1" w:type="pct"/>
            <w:tcBorders>
              <w:top w:val="nil"/>
              <w:bottom w:val="nil"/>
            </w:tcBorders>
            <w:shd w:val="clear" w:color="auto" w:fill="FFFFFF" w:themeFill="background1"/>
          </w:tcPr>
          <w:p w14:paraId="7413CEB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576" w:type="pct"/>
            <w:tcBorders>
              <w:top w:val="nil"/>
              <w:bottom w:val="nil"/>
            </w:tcBorders>
            <w:shd w:val="clear" w:color="auto" w:fill="FFFFFF" w:themeFill="background1"/>
          </w:tcPr>
          <w:p w14:paraId="36EF3B1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614" w:type="pct"/>
            <w:tcBorders>
              <w:top w:val="nil"/>
              <w:bottom w:val="nil"/>
            </w:tcBorders>
            <w:shd w:val="clear" w:color="auto" w:fill="FFFFFF" w:themeFill="background1"/>
          </w:tcPr>
          <w:p w14:paraId="12B9F8A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66" w:type="pct"/>
            <w:tcBorders>
              <w:top w:val="nil"/>
              <w:bottom w:val="nil"/>
            </w:tcBorders>
            <w:shd w:val="clear" w:color="auto" w:fill="FFFFFF" w:themeFill="background1"/>
          </w:tcPr>
          <w:p w14:paraId="03860E9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1" w:type="pct"/>
            <w:tcBorders>
              <w:top w:val="nil"/>
              <w:bottom w:val="nil"/>
            </w:tcBorders>
            <w:shd w:val="clear" w:color="auto" w:fill="FFFFFF" w:themeFill="background1"/>
            <w:noWrap/>
          </w:tcPr>
          <w:p w14:paraId="48E9A4F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70" w:type="pct"/>
            <w:tcBorders>
              <w:top w:val="nil"/>
              <w:bottom w:val="nil"/>
            </w:tcBorders>
            <w:shd w:val="clear" w:color="auto" w:fill="FFFFFF" w:themeFill="background1"/>
            <w:noWrap/>
          </w:tcPr>
          <w:p w14:paraId="466AA53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-3,0</w:t>
            </w:r>
          </w:p>
        </w:tc>
      </w:tr>
      <w:tr w:rsidR="005F26DA" w:rsidRPr="000E0422" w14:paraId="487051F5"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6B1812D"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2016</w:t>
            </w:r>
          </w:p>
        </w:tc>
        <w:tc>
          <w:tcPr>
            <w:tcW w:w="588" w:type="pct"/>
            <w:tcBorders>
              <w:top w:val="nil"/>
              <w:bottom w:val="nil"/>
            </w:tcBorders>
            <w:shd w:val="clear" w:color="auto" w:fill="FFFFFF" w:themeFill="background1"/>
          </w:tcPr>
          <w:p w14:paraId="32B55F2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1" w:type="pct"/>
            <w:tcBorders>
              <w:top w:val="nil"/>
              <w:bottom w:val="nil"/>
            </w:tcBorders>
            <w:shd w:val="clear" w:color="auto" w:fill="FFFFFF" w:themeFill="background1"/>
          </w:tcPr>
          <w:p w14:paraId="73106A2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1" w:type="pct"/>
            <w:tcBorders>
              <w:top w:val="nil"/>
              <w:bottom w:val="nil"/>
            </w:tcBorders>
            <w:shd w:val="clear" w:color="auto" w:fill="FFFFFF" w:themeFill="background1"/>
          </w:tcPr>
          <w:p w14:paraId="57C463B5"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6" w:type="pct"/>
            <w:tcBorders>
              <w:top w:val="nil"/>
              <w:bottom w:val="nil"/>
            </w:tcBorders>
            <w:shd w:val="clear" w:color="auto" w:fill="FFFFFF" w:themeFill="background1"/>
          </w:tcPr>
          <w:p w14:paraId="2431EA0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614" w:type="pct"/>
            <w:tcBorders>
              <w:top w:val="nil"/>
              <w:bottom w:val="nil"/>
            </w:tcBorders>
            <w:shd w:val="clear" w:color="auto" w:fill="FFFFFF" w:themeFill="background1"/>
          </w:tcPr>
          <w:p w14:paraId="29EAD44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66" w:type="pct"/>
            <w:tcBorders>
              <w:top w:val="nil"/>
              <w:bottom w:val="nil"/>
            </w:tcBorders>
            <w:shd w:val="clear" w:color="auto" w:fill="FFFFFF" w:themeFill="background1"/>
          </w:tcPr>
          <w:p w14:paraId="30DE45D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noWrap/>
          </w:tcPr>
          <w:p w14:paraId="5A2A1CB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0" w:type="pct"/>
            <w:tcBorders>
              <w:top w:val="nil"/>
              <w:bottom w:val="nil"/>
            </w:tcBorders>
            <w:shd w:val="clear" w:color="auto" w:fill="FFFFFF" w:themeFill="background1"/>
            <w:noWrap/>
          </w:tcPr>
          <w:p w14:paraId="1C9CDA5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r>
      <w:tr w:rsidR="005F26DA" w:rsidRPr="000E0422" w14:paraId="17E2EB08"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804F980"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2017</w:t>
            </w:r>
          </w:p>
        </w:tc>
        <w:tc>
          <w:tcPr>
            <w:tcW w:w="588" w:type="pct"/>
            <w:tcBorders>
              <w:top w:val="nil"/>
              <w:bottom w:val="nil"/>
            </w:tcBorders>
            <w:shd w:val="clear" w:color="auto" w:fill="FFFFFF" w:themeFill="background1"/>
          </w:tcPr>
          <w:p w14:paraId="11E460A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c>
          <w:tcPr>
            <w:tcW w:w="571" w:type="pct"/>
            <w:tcBorders>
              <w:top w:val="nil"/>
              <w:bottom w:val="nil"/>
            </w:tcBorders>
            <w:shd w:val="clear" w:color="auto" w:fill="FFFFFF" w:themeFill="background1"/>
          </w:tcPr>
          <w:p w14:paraId="015C55D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tcPr>
          <w:p w14:paraId="4E54C50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6" w:type="pct"/>
            <w:tcBorders>
              <w:top w:val="nil"/>
              <w:bottom w:val="nil"/>
            </w:tcBorders>
            <w:shd w:val="clear" w:color="auto" w:fill="FFFFFF" w:themeFill="background1"/>
          </w:tcPr>
          <w:p w14:paraId="2518A8A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614" w:type="pct"/>
            <w:tcBorders>
              <w:top w:val="nil"/>
              <w:bottom w:val="nil"/>
            </w:tcBorders>
            <w:shd w:val="clear" w:color="auto" w:fill="FFFFFF" w:themeFill="background1"/>
          </w:tcPr>
          <w:p w14:paraId="3E0A78DD"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3,8</w:t>
            </w:r>
          </w:p>
        </w:tc>
        <w:tc>
          <w:tcPr>
            <w:tcW w:w="566" w:type="pct"/>
            <w:tcBorders>
              <w:top w:val="nil"/>
              <w:bottom w:val="nil"/>
            </w:tcBorders>
            <w:shd w:val="clear" w:color="auto" w:fill="FFFFFF" w:themeFill="background1"/>
          </w:tcPr>
          <w:p w14:paraId="32CB959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noWrap/>
          </w:tcPr>
          <w:p w14:paraId="4736C3D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0" w:type="pct"/>
            <w:tcBorders>
              <w:top w:val="nil"/>
              <w:bottom w:val="nil"/>
            </w:tcBorders>
            <w:shd w:val="clear" w:color="auto" w:fill="FFFFFF" w:themeFill="background1"/>
            <w:noWrap/>
          </w:tcPr>
          <w:p w14:paraId="1B04880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-2,1</w:t>
            </w:r>
          </w:p>
        </w:tc>
      </w:tr>
      <w:tr w:rsidR="005F26DA" w:rsidRPr="000E0422" w14:paraId="3463361F"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775F42C2"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2018</w:t>
            </w:r>
          </w:p>
        </w:tc>
        <w:tc>
          <w:tcPr>
            <w:tcW w:w="588" w:type="pct"/>
            <w:tcBorders>
              <w:top w:val="nil"/>
              <w:bottom w:val="nil"/>
            </w:tcBorders>
            <w:shd w:val="clear" w:color="auto" w:fill="FFFFFF" w:themeFill="background1"/>
          </w:tcPr>
          <w:p w14:paraId="1C90F6C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1,0</w:t>
            </w:r>
          </w:p>
        </w:tc>
        <w:tc>
          <w:tcPr>
            <w:tcW w:w="571" w:type="pct"/>
            <w:tcBorders>
              <w:top w:val="nil"/>
              <w:bottom w:val="nil"/>
            </w:tcBorders>
            <w:shd w:val="clear" w:color="auto" w:fill="FFFFFF" w:themeFill="background1"/>
          </w:tcPr>
          <w:p w14:paraId="0058E6B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71" w:type="pct"/>
            <w:tcBorders>
              <w:top w:val="nil"/>
              <w:bottom w:val="nil"/>
            </w:tcBorders>
            <w:shd w:val="clear" w:color="auto" w:fill="FFFFFF" w:themeFill="background1"/>
          </w:tcPr>
          <w:p w14:paraId="6D980F4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2,7</w:t>
            </w:r>
          </w:p>
        </w:tc>
        <w:tc>
          <w:tcPr>
            <w:tcW w:w="576" w:type="pct"/>
            <w:tcBorders>
              <w:top w:val="nil"/>
              <w:bottom w:val="nil"/>
            </w:tcBorders>
            <w:shd w:val="clear" w:color="auto" w:fill="FFFFFF" w:themeFill="background1"/>
          </w:tcPr>
          <w:p w14:paraId="7D8F59A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614" w:type="pct"/>
            <w:tcBorders>
              <w:top w:val="nil"/>
              <w:bottom w:val="nil"/>
            </w:tcBorders>
            <w:shd w:val="clear" w:color="auto" w:fill="FFFFFF" w:themeFill="background1"/>
          </w:tcPr>
          <w:p w14:paraId="7F7061A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2,4</w:t>
            </w:r>
          </w:p>
        </w:tc>
        <w:tc>
          <w:tcPr>
            <w:tcW w:w="566" w:type="pct"/>
            <w:tcBorders>
              <w:top w:val="nil"/>
              <w:bottom w:val="nil"/>
            </w:tcBorders>
            <w:shd w:val="clear" w:color="auto" w:fill="FFFFFF" w:themeFill="background1"/>
          </w:tcPr>
          <w:p w14:paraId="155FC7E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1" w:type="pct"/>
            <w:tcBorders>
              <w:top w:val="nil"/>
              <w:bottom w:val="nil"/>
            </w:tcBorders>
            <w:shd w:val="clear" w:color="auto" w:fill="FFFFFF" w:themeFill="background1"/>
            <w:noWrap/>
          </w:tcPr>
          <w:p w14:paraId="16846FE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0" w:type="pct"/>
            <w:tcBorders>
              <w:top w:val="nil"/>
              <w:bottom w:val="nil"/>
            </w:tcBorders>
            <w:shd w:val="clear" w:color="auto" w:fill="FFFFFF" w:themeFill="background1"/>
            <w:noWrap/>
          </w:tcPr>
          <w:p w14:paraId="71C52D2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r>
      <w:tr w:rsidR="005F26DA" w:rsidRPr="000E0422" w14:paraId="7170D42E"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5D201934"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2019</w:t>
            </w:r>
          </w:p>
          <w:p w14:paraId="3373C6D8" w14:textId="77777777" w:rsidR="005F26DA" w:rsidRPr="000E0422" w:rsidRDefault="005F26DA" w:rsidP="00563037">
            <w:pPr>
              <w:shd w:val="clear" w:color="auto" w:fill="FFFFFF" w:themeFill="background1"/>
              <w:spacing w:line="276" w:lineRule="auto"/>
              <w:rPr>
                <w:b w:val="0"/>
                <w:color w:val="auto"/>
                <w:sz w:val="16"/>
                <w:szCs w:val="16"/>
                <w:lang w:val="sr-Cyrl-RS"/>
              </w:rPr>
            </w:pPr>
          </w:p>
        </w:tc>
        <w:tc>
          <w:tcPr>
            <w:tcW w:w="588" w:type="pct"/>
            <w:tcBorders>
              <w:top w:val="nil"/>
              <w:bottom w:val="nil"/>
            </w:tcBorders>
            <w:shd w:val="clear" w:color="auto" w:fill="FFFFFF" w:themeFill="background1"/>
          </w:tcPr>
          <w:p w14:paraId="7BA015F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1,9</w:t>
            </w:r>
          </w:p>
        </w:tc>
        <w:tc>
          <w:tcPr>
            <w:tcW w:w="571" w:type="pct"/>
            <w:tcBorders>
              <w:top w:val="nil"/>
              <w:bottom w:val="nil"/>
            </w:tcBorders>
            <w:shd w:val="clear" w:color="auto" w:fill="FFFFFF" w:themeFill="background1"/>
          </w:tcPr>
          <w:p w14:paraId="4777D29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1" w:type="pct"/>
            <w:tcBorders>
              <w:top w:val="nil"/>
              <w:bottom w:val="nil"/>
            </w:tcBorders>
            <w:shd w:val="clear" w:color="auto" w:fill="FFFFFF" w:themeFill="background1"/>
          </w:tcPr>
          <w:p w14:paraId="5AD5C7B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6" w:type="pct"/>
            <w:tcBorders>
              <w:top w:val="nil"/>
              <w:bottom w:val="nil"/>
            </w:tcBorders>
            <w:shd w:val="clear" w:color="auto" w:fill="FFFFFF" w:themeFill="background1"/>
          </w:tcPr>
          <w:p w14:paraId="565C66F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614" w:type="pct"/>
            <w:tcBorders>
              <w:top w:val="nil"/>
              <w:bottom w:val="nil"/>
            </w:tcBorders>
            <w:shd w:val="clear" w:color="auto" w:fill="FFFFFF" w:themeFill="background1"/>
          </w:tcPr>
          <w:p w14:paraId="31E5F7C1"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66" w:type="pct"/>
            <w:tcBorders>
              <w:top w:val="nil"/>
              <w:bottom w:val="nil"/>
            </w:tcBorders>
            <w:shd w:val="clear" w:color="auto" w:fill="FFFFFF" w:themeFill="background1"/>
          </w:tcPr>
          <w:p w14:paraId="5E5E768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noWrap/>
          </w:tcPr>
          <w:p w14:paraId="68F6544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570" w:type="pct"/>
            <w:tcBorders>
              <w:top w:val="nil"/>
              <w:bottom w:val="nil"/>
            </w:tcBorders>
            <w:shd w:val="clear" w:color="auto" w:fill="FFFFFF" w:themeFill="background1"/>
            <w:noWrap/>
          </w:tcPr>
          <w:p w14:paraId="4D0C71A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1,3</w:t>
            </w:r>
          </w:p>
        </w:tc>
      </w:tr>
      <w:tr w:rsidR="005F26DA" w:rsidRPr="000E0422" w14:paraId="40A51A64"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088D19D"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2020</w:t>
            </w:r>
          </w:p>
          <w:p w14:paraId="6BDE32E6"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p w14:paraId="46538A9B"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p w14:paraId="0DF92943"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w:t>
            </w:r>
          </w:p>
        </w:tc>
        <w:tc>
          <w:tcPr>
            <w:tcW w:w="588" w:type="pct"/>
            <w:tcBorders>
              <w:top w:val="nil"/>
              <w:bottom w:val="nil"/>
            </w:tcBorders>
            <w:shd w:val="clear" w:color="auto" w:fill="FFFFFF" w:themeFill="background1"/>
          </w:tcPr>
          <w:p w14:paraId="2AB0B7B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-2,6</w:t>
            </w:r>
          </w:p>
        </w:tc>
        <w:tc>
          <w:tcPr>
            <w:tcW w:w="571" w:type="pct"/>
            <w:tcBorders>
              <w:top w:val="nil"/>
              <w:bottom w:val="nil"/>
            </w:tcBorders>
            <w:shd w:val="clear" w:color="auto" w:fill="FFFFFF" w:themeFill="background1"/>
          </w:tcPr>
          <w:p w14:paraId="5884F98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-8,0</w:t>
            </w:r>
          </w:p>
        </w:tc>
        <w:tc>
          <w:tcPr>
            <w:tcW w:w="571" w:type="pct"/>
            <w:tcBorders>
              <w:top w:val="nil"/>
              <w:bottom w:val="nil"/>
            </w:tcBorders>
            <w:shd w:val="clear" w:color="auto" w:fill="FFFFFF" w:themeFill="background1"/>
          </w:tcPr>
          <w:p w14:paraId="0065177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-6,0</w:t>
            </w:r>
          </w:p>
        </w:tc>
        <w:tc>
          <w:tcPr>
            <w:tcW w:w="576" w:type="pct"/>
            <w:tcBorders>
              <w:top w:val="nil"/>
              <w:bottom w:val="nil"/>
            </w:tcBorders>
            <w:shd w:val="clear" w:color="auto" w:fill="FFFFFF" w:themeFill="background1"/>
          </w:tcPr>
          <w:p w14:paraId="41421A4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-7,1</w:t>
            </w:r>
          </w:p>
        </w:tc>
        <w:tc>
          <w:tcPr>
            <w:tcW w:w="614" w:type="pct"/>
            <w:tcBorders>
              <w:top w:val="nil"/>
              <w:bottom w:val="nil"/>
            </w:tcBorders>
            <w:shd w:val="clear" w:color="auto" w:fill="FFFFFF" w:themeFill="background1"/>
          </w:tcPr>
          <w:p w14:paraId="1FF60A4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-5,1</w:t>
            </w:r>
          </w:p>
        </w:tc>
        <w:tc>
          <w:tcPr>
            <w:tcW w:w="566" w:type="pct"/>
            <w:tcBorders>
              <w:top w:val="nil"/>
              <w:bottom w:val="nil"/>
            </w:tcBorders>
            <w:shd w:val="clear" w:color="auto" w:fill="FFFFFF" w:themeFill="background1"/>
          </w:tcPr>
          <w:p w14:paraId="3CF525C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1" w:type="pct"/>
            <w:tcBorders>
              <w:top w:val="nil"/>
              <w:bottom w:val="nil"/>
            </w:tcBorders>
            <w:shd w:val="clear" w:color="auto" w:fill="FFFFFF" w:themeFill="background1"/>
            <w:noWrap/>
          </w:tcPr>
          <w:p w14:paraId="23B710E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0" w:type="pct"/>
            <w:tcBorders>
              <w:top w:val="nil"/>
              <w:bottom w:val="nil"/>
            </w:tcBorders>
            <w:shd w:val="clear" w:color="auto" w:fill="FFFFFF" w:themeFill="background1"/>
            <w:noWrap/>
          </w:tcPr>
          <w:p w14:paraId="4110E81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6,2</w:t>
            </w:r>
          </w:p>
        </w:tc>
      </w:tr>
      <w:tr w:rsidR="005F26DA" w:rsidRPr="000E0422" w14:paraId="532C37C7"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8F24C37"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tc>
        <w:tc>
          <w:tcPr>
            <w:tcW w:w="588" w:type="pct"/>
            <w:tcBorders>
              <w:top w:val="nil"/>
              <w:bottom w:val="nil"/>
            </w:tcBorders>
            <w:shd w:val="clear" w:color="auto" w:fill="FFFFFF" w:themeFill="background1"/>
          </w:tcPr>
          <w:p w14:paraId="2262A45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71" w:type="pct"/>
            <w:tcBorders>
              <w:top w:val="nil"/>
              <w:bottom w:val="nil"/>
            </w:tcBorders>
            <w:shd w:val="clear" w:color="auto" w:fill="FFFFFF" w:themeFill="background1"/>
          </w:tcPr>
          <w:p w14:paraId="3D464BB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571" w:type="pct"/>
            <w:tcBorders>
              <w:top w:val="nil"/>
              <w:bottom w:val="nil"/>
            </w:tcBorders>
            <w:shd w:val="clear" w:color="auto" w:fill="FFFFFF" w:themeFill="background1"/>
          </w:tcPr>
          <w:p w14:paraId="4CD42764"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6" w:type="pct"/>
            <w:tcBorders>
              <w:top w:val="nil"/>
              <w:bottom w:val="nil"/>
            </w:tcBorders>
            <w:shd w:val="clear" w:color="auto" w:fill="FFFFFF" w:themeFill="background1"/>
          </w:tcPr>
          <w:p w14:paraId="01F7F4B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614" w:type="pct"/>
            <w:tcBorders>
              <w:top w:val="nil"/>
              <w:bottom w:val="nil"/>
            </w:tcBorders>
            <w:shd w:val="clear" w:color="auto" w:fill="FFFFFF" w:themeFill="background1"/>
          </w:tcPr>
          <w:p w14:paraId="207475C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66" w:type="pct"/>
            <w:tcBorders>
              <w:top w:val="nil"/>
              <w:bottom w:val="nil"/>
            </w:tcBorders>
            <w:shd w:val="clear" w:color="auto" w:fill="FFFFFF" w:themeFill="background1"/>
          </w:tcPr>
          <w:p w14:paraId="2ED68CCA"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1" w:type="pct"/>
            <w:tcBorders>
              <w:top w:val="nil"/>
              <w:bottom w:val="nil"/>
            </w:tcBorders>
            <w:shd w:val="clear" w:color="auto" w:fill="FFFFFF" w:themeFill="background1"/>
            <w:noWrap/>
          </w:tcPr>
          <w:p w14:paraId="77E3EEC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0" w:type="pct"/>
            <w:tcBorders>
              <w:top w:val="nil"/>
              <w:bottom w:val="nil"/>
            </w:tcBorders>
            <w:shd w:val="clear" w:color="auto" w:fill="FFFFFF" w:themeFill="background1"/>
            <w:noWrap/>
          </w:tcPr>
          <w:p w14:paraId="7E4C60D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r>
      <w:tr w:rsidR="005F26DA" w:rsidRPr="000E0422" w14:paraId="30CE134C"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6264AA21"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2022</w:t>
            </w:r>
          </w:p>
        </w:tc>
        <w:tc>
          <w:tcPr>
            <w:tcW w:w="588" w:type="pct"/>
            <w:tcBorders>
              <w:top w:val="nil"/>
              <w:bottom w:val="nil"/>
            </w:tcBorders>
            <w:shd w:val="clear" w:color="auto" w:fill="FFFFFF" w:themeFill="background1"/>
          </w:tcPr>
          <w:p w14:paraId="4ADF8FD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71" w:type="pct"/>
            <w:tcBorders>
              <w:top w:val="nil"/>
              <w:bottom w:val="nil"/>
            </w:tcBorders>
            <w:shd w:val="clear" w:color="auto" w:fill="FFFFFF" w:themeFill="background1"/>
          </w:tcPr>
          <w:p w14:paraId="7D9E6C3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1" w:type="pct"/>
            <w:tcBorders>
              <w:top w:val="nil"/>
              <w:bottom w:val="nil"/>
            </w:tcBorders>
            <w:shd w:val="clear" w:color="auto" w:fill="FFFFFF" w:themeFill="background1"/>
          </w:tcPr>
          <w:p w14:paraId="41A9976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6" w:type="pct"/>
            <w:tcBorders>
              <w:top w:val="nil"/>
              <w:bottom w:val="nil"/>
            </w:tcBorders>
            <w:shd w:val="clear" w:color="auto" w:fill="FFFFFF" w:themeFill="background1"/>
          </w:tcPr>
          <w:p w14:paraId="2221163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614" w:type="pct"/>
            <w:tcBorders>
              <w:top w:val="nil"/>
              <w:bottom w:val="nil"/>
            </w:tcBorders>
            <w:shd w:val="clear" w:color="auto" w:fill="FFFFFF" w:themeFill="background1"/>
          </w:tcPr>
          <w:p w14:paraId="6A5E1BB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66" w:type="pct"/>
            <w:tcBorders>
              <w:top w:val="nil"/>
              <w:bottom w:val="nil"/>
            </w:tcBorders>
            <w:shd w:val="clear" w:color="auto" w:fill="FFFFFF" w:themeFill="background1"/>
          </w:tcPr>
          <w:p w14:paraId="375B00B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1" w:type="pct"/>
            <w:tcBorders>
              <w:top w:val="nil"/>
              <w:bottom w:val="nil"/>
            </w:tcBorders>
            <w:shd w:val="clear" w:color="auto" w:fill="FFFFFF" w:themeFill="background1"/>
            <w:noWrap/>
          </w:tcPr>
          <w:p w14:paraId="3938661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-1,3</w:t>
            </w:r>
          </w:p>
        </w:tc>
        <w:tc>
          <w:tcPr>
            <w:tcW w:w="570" w:type="pct"/>
            <w:tcBorders>
              <w:top w:val="nil"/>
              <w:bottom w:val="nil"/>
            </w:tcBorders>
            <w:shd w:val="clear" w:color="auto" w:fill="FFFFFF" w:themeFill="background1"/>
            <w:noWrap/>
          </w:tcPr>
          <w:p w14:paraId="43B278B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r>
      <w:tr w:rsidR="005F26DA" w:rsidRPr="000E0422" w14:paraId="1AE36993"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6CC70606"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2023</w:t>
            </w:r>
          </w:p>
        </w:tc>
        <w:tc>
          <w:tcPr>
            <w:tcW w:w="588" w:type="pct"/>
            <w:tcBorders>
              <w:top w:val="nil"/>
              <w:bottom w:val="nil"/>
            </w:tcBorders>
            <w:shd w:val="clear" w:color="auto" w:fill="FFFFFF" w:themeFill="background1"/>
          </w:tcPr>
          <w:p w14:paraId="2A3F15F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1" w:type="pct"/>
            <w:tcBorders>
              <w:top w:val="nil"/>
              <w:bottom w:val="nil"/>
            </w:tcBorders>
            <w:shd w:val="clear" w:color="auto" w:fill="FFFFFF" w:themeFill="background1"/>
          </w:tcPr>
          <w:p w14:paraId="513A228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71" w:type="pct"/>
            <w:tcBorders>
              <w:top w:val="nil"/>
              <w:bottom w:val="nil"/>
            </w:tcBorders>
            <w:shd w:val="clear" w:color="auto" w:fill="FFFFFF" w:themeFill="background1"/>
          </w:tcPr>
          <w:p w14:paraId="3E4C978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6" w:type="pct"/>
            <w:tcBorders>
              <w:top w:val="nil"/>
              <w:bottom w:val="nil"/>
            </w:tcBorders>
            <w:shd w:val="clear" w:color="auto" w:fill="FFFFFF" w:themeFill="background1"/>
          </w:tcPr>
          <w:p w14:paraId="1B5DC5C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-1,6</w:t>
            </w:r>
          </w:p>
        </w:tc>
        <w:tc>
          <w:tcPr>
            <w:tcW w:w="614" w:type="pct"/>
            <w:tcBorders>
              <w:top w:val="nil"/>
              <w:bottom w:val="nil"/>
            </w:tcBorders>
            <w:shd w:val="clear" w:color="auto" w:fill="FFFFFF" w:themeFill="background1"/>
          </w:tcPr>
          <w:p w14:paraId="77790B74"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66" w:type="pct"/>
            <w:tcBorders>
              <w:top w:val="nil"/>
              <w:bottom w:val="nil"/>
            </w:tcBorders>
            <w:shd w:val="clear" w:color="auto" w:fill="FFFFFF" w:themeFill="background1"/>
          </w:tcPr>
          <w:p w14:paraId="79B948C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-1,6</w:t>
            </w:r>
          </w:p>
        </w:tc>
        <w:tc>
          <w:tcPr>
            <w:tcW w:w="571" w:type="pct"/>
            <w:tcBorders>
              <w:top w:val="nil"/>
              <w:bottom w:val="nil"/>
            </w:tcBorders>
            <w:shd w:val="clear" w:color="auto" w:fill="FFFFFF" w:themeFill="background1"/>
            <w:noWrap/>
          </w:tcPr>
          <w:p w14:paraId="5429692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0" w:type="pct"/>
            <w:tcBorders>
              <w:top w:val="nil"/>
              <w:bottom w:val="nil"/>
            </w:tcBorders>
            <w:shd w:val="clear" w:color="auto" w:fill="FFFFFF" w:themeFill="background1"/>
            <w:noWrap/>
          </w:tcPr>
          <w:p w14:paraId="53B326C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-1,4</w:t>
            </w:r>
          </w:p>
        </w:tc>
      </w:tr>
      <w:tr w:rsidR="005F26DA" w:rsidRPr="000E0422" w14:paraId="15CE75E5"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single" w:sz="4" w:space="0" w:color="002060"/>
            </w:tcBorders>
            <w:shd w:val="clear" w:color="auto" w:fill="FFFFFF" w:themeFill="background1"/>
            <w:noWrap/>
          </w:tcPr>
          <w:p w14:paraId="2155F89B" w14:textId="77777777" w:rsidR="005F26DA" w:rsidRPr="000E0422" w:rsidRDefault="005F26DA" w:rsidP="00563037">
            <w:pPr>
              <w:shd w:val="clear" w:color="auto" w:fill="FFFFFF" w:themeFill="background1"/>
              <w:spacing w:line="276" w:lineRule="auto"/>
              <w:rPr>
                <w:color w:val="auto"/>
                <w:sz w:val="16"/>
                <w:szCs w:val="16"/>
                <w:lang w:val="sr-Cyrl-RS"/>
              </w:rPr>
            </w:pPr>
            <w:r w:rsidRPr="000E0422">
              <w:rPr>
                <w:b w:val="0"/>
                <w:color w:val="auto"/>
                <w:sz w:val="16"/>
                <w:szCs w:val="16"/>
                <w:lang w:val="sr-Cyrl-RS"/>
              </w:rPr>
              <w:t>2024</w:t>
            </w:r>
          </w:p>
        </w:tc>
        <w:tc>
          <w:tcPr>
            <w:tcW w:w="588" w:type="pct"/>
            <w:tcBorders>
              <w:top w:val="nil"/>
              <w:bottom w:val="single" w:sz="4" w:space="0" w:color="002060"/>
            </w:tcBorders>
            <w:shd w:val="clear" w:color="auto" w:fill="FFFFFF" w:themeFill="background1"/>
          </w:tcPr>
          <w:p w14:paraId="7A2F21B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1" w:type="pct"/>
            <w:tcBorders>
              <w:top w:val="nil"/>
              <w:bottom w:val="single" w:sz="4" w:space="0" w:color="002060"/>
            </w:tcBorders>
            <w:shd w:val="clear" w:color="auto" w:fill="FFFFFF" w:themeFill="background1"/>
          </w:tcPr>
          <w:p w14:paraId="7D2DF17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-1,0</w:t>
            </w:r>
          </w:p>
        </w:tc>
        <w:tc>
          <w:tcPr>
            <w:tcW w:w="571" w:type="pct"/>
            <w:tcBorders>
              <w:top w:val="nil"/>
              <w:bottom w:val="single" w:sz="4" w:space="0" w:color="002060"/>
            </w:tcBorders>
            <w:shd w:val="clear" w:color="auto" w:fill="FFFFFF" w:themeFill="background1"/>
          </w:tcPr>
          <w:p w14:paraId="6694C5F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6" w:type="pct"/>
            <w:tcBorders>
              <w:top w:val="nil"/>
              <w:bottom w:val="single" w:sz="4" w:space="0" w:color="002060"/>
            </w:tcBorders>
            <w:shd w:val="clear" w:color="auto" w:fill="FFFFFF" w:themeFill="background1"/>
          </w:tcPr>
          <w:p w14:paraId="747C1C1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614" w:type="pct"/>
            <w:tcBorders>
              <w:top w:val="nil"/>
              <w:bottom w:val="single" w:sz="4" w:space="0" w:color="002060"/>
            </w:tcBorders>
            <w:shd w:val="clear" w:color="auto" w:fill="FFFFFF" w:themeFill="background1"/>
          </w:tcPr>
          <w:p w14:paraId="584EFD3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66" w:type="pct"/>
            <w:tcBorders>
              <w:top w:val="nil"/>
              <w:bottom w:val="single" w:sz="4" w:space="0" w:color="002060"/>
            </w:tcBorders>
            <w:shd w:val="clear" w:color="auto" w:fill="FFFFFF" w:themeFill="background1"/>
          </w:tcPr>
          <w:p w14:paraId="6954226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single" w:sz="4" w:space="0" w:color="002060"/>
            </w:tcBorders>
            <w:shd w:val="clear" w:color="auto" w:fill="FFFFFF" w:themeFill="background1"/>
            <w:noWrap/>
          </w:tcPr>
          <w:p w14:paraId="5BB9C9C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70" w:type="pct"/>
            <w:tcBorders>
              <w:top w:val="nil"/>
              <w:bottom w:val="single" w:sz="4" w:space="0" w:color="002060"/>
            </w:tcBorders>
            <w:shd w:val="clear" w:color="auto" w:fill="FFFFFF" w:themeFill="background1"/>
            <w:noWrap/>
          </w:tcPr>
          <w:p w14:paraId="017F904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-0,4</w:t>
            </w:r>
          </w:p>
        </w:tc>
      </w:tr>
    </w:tbl>
    <w:p w14:paraId="2C8D88F7" w14:textId="77777777" w:rsidR="005F26DA" w:rsidRPr="000E0422" w:rsidRDefault="005F26DA" w:rsidP="00563037">
      <w:pPr>
        <w:shd w:val="clear" w:color="auto" w:fill="FFFFFF" w:themeFill="background1"/>
        <w:spacing w:after="0" w:line="276" w:lineRule="auto"/>
        <w:rPr>
          <w:rFonts w:eastAsia="MS PGothic" w:cs="Times New Roman"/>
          <w:sz w:val="16"/>
          <w:szCs w:val="16"/>
          <w:lang w:val="sr-Cyrl-RS" w:eastAsia="ja-JP"/>
        </w:rPr>
      </w:pPr>
      <w:r w:rsidRPr="000E0422">
        <w:rPr>
          <w:rFonts w:eastAsia="MS PGothic" w:cs="Times New Roman"/>
          <w:bCs/>
          <w:sz w:val="16"/>
          <w:szCs w:val="16"/>
          <w:lang w:val="sr-Cyrl-RS" w:eastAsia="ja-JP"/>
        </w:rPr>
        <w:t xml:space="preserve">* </w:t>
      </w:r>
      <w:r w:rsidRPr="000E0422">
        <w:rPr>
          <w:rFonts w:eastAsia="MS PGothic" w:cs="Times New Roman"/>
          <w:sz w:val="16"/>
          <w:szCs w:val="16"/>
          <w:lang w:val="sr-Cyrl-RS" w:eastAsia="ja-JP"/>
        </w:rPr>
        <w:t>За период 2021–2024. године приказане су пројектоване вредности.</w:t>
      </w:r>
    </w:p>
    <w:p w14:paraId="4CCC489B" w14:textId="77777777" w:rsidR="005F26DA" w:rsidRPr="000E0422" w:rsidRDefault="005F26DA" w:rsidP="00563037">
      <w:pPr>
        <w:shd w:val="clear" w:color="auto" w:fill="FFFFFF" w:themeFill="background1"/>
        <w:spacing w:after="0" w:line="276" w:lineRule="auto"/>
        <w:rPr>
          <w:rFonts w:eastAsia="MS PGothic" w:cs="Times New Roman"/>
          <w:sz w:val="16"/>
          <w:szCs w:val="16"/>
          <w:lang w:val="sr-Cyrl-RS" w:eastAsia="ja-JP"/>
        </w:rPr>
      </w:pPr>
      <w:r w:rsidRPr="000E0422">
        <w:rPr>
          <w:rFonts w:eastAsia="MS PGothic" w:cs="Times New Roman"/>
          <w:bCs/>
          <w:sz w:val="16"/>
          <w:szCs w:val="16"/>
          <w:lang w:val="sr-Cyrl-RS" w:eastAsia="ja-JP"/>
        </w:rPr>
        <w:t>** Структурни примарни биланс добијен је искључивањем процењених једнократних прихода и расхода</w:t>
      </w:r>
      <w:r w:rsidRPr="000E0422">
        <w:rPr>
          <w:rFonts w:eastAsia="MS PGothic" w:cs="Times New Roman"/>
          <w:sz w:val="16"/>
          <w:szCs w:val="16"/>
          <w:lang w:val="sr-Cyrl-RS" w:eastAsia="ja-JP"/>
        </w:rPr>
        <w:t>. Резултати који приказују промену структурног примарног дефицита не искључују експлицитно ефекте повећања ефикасности наплате прихода, па се оцена структурног прилагођавања у 2015. и 2016. години делимично разликује од претходно приказаних ефеката.</w:t>
      </w:r>
    </w:p>
    <w:p w14:paraId="540A2E79" w14:textId="77777777" w:rsidR="005F26DA" w:rsidRPr="000E0422" w:rsidRDefault="005F26DA" w:rsidP="00563037">
      <w:pPr>
        <w:spacing w:line="276" w:lineRule="auto"/>
        <w:rPr>
          <w:rFonts w:eastAsia="Calibri" w:cs="Times New Roman"/>
          <w:sz w:val="16"/>
          <w:szCs w:val="16"/>
          <w:lang w:val="sr-Cyrl-RS"/>
        </w:rPr>
      </w:pPr>
      <w:r w:rsidRPr="000E0422">
        <w:rPr>
          <w:rFonts w:eastAsia="Calibri" w:cs="Times New Roman"/>
          <w:sz w:val="16"/>
          <w:szCs w:val="16"/>
          <w:lang w:val="sr-Cyrl-RS"/>
        </w:rPr>
        <w:t>Извор: Министарство финансија</w:t>
      </w:r>
    </w:p>
    <w:p w14:paraId="25A5B71E" w14:textId="77777777"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Одговор фискалне политике на сложену економску ситуацију узроковану пандемијом коронавируса у 2020. години, представљен је опсежним пакетом мера помоћи привреди чија је вредност планирана на 12,8% БДП (реализовано 11,6% БДП). Оцењено је да је директан утицај овог економског пакета на цикличну позицију земље износио преко 7% БДП, при чему негативан производни јаз достиже 2,6% БДП. У случају одсуства мера подршке привреди и становништву пад БДП у 2020. години био би знатно већи, и износио би преко 5% услед веће контракције привреде и споријег опоравка, а негативан производни јаз би био виши од 6% БДП.</w:t>
      </w:r>
    </w:p>
    <w:p w14:paraId="616EC799" w14:textId="77777777"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Оцењена негативна циклична компонента фискалног резултата у 2020. години износила је само 0,9% БДП. Иако циклична анализа фискалног резултата наговештава да би уштеде настале неспровођењем пакета мера надмашиле фискалне губитке услед већег пада БДП, дугорочни негативни ефекти губитка производних потенцијала и људских ресурса би били немерљиво већи.</w:t>
      </w:r>
    </w:p>
    <w:p w14:paraId="71EC2048" w14:textId="57E563A7" w:rsidR="005F26DA" w:rsidRPr="000E0422" w:rsidRDefault="005F26DA" w:rsidP="00E02533">
      <w:pPr>
        <w:spacing w:after="60"/>
        <w:rPr>
          <w:rFonts w:eastAsia="Calibri" w:cs="Times New Roman"/>
          <w:szCs w:val="24"/>
          <w:lang w:val="sr-Cyrl-RS"/>
        </w:rPr>
      </w:pPr>
      <w:r w:rsidRPr="000E0422">
        <w:rPr>
          <w:rFonts w:eastAsia="Calibri" w:cs="Times New Roman"/>
          <w:szCs w:val="24"/>
          <w:lang w:val="sr-Cyrl-RS"/>
        </w:rPr>
        <w:t xml:space="preserve">Услед продуженог епидемиолошког и економског дејства пандемије </w:t>
      </w:r>
      <w:r w:rsidR="0063502F">
        <w:rPr>
          <w:szCs w:val="24"/>
          <w:lang w:val="sr-Cyrl-RS"/>
        </w:rPr>
        <w:t>Ковид</w:t>
      </w:r>
      <w:r w:rsidRPr="000E0422">
        <w:rPr>
          <w:rFonts w:eastAsia="Calibri" w:cs="Times New Roman"/>
          <w:szCs w:val="24"/>
          <w:lang w:val="sr-Cyrl-RS"/>
        </w:rPr>
        <w:t>-19 и током 2021. године, било је неопходно донети додатни пакет мера економске подршке привреди и становништву. Првим и другим ребалансом буџета за 2021. годину, поред осталог, предвиђена су средства у висини од 4,2% БДП, као вид подршке привреди и грађанима за лакше превазилажење економских последица пандемије. Акценат је стављен на секторе који су посебно погођени мерама епидемиолошке заштите становништва. Као и у претходном пакету мера, предвиђена су средства подршке становништву, која ће дати додатни стимуланс агрегатној тражњи. Процењени ефекат трећег пакета мера на фискалну позицију земље је 2,3% БДП.</w:t>
      </w:r>
    </w:p>
    <w:p w14:paraId="0A9F52FC" w14:textId="77777777" w:rsidR="005F26DA" w:rsidRPr="000E0422" w:rsidRDefault="005F26DA" w:rsidP="00563037">
      <w:pPr>
        <w:spacing w:after="0"/>
        <w:rPr>
          <w:rFonts w:cs="Times New Roman"/>
          <w:szCs w:val="24"/>
          <w:lang w:val="sr-Cyrl-RS" w:eastAsia="sr-Cyrl-RS"/>
        </w:rPr>
      </w:pPr>
      <w:r w:rsidRPr="000E0422">
        <w:rPr>
          <w:rFonts w:cs="Times New Roman"/>
          <w:szCs w:val="24"/>
          <w:lang w:val="sr-Cyrl-RS"/>
        </w:rPr>
        <w:t>Графикон 10. Производни јаз, циклично прилаг. и структурни фиск. биланс у периоду 2005–2024. год, % БДП*</w:t>
      </w:r>
    </w:p>
    <w:p w14:paraId="1D3F4585" w14:textId="77777777" w:rsidR="005F26DA" w:rsidRPr="000E0422" w:rsidRDefault="005F26DA" w:rsidP="00563037">
      <w:pPr>
        <w:spacing w:after="0"/>
        <w:rPr>
          <w:rFonts w:cs="Times New Roman"/>
          <w:szCs w:val="24"/>
          <w:lang w:val="sr-Cyrl-RS" w:eastAsia="sr-Cyrl-RS"/>
        </w:rPr>
      </w:pPr>
      <w:r w:rsidRPr="000E0422">
        <w:rPr>
          <w:rFonts w:cs="Times New Roman"/>
          <w:noProof/>
          <w:szCs w:val="24"/>
        </w:rPr>
        <w:lastRenderedPageBreak/>
        <w:drawing>
          <wp:inline distT="0" distB="0" distL="0" distR="0" wp14:anchorId="71789A24" wp14:editId="3ABE466C">
            <wp:extent cx="5910469" cy="2588895"/>
            <wp:effectExtent l="0" t="0" r="0" b="190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5ACD18" w14:textId="77777777" w:rsidR="005F26DA" w:rsidRPr="000E0422" w:rsidRDefault="005F26DA" w:rsidP="00E02533">
      <w:pPr>
        <w:rPr>
          <w:rFonts w:eastAsia="MS PGothic" w:cs="Times New Roman"/>
          <w:sz w:val="16"/>
          <w:szCs w:val="16"/>
          <w:lang w:val="sr-Cyrl-RS" w:eastAsia="ja-JP"/>
        </w:rPr>
      </w:pPr>
      <w:r w:rsidRPr="000E0422">
        <w:rPr>
          <w:rFonts w:eastAsia="MS PGothic" w:cs="Times New Roman"/>
          <w:sz w:val="16"/>
          <w:szCs w:val="16"/>
          <w:lang w:val="sr-Cyrl-RS" w:eastAsia="ja-JP"/>
        </w:rPr>
        <w:t>*За период 2021–2024. године приказане су пројектоване вредности</w:t>
      </w:r>
    </w:p>
    <w:p w14:paraId="790AFCE1" w14:textId="77777777" w:rsidR="005F26DA" w:rsidRPr="000E0422" w:rsidRDefault="005F26DA" w:rsidP="00563037">
      <w:pPr>
        <w:spacing w:after="0"/>
        <w:rPr>
          <w:rFonts w:cs="Times New Roman"/>
          <w:szCs w:val="24"/>
          <w:lang w:val="sr-Cyrl-RS" w:eastAsia="sr-Cyrl-RS"/>
        </w:rPr>
      </w:pPr>
      <w:r w:rsidRPr="000E0422">
        <w:rPr>
          <w:rFonts w:cs="Times New Roman"/>
          <w:szCs w:val="24"/>
          <w:lang w:val="sr-Cyrl-RS"/>
        </w:rPr>
        <w:t>Графикон 11. Карактер и ефекти фискалне политике у периоду 2006–2024. године, % БДП*</w:t>
      </w:r>
    </w:p>
    <w:p w14:paraId="359448BD" w14:textId="77777777" w:rsidR="005F26DA" w:rsidRPr="000E0422" w:rsidRDefault="005F26DA" w:rsidP="00563037">
      <w:pPr>
        <w:spacing w:after="0"/>
        <w:rPr>
          <w:rFonts w:cs="Times New Roman"/>
          <w:bCs/>
          <w:szCs w:val="24"/>
          <w:lang w:val="sr-Cyrl-RS"/>
        </w:rPr>
      </w:pPr>
      <w:r w:rsidRPr="000E0422">
        <w:rPr>
          <w:rFonts w:cs="Times New Roman"/>
          <w:noProof/>
          <w:szCs w:val="24"/>
        </w:rPr>
        <w:drawing>
          <wp:inline distT="0" distB="0" distL="0" distR="0" wp14:anchorId="30A07414" wp14:editId="1691EAC0">
            <wp:extent cx="5963478" cy="2120265"/>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B73E06" w14:textId="77777777" w:rsidR="005F26DA" w:rsidRPr="000E0422" w:rsidRDefault="005F26DA" w:rsidP="00563037">
      <w:pPr>
        <w:rPr>
          <w:sz w:val="16"/>
          <w:lang w:val="sr-Cyrl-RS" w:eastAsia="ja-JP"/>
        </w:rPr>
      </w:pPr>
      <w:r w:rsidRPr="000E0422">
        <w:rPr>
          <w:sz w:val="16"/>
          <w:lang w:val="sr-Cyrl-RS" w:eastAsia="ja-JP"/>
        </w:rPr>
        <w:t>*За период 2021–2024. године приказане су пројектоване вредности.</w:t>
      </w:r>
    </w:p>
    <w:p w14:paraId="54D32AF8" w14:textId="77777777" w:rsidR="005F26DA" w:rsidRPr="000E0422" w:rsidRDefault="005F26DA" w:rsidP="00E02533">
      <w:pPr>
        <w:spacing w:after="60"/>
        <w:rPr>
          <w:rFonts w:cs="Times New Roman"/>
          <w:szCs w:val="24"/>
          <w:lang w:val="sr-Cyrl-RS" w:eastAsia="ja-JP"/>
        </w:rPr>
      </w:pPr>
      <w:r w:rsidRPr="000E0422">
        <w:rPr>
          <w:rFonts w:cs="Times New Roman"/>
          <w:szCs w:val="24"/>
          <w:lang w:val="sr-Cyrl-RS" w:eastAsia="ja-JP"/>
        </w:rPr>
        <w:t>Структурна фискална позиција земље није значајно нарушена, због тога што су спроведене мере помоћи привреди из домена фискалне политике временски ограниченог карактера. Ипак, у наредном средњорочном периоду на кретање структурног фискалног резултата ће утицати пренeте пореске обавезе из 2020. године у 2021. и 2022. годину. Уплата прихода по основу одлагања пореза и доприноса у 2020. години имаће привремени (неструктурни) ефекат на фискални биланс у 2021. и 2022. години. Услед наведеног, као и по основу значајног повећања расхода за инфраструктуру током 2021. године и касније, долази до привременог, али одрживог, погоршања структурне фискалне позиције. Смањењем обима кризних мера ствара се простор за умерено повећање редовних структурних расхода. Са друге стране, повећање удела јавних инвестиција у БДП, имаће и директан и индиректан утицај на убрзање привредног раста у наредном периоду.</w:t>
      </w:r>
    </w:p>
    <w:p w14:paraId="44244E2D" w14:textId="77777777" w:rsidR="005F26DA" w:rsidRPr="000E0422" w:rsidRDefault="005F26DA" w:rsidP="00E02533">
      <w:pPr>
        <w:spacing w:after="60"/>
        <w:rPr>
          <w:rFonts w:eastAsia="MS PGothic" w:cs="Times New Roman"/>
          <w:szCs w:val="24"/>
          <w:lang w:val="sr-Cyrl-RS" w:eastAsia="ja-JP"/>
        </w:rPr>
      </w:pPr>
      <w:r w:rsidRPr="000E0422">
        <w:rPr>
          <w:rFonts w:cs="Times New Roman"/>
          <w:szCs w:val="24"/>
          <w:lang w:val="sr-Cyrl-RS" w:eastAsia="ja-JP"/>
        </w:rPr>
        <w:t xml:space="preserve">Како је фискални импулс дефинисан као разлика два узастопна циклично прилагођена (примарна) резултата, оцењује се да је фискална политика током 2018. и 2019. године, у условима позитивног производног јаза, имала проциклични карактер. Са друге стране, фискална политика током 2020. године је изразито експанзивно-контрациклична, усмерена на ублажавање негативног економског циклуса. Услед нешто мањег обима пакета мера економске подршке у 2021. години, фискална политика је рестриктивнија него претходне године, а по карактеру неутрална. У периоду од 2022. до 2024. године </w:t>
      </w:r>
      <w:r w:rsidRPr="000E0422">
        <w:rPr>
          <w:rFonts w:cs="Times New Roman"/>
          <w:szCs w:val="24"/>
          <w:lang w:val="sr-Cyrl-RS" w:eastAsia="ja-JP"/>
        </w:rPr>
        <w:lastRenderedPageBreak/>
        <w:t xml:space="preserve">рестриктивност и даље постоји услед напуштања кризних мера и смањења примарног фискалног дефицита. </w:t>
      </w:r>
      <w:r w:rsidRPr="000E0422">
        <w:rPr>
          <w:rFonts w:eastAsia="MS PGothic" w:cs="Times New Roman"/>
          <w:szCs w:val="24"/>
          <w:lang w:val="sr-Cyrl-RS" w:eastAsia="ja-JP"/>
        </w:rPr>
        <w:t xml:space="preserve">И даље је присутан одређени </w:t>
      </w:r>
      <w:r w:rsidRPr="000E0422">
        <w:rPr>
          <w:rFonts w:cs="Times New Roman"/>
          <w:szCs w:val="24"/>
          <w:lang w:val="sr-Cyrl-RS" w:eastAsia="ja-JP"/>
        </w:rPr>
        <w:t>контрациклични карактер</w:t>
      </w:r>
      <w:r w:rsidRPr="000E0422">
        <w:rPr>
          <w:rFonts w:eastAsia="MS PGothic" w:cs="Times New Roman"/>
          <w:szCs w:val="24"/>
          <w:lang w:val="sr-Cyrl-RS" w:eastAsia="ja-JP"/>
        </w:rPr>
        <w:t>, услед постављених циљева уравнотежења и стабилизације јавних финансија, у условима позитивног производног јаза.</w:t>
      </w:r>
    </w:p>
    <w:p w14:paraId="3FD7E545" w14:textId="77777777" w:rsidR="005F26DA" w:rsidRPr="000E0422" w:rsidRDefault="005F26DA" w:rsidP="00563037">
      <w:pPr>
        <w:spacing w:after="0"/>
        <w:rPr>
          <w:rFonts w:cs="Times New Roman"/>
          <w:vanish/>
          <w:szCs w:val="24"/>
          <w:lang w:val="sr-Cyrl-RS" w:eastAsia="sr-Cyrl-RS"/>
        </w:rPr>
      </w:pPr>
      <w:r w:rsidRPr="000E0422">
        <w:rPr>
          <w:rFonts w:cs="Times New Roman"/>
          <w:szCs w:val="24"/>
          <w:lang w:val="sr-Cyrl-RS"/>
        </w:rPr>
        <w:t>Графикон 12. Карактер и ефекти фискалне политике у периоду 2006–2021. године, % БДП*</w:t>
      </w:r>
    </w:p>
    <w:p w14:paraId="5883687F" w14:textId="77777777" w:rsidR="005F26DA" w:rsidRDefault="005F26DA" w:rsidP="00E02533">
      <w:pPr>
        <w:rPr>
          <w:rFonts w:eastAsia="MS PGothic" w:cs="Times New Roman"/>
          <w:szCs w:val="24"/>
          <w:lang w:val="sr-Cyrl-RS" w:eastAsia="ja-JP"/>
        </w:rPr>
      </w:pPr>
      <w:r w:rsidRPr="000E0422">
        <w:rPr>
          <w:rFonts w:cs="Times New Roman"/>
          <w:noProof/>
          <w:szCs w:val="24"/>
        </w:rPr>
        <w:drawing>
          <wp:inline distT="0" distB="0" distL="0" distR="0" wp14:anchorId="76E7862A" wp14:editId="2B12DEDD">
            <wp:extent cx="5154930" cy="1921565"/>
            <wp:effectExtent l="0" t="0" r="7620" b="254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911A68" w14:textId="73CAFF49" w:rsidR="005F26DA" w:rsidRPr="00735870" w:rsidRDefault="00735870" w:rsidP="00E02533">
      <w:pPr>
        <w:pStyle w:val="Heading2"/>
        <w:spacing w:before="120" w:after="120"/>
        <w:rPr>
          <w:rFonts w:ascii="Times New Roman" w:eastAsia="Calibri" w:hAnsi="Times New Roman" w:cs="Times New Roman"/>
          <w:b/>
          <w:color w:val="auto"/>
          <w:sz w:val="24"/>
          <w:szCs w:val="24"/>
          <w:lang w:val="sr-Cyrl-RS"/>
        </w:rPr>
      </w:pPr>
      <w:bookmarkStart w:id="20" w:name="_Toc89375527"/>
      <w:r>
        <w:rPr>
          <w:rFonts w:ascii="Times New Roman" w:eastAsia="Calibri" w:hAnsi="Times New Roman" w:cs="Times New Roman"/>
          <w:b/>
          <w:color w:val="auto"/>
          <w:sz w:val="24"/>
          <w:szCs w:val="24"/>
        </w:rPr>
        <w:t>4.</w:t>
      </w:r>
      <w:r w:rsidR="005F26DA" w:rsidRPr="00735870">
        <w:rPr>
          <w:rFonts w:ascii="Times New Roman" w:eastAsia="Calibri" w:hAnsi="Times New Roman" w:cs="Times New Roman"/>
          <w:b/>
          <w:color w:val="auto"/>
          <w:sz w:val="24"/>
          <w:szCs w:val="24"/>
          <w:lang w:val="sr-Cyrl-RS"/>
        </w:rPr>
        <w:t>5. УПРАВЉАЊЕ ЈАВНИМ ДУГОМ</w:t>
      </w:r>
      <w:bookmarkEnd w:id="20"/>
    </w:p>
    <w:p w14:paraId="69AEF6F9" w14:textId="77777777" w:rsidR="002122F3" w:rsidRPr="000309BB" w:rsidRDefault="002122F3" w:rsidP="00E02533">
      <w:pPr>
        <w:spacing w:after="60"/>
        <w:rPr>
          <w:lang w:val="sr-Cyrl-RS" w:eastAsia="ja-JP"/>
        </w:rPr>
      </w:pPr>
      <w:r w:rsidRPr="000309BB">
        <w:rPr>
          <w:lang w:val="sr-Cyrl-RS" w:eastAsia="ja-JP"/>
        </w:rPr>
        <w:t>У складу са међународном праксом и према Закону о јавном дугу („Сл. Гласник РС“, бр. 61/05, 107/09, 78/11, 68/15, 95/18, 91/19 и 149/20), Стр</w:t>
      </w:r>
      <w:r w:rsidR="000309BB">
        <w:rPr>
          <w:lang w:val="sr-Cyrl-RS" w:eastAsia="ja-JP"/>
        </w:rPr>
        <w:t>а</w:t>
      </w:r>
      <w:r w:rsidRPr="000309BB">
        <w:rPr>
          <w:lang w:val="sr-Cyrl-RS" w:eastAsia="ja-JP"/>
        </w:rPr>
        <w:t>т</w:t>
      </w:r>
      <w:r w:rsidR="000309BB">
        <w:rPr>
          <w:lang w:val="sr-Cyrl-RS" w:eastAsia="ja-JP"/>
        </w:rPr>
        <w:t>е</w:t>
      </w:r>
      <w:r w:rsidRPr="000309BB">
        <w:rPr>
          <w:lang w:val="sr-Cyrl-RS" w:eastAsia="ja-JP"/>
        </w:rPr>
        <w:t>гиј</w:t>
      </w:r>
      <w:r w:rsidR="000309BB">
        <w:rPr>
          <w:lang w:val="sr-Cyrl-RS" w:eastAsia="ja-JP"/>
        </w:rPr>
        <w:t>а</w:t>
      </w:r>
      <w:r w:rsidRPr="000309BB">
        <w:rPr>
          <w:lang w:val="sr-Cyrl-RS" w:eastAsia="ja-JP"/>
        </w:rPr>
        <w:t xml:space="preserve"> управљања јавним дугом за наредни средњорочни период треба да буде подржана и конзистентна са општим Владиним средњорочним макроекономским оквиром и саставни је део Фискалне стратегије. Стратегија управљања јавним дугом заснива се на принципима који дефинишу потребу за транспарентним и предвидивим процесом задуживања, уз перманентан развој тржишта државних хартија од вредности и прихватљив ниво изложености финансијским ризицима.</w:t>
      </w:r>
    </w:p>
    <w:p w14:paraId="78459D93" w14:textId="77777777" w:rsidR="002122F3" w:rsidRPr="000309BB" w:rsidRDefault="002122F3" w:rsidP="00E02533">
      <w:pPr>
        <w:spacing w:after="60"/>
        <w:rPr>
          <w:rFonts w:eastAsia="Times New Roman"/>
          <w:lang w:val="sr-Cyrl-RS"/>
        </w:rPr>
      </w:pPr>
      <w:r w:rsidRPr="000309BB">
        <w:rPr>
          <w:lang w:val="sr-Cyrl-RS" w:eastAsia="ja-JP"/>
        </w:rPr>
        <w:t xml:space="preserve">На крају </w:t>
      </w:r>
      <w:r w:rsidR="000309BB" w:rsidRPr="000309BB">
        <w:rPr>
          <w:lang w:val="sr-Cyrl-RS" w:eastAsia="ja-JP"/>
        </w:rPr>
        <w:t xml:space="preserve">септембра </w:t>
      </w:r>
      <w:r w:rsidRPr="000309BB">
        <w:rPr>
          <w:lang w:val="sr-Cyrl-RS" w:eastAsia="ja-JP"/>
        </w:rPr>
        <w:t>2021. године укупно стање јавног дуга општег нивоа државе износило је 3.519,0 млрд динара, односно 57,1% БДП. Од тога се на обавезе централног нивоа државе односило 3.479,2 млрд динара, док се 31,7 млрд динара односило на негарантовани дуг јединица локалне власти и 8,1 млрд динара на негарантовани дуг ЈП Путеви Србије и Коридора Србије. Директне обавезе централног нивоа државе из</w:t>
      </w:r>
      <w:r w:rsidR="000B5EDA">
        <w:rPr>
          <w:lang w:val="sr-Cyrl-RS" w:eastAsia="ja-JP"/>
        </w:rPr>
        <w:t xml:space="preserve">носиле су 3.316,6 млрд динара, </w:t>
      </w:r>
      <w:r w:rsidRPr="000309BB">
        <w:rPr>
          <w:lang w:val="sr-Cyrl-RS" w:eastAsia="ja-JP"/>
        </w:rPr>
        <w:t>а индиректне обавезе централног нивоа власти износиле су 162,6 млрд динара. Унутрашњи јавни дуг централног нивоа власти је износио 1.371,9 млрд динара, а спољни јавни дуг 2.107,3 млрд динара. Према подацима од 30. септeмбра 2021. године, највећи део јавног дуга општег нивоа државе Републике Србије је и даље деноминован у еврима и износи 54,7%. Затим су највише заступљени динар са 29,2 % и амерички долар са 10,4%. Остатак дуга је деноминован у специјалним правима вучења 2,0% и осталим валутама 3,8%. На дан 30. септeмбра 2021. године највећи део јавног дуга општег нивоа државе Републике Србије је са фиксном каматном стопом 86,9%, док се на јавни дуг са варијабилном каматном стопом односи 13,1% укупног јавног дуга. Међу варијабилним каматним стопама највише су заст</w:t>
      </w:r>
      <w:r w:rsidR="000B5EDA">
        <w:rPr>
          <w:lang w:val="sr-Cyrl-RS" w:eastAsia="ja-JP"/>
        </w:rPr>
        <w:t xml:space="preserve">упљени Euribor и Libor на евро </w:t>
      </w:r>
      <w:r w:rsidRPr="000309BB">
        <w:rPr>
          <w:lang w:val="sr-Cyrl-RS" w:eastAsia="ja-JP"/>
        </w:rPr>
        <w:t>81,6%, затим каматна стопа за специјална права вучења 12,1%, Libor на долар 2,5%, Belibor 2,3%, док је учешће обавеза са осталим каматним стопама 1,5%.</w:t>
      </w:r>
    </w:p>
    <w:p w14:paraId="21BAF88E" w14:textId="77777777" w:rsidR="002122F3" w:rsidRPr="000309BB" w:rsidRDefault="002122F3" w:rsidP="00E02533">
      <w:pPr>
        <w:spacing w:after="60"/>
        <w:rPr>
          <w:lang w:val="sr-Cyrl-RS" w:eastAsia="ja-JP"/>
        </w:rPr>
      </w:pPr>
      <w:r w:rsidRPr="000309BB">
        <w:rPr>
          <w:lang w:val="sr-Cyrl-RS" w:eastAsia="ja-JP"/>
        </w:rPr>
        <w:t>Фискални оквир у периоду 2022</w:t>
      </w:r>
      <w:r w:rsidR="000309BB" w:rsidRPr="000309BB">
        <w:rPr>
          <w:lang w:val="sr-Cyrl-RS" w:eastAsia="ja-JP"/>
        </w:rPr>
        <w:t>–</w:t>
      </w:r>
      <w:r w:rsidRPr="000309BB">
        <w:rPr>
          <w:lang w:val="sr-Cyrl-RS" w:eastAsia="ja-JP"/>
        </w:rPr>
        <w:t>2024. године: Наставак борбе са пандемијом коронавируса и привредни опоравак обележили су 2021. годину. Нови пакет мера подршке са почетка године помогао је опоравак привреде што се рефлектовало кроз бољу наплату прихода и последично мањи ниво дефицита и јавног на крају године.</w:t>
      </w:r>
      <w:r w:rsidRPr="000309BB">
        <w:rPr>
          <w:rFonts w:ascii="Calibri" w:hAnsi="Calibri" w:cs="Calibri"/>
          <w:color w:val="44546A" w:themeColor="text2"/>
          <w:sz w:val="20"/>
          <w:szCs w:val="20"/>
          <w:lang w:val="sr-Cyrl-RS"/>
        </w:rPr>
        <w:t xml:space="preserve"> </w:t>
      </w:r>
      <w:r w:rsidRPr="000309BB">
        <w:rPr>
          <w:lang w:val="sr-Cyrl-RS" w:eastAsia="ja-JP"/>
        </w:rPr>
        <w:t xml:space="preserve">Глобална пандемија још није завршена. Планирање економске и, посебно, фискалне политике првенствено ће зависити од сузбијања пандемије и њеног окончања. Опште је </w:t>
      </w:r>
      <w:r w:rsidRPr="000309BB">
        <w:rPr>
          <w:lang w:val="sr-Cyrl-RS" w:eastAsia="ja-JP"/>
        </w:rPr>
        <w:lastRenderedPageBreak/>
        <w:t xml:space="preserve">опредељење да се у периоду након кризе изазване пандемијом омогући постепено уравнотежење и стабилизација јавних финансија, како би се смањило учешће јавног дуга у БДП и створиле основе за стабилан привредни раст. До тада, потребно је обезбедити простор за правовремену реакцију фискалне политике у случају продубљивања кризе. </w:t>
      </w:r>
      <w:r w:rsidRPr="000309BB">
        <w:rPr>
          <w:lang w:val="sr-Cyrl-RS"/>
        </w:rPr>
        <w:t>Циљеви фискалне политике свакако су усмерени са једне стране на одржање фискалне стабилности и смањење учешћа јавног дуга у БДП, а са друге стране на континуитет развојних и социјалних програма.</w:t>
      </w:r>
    </w:p>
    <w:p w14:paraId="1CDE25A5" w14:textId="77777777" w:rsidR="002122F3" w:rsidRPr="000309BB" w:rsidRDefault="002122F3" w:rsidP="00E02533">
      <w:pPr>
        <w:spacing w:after="60"/>
        <w:rPr>
          <w:lang w:val="sr-Cyrl-RS" w:eastAsia="ja-JP"/>
        </w:rPr>
      </w:pPr>
      <w:r w:rsidRPr="000309BB">
        <w:rPr>
          <w:lang w:val="sr-Cyrl-RS" w:eastAsia="ja-JP"/>
        </w:rPr>
        <w:t>Имајући у виду пројектовани резултат буџета Републике Србије за период 2022–2024.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стање дуга централног нивоа државе требало би да буде на нивоу од 52,7% БДП на крају 2024. године.</w:t>
      </w:r>
    </w:p>
    <w:p w14:paraId="1156FE6A" w14:textId="77777777" w:rsidR="000309BB" w:rsidRPr="000309BB" w:rsidRDefault="0075627A" w:rsidP="000309BB">
      <w:pPr>
        <w:rPr>
          <w:lang w:val="sr-Cyrl-RS"/>
        </w:rPr>
      </w:pPr>
      <w:r>
        <w:rPr>
          <w:lang w:val="sr-Cyrl-RS"/>
        </w:rPr>
        <w:t xml:space="preserve">Табела </w:t>
      </w:r>
      <w:r>
        <w:t>1</w:t>
      </w:r>
      <w:r w:rsidR="000309BB" w:rsidRPr="000309BB">
        <w:rPr>
          <w:lang w:val="sr-Cyrl-RS"/>
        </w:rPr>
        <w:t>2. Основна пројекција стања јавног дуга општег нивоа државе до 2024. године</w:t>
      </w:r>
    </w:p>
    <w:tbl>
      <w:tblPr>
        <w:tblStyle w:val="LightShading-Accent1222"/>
        <w:tblW w:w="5000" w:type="pct"/>
        <w:tblLook w:val="0420" w:firstRow="1" w:lastRow="0" w:firstColumn="0" w:lastColumn="0" w:noHBand="0" w:noVBand="1"/>
      </w:tblPr>
      <w:tblGrid>
        <w:gridCol w:w="5282"/>
        <w:gridCol w:w="816"/>
        <w:gridCol w:w="976"/>
        <w:gridCol w:w="977"/>
        <w:gridCol w:w="975"/>
      </w:tblGrid>
      <w:tr w:rsidR="000309BB" w:rsidRPr="000309BB" w14:paraId="0F3932A7" w14:textId="77777777" w:rsidTr="00F848A9">
        <w:trPr>
          <w:cnfStyle w:val="100000000000" w:firstRow="1" w:lastRow="0" w:firstColumn="0" w:lastColumn="0" w:oddVBand="0" w:evenVBand="0" w:oddHBand="0" w:evenHBand="0" w:firstRowFirstColumn="0" w:firstRowLastColumn="0" w:lastRowFirstColumn="0" w:lastRowLastColumn="0"/>
          <w:trHeight w:val="280"/>
        </w:trPr>
        <w:tc>
          <w:tcPr>
            <w:tcW w:w="2954" w:type="pct"/>
            <w:tcBorders>
              <w:top w:val="single" w:sz="4" w:space="0" w:color="002060"/>
              <w:bottom w:val="single" w:sz="8" w:space="0" w:color="FFFFFF" w:themeColor="background1"/>
            </w:tcBorders>
            <w:noWrap/>
            <w:hideMark/>
          </w:tcPr>
          <w:p w14:paraId="516AE952" w14:textId="77777777" w:rsidR="000309BB" w:rsidRPr="000309BB" w:rsidRDefault="000309BB" w:rsidP="00F848A9">
            <w:pPr>
              <w:spacing w:after="0" w:line="256" w:lineRule="auto"/>
              <w:jc w:val="left"/>
              <w:rPr>
                <w:color w:val="auto"/>
                <w:sz w:val="20"/>
                <w:lang w:val="sr-Cyrl-RS"/>
              </w:rPr>
            </w:pPr>
          </w:p>
        </w:tc>
        <w:tc>
          <w:tcPr>
            <w:tcW w:w="340" w:type="pct"/>
            <w:tcBorders>
              <w:top w:val="single" w:sz="4" w:space="0" w:color="002060"/>
              <w:bottom w:val="single" w:sz="4" w:space="0" w:color="002060"/>
            </w:tcBorders>
            <w:noWrap/>
            <w:hideMark/>
          </w:tcPr>
          <w:p w14:paraId="0D85CD34" w14:textId="77777777" w:rsidR="000309BB" w:rsidRPr="000309BB" w:rsidRDefault="000309BB" w:rsidP="00F848A9">
            <w:pPr>
              <w:spacing w:after="0"/>
              <w:jc w:val="right"/>
              <w:rPr>
                <w:color w:val="auto"/>
                <w:sz w:val="20"/>
                <w:lang w:val="sr-Cyrl-RS"/>
              </w:rPr>
            </w:pPr>
            <w:r w:rsidRPr="000309BB">
              <w:rPr>
                <w:color w:val="auto"/>
                <w:sz w:val="20"/>
                <w:lang w:val="sr-Cyrl-RS"/>
              </w:rPr>
              <w:t>2021 п</w:t>
            </w:r>
          </w:p>
        </w:tc>
        <w:tc>
          <w:tcPr>
            <w:tcW w:w="569" w:type="pct"/>
            <w:tcBorders>
              <w:top w:val="single" w:sz="4" w:space="0" w:color="002060"/>
              <w:bottom w:val="single" w:sz="4" w:space="0" w:color="002060"/>
            </w:tcBorders>
            <w:noWrap/>
            <w:hideMark/>
          </w:tcPr>
          <w:p w14:paraId="611DF245" w14:textId="77777777" w:rsidR="000309BB" w:rsidRPr="000309BB" w:rsidRDefault="000309BB" w:rsidP="00F848A9">
            <w:pPr>
              <w:spacing w:after="0"/>
              <w:jc w:val="right"/>
              <w:rPr>
                <w:color w:val="auto"/>
                <w:sz w:val="20"/>
                <w:lang w:val="sr-Cyrl-RS"/>
              </w:rPr>
            </w:pPr>
            <w:r w:rsidRPr="000309BB">
              <w:rPr>
                <w:color w:val="auto"/>
                <w:sz w:val="20"/>
                <w:lang w:val="sr-Cyrl-RS"/>
              </w:rPr>
              <w:t>2022 п</w:t>
            </w:r>
          </w:p>
        </w:tc>
        <w:tc>
          <w:tcPr>
            <w:tcW w:w="569" w:type="pct"/>
            <w:tcBorders>
              <w:top w:val="single" w:sz="4" w:space="0" w:color="002060"/>
              <w:bottom w:val="single" w:sz="4" w:space="0" w:color="002060"/>
            </w:tcBorders>
            <w:noWrap/>
            <w:hideMark/>
          </w:tcPr>
          <w:p w14:paraId="54E42B9D" w14:textId="77777777" w:rsidR="000309BB" w:rsidRPr="000309BB" w:rsidRDefault="000309BB" w:rsidP="00F848A9">
            <w:pPr>
              <w:spacing w:after="0"/>
              <w:jc w:val="right"/>
              <w:rPr>
                <w:color w:val="auto"/>
                <w:sz w:val="20"/>
                <w:lang w:val="sr-Cyrl-RS"/>
              </w:rPr>
            </w:pPr>
            <w:r w:rsidRPr="000309BB">
              <w:rPr>
                <w:color w:val="auto"/>
                <w:sz w:val="20"/>
                <w:lang w:val="sr-Cyrl-RS"/>
              </w:rPr>
              <w:t>2023 п</w:t>
            </w:r>
          </w:p>
        </w:tc>
        <w:tc>
          <w:tcPr>
            <w:tcW w:w="569" w:type="pct"/>
            <w:tcBorders>
              <w:top w:val="single" w:sz="4" w:space="0" w:color="002060"/>
              <w:bottom w:val="single" w:sz="4" w:space="0" w:color="002060"/>
            </w:tcBorders>
            <w:noWrap/>
            <w:hideMark/>
          </w:tcPr>
          <w:p w14:paraId="506A0B1D" w14:textId="77777777" w:rsidR="000309BB" w:rsidRPr="000309BB" w:rsidRDefault="000309BB" w:rsidP="00F848A9">
            <w:pPr>
              <w:spacing w:after="0"/>
              <w:jc w:val="right"/>
              <w:rPr>
                <w:color w:val="auto"/>
                <w:sz w:val="20"/>
                <w:lang w:val="sr-Cyrl-RS"/>
              </w:rPr>
            </w:pPr>
            <w:r w:rsidRPr="000309BB">
              <w:rPr>
                <w:color w:val="auto"/>
                <w:sz w:val="20"/>
                <w:lang w:val="sr-Cyrl-RS"/>
              </w:rPr>
              <w:t>2024 п</w:t>
            </w:r>
          </w:p>
        </w:tc>
      </w:tr>
      <w:tr w:rsidR="000309BB" w:rsidRPr="000309BB" w14:paraId="73C79D3E" w14:textId="77777777" w:rsidTr="00F848A9">
        <w:trPr>
          <w:cnfStyle w:val="000000100000" w:firstRow="0" w:lastRow="0" w:firstColumn="0" w:lastColumn="0" w:oddVBand="0" w:evenVBand="0" w:oddHBand="1" w:evenHBand="0" w:firstRowFirstColumn="0" w:firstRowLastColumn="0" w:lastRowFirstColumn="0" w:lastRowLastColumn="0"/>
          <w:trHeight w:val="20"/>
        </w:trPr>
        <w:tc>
          <w:tcPr>
            <w:tcW w:w="2954" w:type="pct"/>
            <w:tcBorders>
              <w:top w:val="nil"/>
              <w:bottom w:val="nil"/>
            </w:tcBorders>
            <w:shd w:val="clear" w:color="auto" w:fill="E7E6E6" w:themeFill="background2"/>
            <w:noWrap/>
            <w:hideMark/>
          </w:tcPr>
          <w:p w14:paraId="2058DF5A" w14:textId="77777777" w:rsidR="000309BB" w:rsidRPr="000309BB" w:rsidRDefault="000309BB" w:rsidP="00F848A9">
            <w:pPr>
              <w:spacing w:after="0"/>
              <w:jc w:val="left"/>
              <w:rPr>
                <w:bCs/>
                <w:color w:val="auto"/>
                <w:sz w:val="20"/>
                <w:lang w:val="sr-Cyrl-RS"/>
              </w:rPr>
            </w:pPr>
            <w:r w:rsidRPr="000309BB">
              <w:rPr>
                <w:bCs/>
                <w:color w:val="auto"/>
                <w:sz w:val="20"/>
                <w:lang w:val="sr-Cyrl-RS"/>
              </w:rPr>
              <w:t>Јавни дуг (централни ниво власти), млрд РСД</w:t>
            </w:r>
          </w:p>
        </w:tc>
        <w:tc>
          <w:tcPr>
            <w:tcW w:w="340" w:type="pct"/>
            <w:tcBorders>
              <w:top w:val="single" w:sz="4" w:space="0" w:color="002060"/>
              <w:bottom w:val="nil"/>
            </w:tcBorders>
            <w:shd w:val="clear" w:color="auto" w:fill="E7E6E6" w:themeFill="background2"/>
            <w:noWrap/>
            <w:hideMark/>
          </w:tcPr>
          <w:p w14:paraId="0C7D3965" w14:textId="77777777" w:rsidR="000309BB" w:rsidRPr="000309BB" w:rsidRDefault="000309BB" w:rsidP="00F848A9">
            <w:pPr>
              <w:spacing w:after="0"/>
              <w:jc w:val="right"/>
              <w:rPr>
                <w:bCs/>
                <w:color w:val="auto"/>
                <w:sz w:val="20"/>
                <w:lang w:val="sr-Cyrl-RS"/>
              </w:rPr>
            </w:pPr>
            <w:r w:rsidRPr="000309BB">
              <w:rPr>
                <w:bCs/>
                <w:color w:val="auto"/>
                <w:sz w:val="20"/>
                <w:lang w:val="sr-Cyrl-RS"/>
              </w:rPr>
              <w:t>3.529,8</w:t>
            </w:r>
          </w:p>
        </w:tc>
        <w:tc>
          <w:tcPr>
            <w:tcW w:w="569" w:type="pct"/>
            <w:tcBorders>
              <w:top w:val="single" w:sz="4" w:space="0" w:color="002060"/>
              <w:bottom w:val="nil"/>
            </w:tcBorders>
            <w:shd w:val="clear" w:color="auto" w:fill="E7E6E6" w:themeFill="background2"/>
            <w:noWrap/>
            <w:hideMark/>
          </w:tcPr>
          <w:p w14:paraId="3B0F85EC" w14:textId="77777777" w:rsidR="000309BB" w:rsidRPr="000309BB" w:rsidRDefault="000309BB" w:rsidP="00F848A9">
            <w:pPr>
              <w:spacing w:after="0"/>
              <w:jc w:val="right"/>
              <w:rPr>
                <w:bCs/>
                <w:color w:val="auto"/>
                <w:sz w:val="20"/>
                <w:lang w:val="sr-Cyrl-RS"/>
              </w:rPr>
            </w:pPr>
            <w:r w:rsidRPr="000309BB">
              <w:rPr>
                <w:bCs/>
                <w:color w:val="auto"/>
                <w:sz w:val="20"/>
                <w:lang w:val="sr-Cyrl-RS"/>
              </w:rPr>
              <w:t>3.682,3</w:t>
            </w:r>
          </w:p>
        </w:tc>
        <w:tc>
          <w:tcPr>
            <w:tcW w:w="569" w:type="pct"/>
            <w:tcBorders>
              <w:top w:val="single" w:sz="4" w:space="0" w:color="002060"/>
              <w:bottom w:val="nil"/>
            </w:tcBorders>
            <w:shd w:val="clear" w:color="auto" w:fill="E7E6E6" w:themeFill="background2"/>
            <w:noWrap/>
            <w:hideMark/>
          </w:tcPr>
          <w:p w14:paraId="5D918B58" w14:textId="77777777" w:rsidR="000309BB" w:rsidRPr="000309BB" w:rsidRDefault="000309BB" w:rsidP="00F848A9">
            <w:pPr>
              <w:spacing w:after="0"/>
              <w:jc w:val="right"/>
              <w:rPr>
                <w:bCs/>
                <w:color w:val="auto"/>
                <w:sz w:val="20"/>
                <w:lang w:val="sr-Cyrl-RS"/>
              </w:rPr>
            </w:pPr>
            <w:r w:rsidRPr="000309BB">
              <w:rPr>
                <w:bCs/>
                <w:color w:val="auto"/>
                <w:sz w:val="20"/>
                <w:lang w:val="sr-Cyrl-RS"/>
              </w:rPr>
              <w:t>3.893,8</w:t>
            </w:r>
          </w:p>
        </w:tc>
        <w:tc>
          <w:tcPr>
            <w:tcW w:w="569" w:type="pct"/>
            <w:tcBorders>
              <w:top w:val="single" w:sz="4" w:space="0" w:color="002060"/>
              <w:bottom w:val="nil"/>
            </w:tcBorders>
            <w:shd w:val="clear" w:color="auto" w:fill="E7E6E6" w:themeFill="background2"/>
            <w:noWrap/>
            <w:hideMark/>
          </w:tcPr>
          <w:p w14:paraId="339B9C4A" w14:textId="77777777" w:rsidR="000309BB" w:rsidRPr="000309BB" w:rsidRDefault="000309BB" w:rsidP="00F848A9">
            <w:pPr>
              <w:spacing w:after="0"/>
              <w:jc w:val="right"/>
              <w:rPr>
                <w:bCs/>
                <w:color w:val="auto"/>
                <w:sz w:val="20"/>
                <w:lang w:val="sr-Cyrl-RS"/>
              </w:rPr>
            </w:pPr>
            <w:r w:rsidRPr="000309BB">
              <w:rPr>
                <w:bCs/>
                <w:color w:val="auto"/>
                <w:sz w:val="20"/>
                <w:lang w:val="sr-Cyrl-RS"/>
              </w:rPr>
              <w:t>4.085,8</w:t>
            </w:r>
          </w:p>
        </w:tc>
      </w:tr>
      <w:tr w:rsidR="000309BB" w:rsidRPr="000309BB" w14:paraId="65F99EA1" w14:textId="77777777" w:rsidTr="00F848A9">
        <w:trPr>
          <w:trHeight w:val="20"/>
        </w:trPr>
        <w:tc>
          <w:tcPr>
            <w:tcW w:w="2954" w:type="pct"/>
            <w:tcBorders>
              <w:top w:val="nil"/>
              <w:left w:val="nil"/>
              <w:bottom w:val="nil"/>
              <w:right w:val="nil"/>
            </w:tcBorders>
            <w:hideMark/>
          </w:tcPr>
          <w:p w14:paraId="4BE855F9" w14:textId="77777777" w:rsidR="000309BB" w:rsidRPr="000309BB" w:rsidRDefault="000309BB" w:rsidP="00F848A9">
            <w:pPr>
              <w:spacing w:after="0"/>
              <w:jc w:val="left"/>
              <w:rPr>
                <w:bCs/>
                <w:color w:val="auto"/>
                <w:sz w:val="20"/>
                <w:lang w:val="sr-Cyrl-RS"/>
              </w:rPr>
            </w:pPr>
            <w:r w:rsidRPr="000309BB">
              <w:rPr>
                <w:bCs/>
                <w:color w:val="auto"/>
                <w:sz w:val="20"/>
                <w:lang w:val="sr-Cyrl-RS"/>
              </w:rPr>
              <w:t>Дуг централне државе, у % БДП</w:t>
            </w:r>
          </w:p>
        </w:tc>
        <w:tc>
          <w:tcPr>
            <w:tcW w:w="340" w:type="pct"/>
            <w:tcBorders>
              <w:top w:val="nil"/>
              <w:left w:val="nil"/>
              <w:bottom w:val="nil"/>
              <w:right w:val="nil"/>
            </w:tcBorders>
            <w:noWrap/>
            <w:hideMark/>
          </w:tcPr>
          <w:p w14:paraId="2B371470" w14:textId="77777777" w:rsidR="000309BB" w:rsidRPr="000309BB" w:rsidRDefault="000309BB" w:rsidP="00F848A9">
            <w:pPr>
              <w:spacing w:after="0"/>
              <w:jc w:val="right"/>
              <w:rPr>
                <w:bCs/>
                <w:color w:val="auto"/>
                <w:sz w:val="20"/>
                <w:lang w:val="sr-Cyrl-RS"/>
              </w:rPr>
            </w:pPr>
            <w:r w:rsidRPr="000309BB">
              <w:rPr>
                <w:bCs/>
                <w:color w:val="auto"/>
                <w:sz w:val="20"/>
                <w:lang w:val="sr-Cyrl-RS"/>
              </w:rPr>
              <w:t>57,3%</w:t>
            </w:r>
          </w:p>
        </w:tc>
        <w:tc>
          <w:tcPr>
            <w:tcW w:w="569" w:type="pct"/>
            <w:tcBorders>
              <w:top w:val="nil"/>
              <w:left w:val="nil"/>
              <w:bottom w:val="nil"/>
              <w:right w:val="nil"/>
            </w:tcBorders>
            <w:noWrap/>
            <w:hideMark/>
          </w:tcPr>
          <w:p w14:paraId="7B17E480" w14:textId="77777777" w:rsidR="000309BB" w:rsidRPr="000309BB" w:rsidRDefault="000309BB" w:rsidP="00F848A9">
            <w:pPr>
              <w:spacing w:after="0"/>
              <w:jc w:val="right"/>
              <w:rPr>
                <w:bCs/>
                <w:color w:val="auto"/>
                <w:sz w:val="20"/>
                <w:lang w:val="sr-Cyrl-RS"/>
              </w:rPr>
            </w:pPr>
            <w:r w:rsidRPr="000309BB">
              <w:rPr>
                <w:bCs/>
                <w:color w:val="auto"/>
                <w:sz w:val="20"/>
                <w:lang w:val="sr-Cyrl-RS"/>
              </w:rPr>
              <w:t>55,5%</w:t>
            </w:r>
          </w:p>
        </w:tc>
        <w:tc>
          <w:tcPr>
            <w:tcW w:w="569" w:type="pct"/>
            <w:tcBorders>
              <w:top w:val="nil"/>
              <w:left w:val="nil"/>
              <w:bottom w:val="nil"/>
              <w:right w:val="nil"/>
            </w:tcBorders>
            <w:noWrap/>
            <w:hideMark/>
          </w:tcPr>
          <w:p w14:paraId="5EA5FE34" w14:textId="77777777" w:rsidR="000309BB" w:rsidRPr="000309BB" w:rsidRDefault="000309BB" w:rsidP="00F848A9">
            <w:pPr>
              <w:spacing w:after="0"/>
              <w:jc w:val="right"/>
              <w:rPr>
                <w:bCs/>
                <w:color w:val="auto"/>
                <w:sz w:val="20"/>
                <w:lang w:val="sr-Cyrl-RS"/>
              </w:rPr>
            </w:pPr>
            <w:r w:rsidRPr="000309BB">
              <w:rPr>
                <w:bCs/>
                <w:color w:val="auto"/>
                <w:sz w:val="20"/>
                <w:lang w:val="sr-Cyrl-RS"/>
              </w:rPr>
              <w:t>54,3%</w:t>
            </w:r>
          </w:p>
        </w:tc>
        <w:tc>
          <w:tcPr>
            <w:tcW w:w="569" w:type="pct"/>
            <w:tcBorders>
              <w:top w:val="nil"/>
              <w:left w:val="nil"/>
              <w:bottom w:val="nil"/>
              <w:right w:val="nil"/>
            </w:tcBorders>
            <w:noWrap/>
            <w:hideMark/>
          </w:tcPr>
          <w:p w14:paraId="21160CE6" w14:textId="77777777" w:rsidR="000309BB" w:rsidRPr="000309BB" w:rsidRDefault="000309BB" w:rsidP="00F848A9">
            <w:pPr>
              <w:spacing w:after="0"/>
              <w:jc w:val="right"/>
              <w:rPr>
                <w:bCs/>
                <w:color w:val="auto"/>
                <w:sz w:val="20"/>
                <w:lang w:val="sr-Cyrl-RS"/>
              </w:rPr>
            </w:pPr>
            <w:r w:rsidRPr="000309BB">
              <w:rPr>
                <w:bCs/>
                <w:color w:val="auto"/>
                <w:sz w:val="20"/>
                <w:lang w:val="sr-Cyrl-RS"/>
              </w:rPr>
              <w:t>52,7%</w:t>
            </w:r>
          </w:p>
        </w:tc>
      </w:tr>
      <w:tr w:rsidR="000309BB" w:rsidRPr="000309BB" w14:paraId="58983656" w14:textId="77777777" w:rsidTr="00F848A9">
        <w:trPr>
          <w:cnfStyle w:val="000000100000" w:firstRow="0" w:lastRow="0" w:firstColumn="0" w:lastColumn="0" w:oddVBand="0" w:evenVBand="0" w:oddHBand="1" w:evenHBand="0" w:firstRowFirstColumn="0" w:firstRowLastColumn="0" w:lastRowFirstColumn="0" w:lastRowLastColumn="0"/>
          <w:trHeight w:val="20"/>
        </w:trPr>
        <w:tc>
          <w:tcPr>
            <w:tcW w:w="2954" w:type="pct"/>
            <w:tcBorders>
              <w:top w:val="nil"/>
              <w:bottom w:val="nil"/>
            </w:tcBorders>
            <w:shd w:val="clear" w:color="auto" w:fill="E7E6E6" w:themeFill="background2"/>
            <w:hideMark/>
          </w:tcPr>
          <w:p w14:paraId="344786D7" w14:textId="77777777" w:rsidR="000309BB" w:rsidRPr="000309BB" w:rsidRDefault="000309BB" w:rsidP="00F848A9">
            <w:pPr>
              <w:spacing w:after="0"/>
              <w:jc w:val="left"/>
              <w:rPr>
                <w:bCs/>
                <w:color w:val="auto"/>
                <w:sz w:val="20"/>
                <w:lang w:val="sr-Cyrl-RS"/>
              </w:rPr>
            </w:pPr>
            <w:r w:rsidRPr="000309BB">
              <w:rPr>
                <w:bCs/>
                <w:color w:val="auto"/>
                <w:sz w:val="20"/>
                <w:lang w:val="sr-Cyrl-RS"/>
              </w:rPr>
              <w:t>Негарантовани дуг јединица локалне самоуправе, у % БДП</w:t>
            </w:r>
          </w:p>
        </w:tc>
        <w:tc>
          <w:tcPr>
            <w:tcW w:w="340" w:type="pct"/>
            <w:tcBorders>
              <w:top w:val="nil"/>
              <w:bottom w:val="nil"/>
            </w:tcBorders>
            <w:shd w:val="clear" w:color="auto" w:fill="E7E6E6" w:themeFill="background2"/>
            <w:noWrap/>
            <w:hideMark/>
          </w:tcPr>
          <w:p w14:paraId="370CC5B7" w14:textId="77777777" w:rsidR="000309BB" w:rsidRPr="000309BB" w:rsidRDefault="000309BB" w:rsidP="00F848A9">
            <w:pPr>
              <w:spacing w:after="0"/>
              <w:jc w:val="right"/>
              <w:rPr>
                <w:bCs/>
                <w:color w:val="auto"/>
                <w:sz w:val="20"/>
                <w:lang w:val="sr-Cyrl-RS"/>
              </w:rPr>
            </w:pPr>
            <w:r w:rsidRPr="000309BB">
              <w:rPr>
                <w:bCs/>
                <w:color w:val="auto"/>
                <w:sz w:val="20"/>
                <w:lang w:val="sr-Cyrl-RS"/>
              </w:rPr>
              <w:t>0,9%</w:t>
            </w:r>
          </w:p>
        </w:tc>
        <w:tc>
          <w:tcPr>
            <w:tcW w:w="569" w:type="pct"/>
            <w:tcBorders>
              <w:top w:val="nil"/>
              <w:bottom w:val="nil"/>
            </w:tcBorders>
            <w:shd w:val="clear" w:color="auto" w:fill="E7E6E6" w:themeFill="background2"/>
            <w:noWrap/>
            <w:hideMark/>
          </w:tcPr>
          <w:p w14:paraId="0009CEA2" w14:textId="77777777" w:rsidR="000309BB" w:rsidRPr="000309BB" w:rsidRDefault="000309BB" w:rsidP="00F848A9">
            <w:pPr>
              <w:spacing w:after="0"/>
              <w:jc w:val="right"/>
              <w:rPr>
                <w:bCs/>
                <w:color w:val="auto"/>
                <w:sz w:val="20"/>
                <w:lang w:val="sr-Cyrl-RS"/>
              </w:rPr>
            </w:pPr>
            <w:r w:rsidRPr="000309BB">
              <w:rPr>
                <w:bCs/>
                <w:color w:val="auto"/>
                <w:sz w:val="20"/>
                <w:lang w:val="sr-Cyrl-RS"/>
              </w:rPr>
              <w:t>1,0%</w:t>
            </w:r>
          </w:p>
        </w:tc>
        <w:tc>
          <w:tcPr>
            <w:tcW w:w="569" w:type="pct"/>
            <w:tcBorders>
              <w:top w:val="nil"/>
              <w:bottom w:val="nil"/>
            </w:tcBorders>
            <w:shd w:val="clear" w:color="auto" w:fill="E7E6E6" w:themeFill="background2"/>
            <w:noWrap/>
            <w:hideMark/>
          </w:tcPr>
          <w:p w14:paraId="1348C577" w14:textId="77777777" w:rsidR="000309BB" w:rsidRPr="000309BB" w:rsidRDefault="000309BB" w:rsidP="00F848A9">
            <w:pPr>
              <w:spacing w:after="0"/>
              <w:jc w:val="right"/>
              <w:rPr>
                <w:bCs/>
                <w:color w:val="auto"/>
                <w:sz w:val="20"/>
                <w:lang w:val="sr-Cyrl-RS"/>
              </w:rPr>
            </w:pPr>
            <w:r w:rsidRPr="000309BB">
              <w:rPr>
                <w:bCs/>
                <w:color w:val="auto"/>
                <w:sz w:val="20"/>
                <w:lang w:val="sr-Cyrl-RS"/>
              </w:rPr>
              <w:t>1,0%</w:t>
            </w:r>
          </w:p>
        </w:tc>
        <w:tc>
          <w:tcPr>
            <w:tcW w:w="569" w:type="pct"/>
            <w:tcBorders>
              <w:top w:val="nil"/>
              <w:bottom w:val="nil"/>
            </w:tcBorders>
            <w:shd w:val="clear" w:color="auto" w:fill="E7E6E6" w:themeFill="background2"/>
            <w:noWrap/>
            <w:hideMark/>
          </w:tcPr>
          <w:p w14:paraId="69CC2AF0" w14:textId="77777777" w:rsidR="000309BB" w:rsidRPr="000309BB" w:rsidRDefault="000309BB" w:rsidP="00F848A9">
            <w:pPr>
              <w:spacing w:after="0"/>
              <w:jc w:val="right"/>
              <w:rPr>
                <w:bCs/>
                <w:color w:val="auto"/>
                <w:sz w:val="20"/>
                <w:lang w:val="sr-Cyrl-RS"/>
              </w:rPr>
            </w:pPr>
            <w:r w:rsidRPr="000309BB">
              <w:rPr>
                <w:bCs/>
                <w:color w:val="auto"/>
                <w:sz w:val="20"/>
                <w:lang w:val="sr-Cyrl-RS"/>
              </w:rPr>
              <w:t>1,1%</w:t>
            </w:r>
          </w:p>
        </w:tc>
      </w:tr>
      <w:tr w:rsidR="000309BB" w:rsidRPr="000309BB" w14:paraId="752E6FA4" w14:textId="77777777" w:rsidTr="00F848A9">
        <w:trPr>
          <w:trHeight w:val="20"/>
        </w:trPr>
        <w:tc>
          <w:tcPr>
            <w:tcW w:w="2954" w:type="pct"/>
            <w:tcBorders>
              <w:top w:val="nil"/>
              <w:left w:val="nil"/>
              <w:bottom w:val="single" w:sz="4" w:space="0" w:color="002060"/>
              <w:right w:val="nil"/>
            </w:tcBorders>
            <w:hideMark/>
          </w:tcPr>
          <w:p w14:paraId="62696040" w14:textId="77777777" w:rsidR="000309BB" w:rsidRPr="000309BB" w:rsidRDefault="000309BB" w:rsidP="00F848A9">
            <w:pPr>
              <w:spacing w:after="0"/>
              <w:jc w:val="left"/>
              <w:rPr>
                <w:bCs/>
                <w:color w:val="auto"/>
                <w:sz w:val="20"/>
                <w:lang w:val="sr-Cyrl-RS"/>
              </w:rPr>
            </w:pPr>
            <w:r w:rsidRPr="000309BB">
              <w:rPr>
                <w:bCs/>
                <w:color w:val="auto"/>
                <w:sz w:val="20"/>
                <w:lang w:val="sr-Cyrl-RS"/>
              </w:rPr>
              <w:t>Дуг опште државе, у % БДП</w:t>
            </w:r>
          </w:p>
        </w:tc>
        <w:tc>
          <w:tcPr>
            <w:tcW w:w="340" w:type="pct"/>
            <w:tcBorders>
              <w:top w:val="nil"/>
              <w:left w:val="nil"/>
              <w:bottom w:val="single" w:sz="4" w:space="0" w:color="002060"/>
              <w:right w:val="nil"/>
            </w:tcBorders>
            <w:noWrap/>
            <w:hideMark/>
          </w:tcPr>
          <w:p w14:paraId="7F9E5D60" w14:textId="77777777" w:rsidR="000309BB" w:rsidRPr="000309BB" w:rsidRDefault="000309BB" w:rsidP="00F848A9">
            <w:pPr>
              <w:spacing w:after="0"/>
              <w:jc w:val="right"/>
              <w:rPr>
                <w:bCs/>
                <w:color w:val="auto"/>
                <w:sz w:val="20"/>
                <w:lang w:val="sr-Cyrl-RS"/>
              </w:rPr>
            </w:pPr>
            <w:r w:rsidRPr="000309BB">
              <w:rPr>
                <w:bCs/>
                <w:color w:val="auto"/>
                <w:sz w:val="20"/>
                <w:lang w:val="sr-Cyrl-RS"/>
              </w:rPr>
              <w:t>58,2%</w:t>
            </w:r>
          </w:p>
        </w:tc>
        <w:tc>
          <w:tcPr>
            <w:tcW w:w="569" w:type="pct"/>
            <w:tcBorders>
              <w:top w:val="nil"/>
              <w:left w:val="nil"/>
              <w:bottom w:val="single" w:sz="4" w:space="0" w:color="002060"/>
              <w:right w:val="nil"/>
            </w:tcBorders>
            <w:noWrap/>
            <w:hideMark/>
          </w:tcPr>
          <w:p w14:paraId="79711BD1" w14:textId="77777777" w:rsidR="000309BB" w:rsidRPr="000309BB" w:rsidRDefault="000309BB" w:rsidP="00F848A9">
            <w:pPr>
              <w:spacing w:after="0"/>
              <w:jc w:val="right"/>
              <w:rPr>
                <w:bCs/>
                <w:color w:val="auto"/>
                <w:sz w:val="20"/>
                <w:lang w:val="sr-Cyrl-RS"/>
              </w:rPr>
            </w:pPr>
            <w:r w:rsidRPr="000309BB">
              <w:rPr>
                <w:bCs/>
                <w:color w:val="auto"/>
                <w:sz w:val="20"/>
                <w:lang w:val="sr-Cyrl-RS"/>
              </w:rPr>
              <w:t>56,5%</w:t>
            </w:r>
          </w:p>
        </w:tc>
        <w:tc>
          <w:tcPr>
            <w:tcW w:w="569" w:type="pct"/>
            <w:tcBorders>
              <w:top w:val="nil"/>
              <w:left w:val="nil"/>
              <w:bottom w:val="single" w:sz="4" w:space="0" w:color="002060"/>
              <w:right w:val="nil"/>
            </w:tcBorders>
            <w:noWrap/>
            <w:hideMark/>
          </w:tcPr>
          <w:p w14:paraId="03450928" w14:textId="77777777" w:rsidR="000309BB" w:rsidRPr="000309BB" w:rsidRDefault="000309BB" w:rsidP="00F848A9">
            <w:pPr>
              <w:spacing w:after="0"/>
              <w:jc w:val="right"/>
              <w:rPr>
                <w:bCs/>
                <w:color w:val="auto"/>
                <w:sz w:val="20"/>
                <w:lang w:val="sr-Cyrl-RS"/>
              </w:rPr>
            </w:pPr>
            <w:r w:rsidRPr="000309BB">
              <w:rPr>
                <w:bCs/>
                <w:color w:val="auto"/>
                <w:sz w:val="20"/>
                <w:lang w:val="sr-Cyrl-RS"/>
              </w:rPr>
              <w:t>55,3%</w:t>
            </w:r>
          </w:p>
        </w:tc>
        <w:tc>
          <w:tcPr>
            <w:tcW w:w="569" w:type="pct"/>
            <w:tcBorders>
              <w:top w:val="nil"/>
              <w:left w:val="nil"/>
              <w:bottom w:val="single" w:sz="4" w:space="0" w:color="002060"/>
              <w:right w:val="nil"/>
            </w:tcBorders>
            <w:noWrap/>
            <w:hideMark/>
          </w:tcPr>
          <w:p w14:paraId="0A7CEA1F" w14:textId="77777777" w:rsidR="000309BB" w:rsidRPr="000309BB" w:rsidRDefault="000309BB" w:rsidP="00F848A9">
            <w:pPr>
              <w:spacing w:after="0"/>
              <w:jc w:val="right"/>
              <w:rPr>
                <w:bCs/>
                <w:color w:val="auto"/>
                <w:sz w:val="20"/>
                <w:lang w:val="sr-Cyrl-RS"/>
              </w:rPr>
            </w:pPr>
            <w:r w:rsidRPr="000309BB">
              <w:rPr>
                <w:bCs/>
                <w:color w:val="auto"/>
                <w:sz w:val="20"/>
                <w:lang w:val="sr-Cyrl-RS"/>
              </w:rPr>
              <w:t>53,8%</w:t>
            </w:r>
          </w:p>
        </w:tc>
      </w:tr>
    </w:tbl>
    <w:p w14:paraId="117DE93F" w14:textId="77777777" w:rsidR="002122F3" w:rsidRPr="000309BB" w:rsidRDefault="002122F3" w:rsidP="00063909">
      <w:pPr>
        <w:spacing w:after="60"/>
        <w:rPr>
          <w:lang w:val="sr-Cyrl-RS"/>
        </w:rPr>
      </w:pPr>
    </w:p>
    <w:p w14:paraId="2669D833" w14:textId="77777777" w:rsidR="002122F3" w:rsidRPr="000309BB" w:rsidRDefault="002122F3" w:rsidP="00063909">
      <w:pPr>
        <w:spacing w:after="60"/>
        <w:rPr>
          <w:rFonts w:eastAsia="MS PGothic"/>
          <w:strike/>
          <w:lang w:val="sr-Cyrl-RS" w:eastAsia="ja-JP"/>
        </w:rPr>
      </w:pPr>
      <w:r w:rsidRPr="000309BB">
        <w:rPr>
          <w:rFonts w:eastAsia="MS PGothic"/>
          <w:lang w:val="sr-Cyrl-RS" w:eastAsia="ja-JP"/>
        </w:rPr>
        <w:t xml:space="preserve">Предвиђа се да ће негарантовани дуг локалног нивоа власти бити на нивоу од око 1,1% БДП до краја 2024. На крају 2024. године стање јавног дуга општег нивоа државе </w:t>
      </w:r>
      <w:r w:rsidR="000B5EDA">
        <w:rPr>
          <w:rFonts w:eastAsia="MS PGothic"/>
          <w:lang w:val="sr-Cyrl-RS" w:eastAsia="ja-JP"/>
        </w:rPr>
        <w:t xml:space="preserve">требало би да буде на нивоу </w:t>
      </w:r>
      <w:r w:rsidRPr="000309BB">
        <w:rPr>
          <w:rFonts w:eastAsia="MS PGothic"/>
          <w:lang w:val="sr-Cyrl-RS" w:eastAsia="ja-JP"/>
        </w:rPr>
        <w:t>од 53,8% БДП.</w:t>
      </w:r>
    </w:p>
    <w:p w14:paraId="4597ECDA" w14:textId="77777777" w:rsidR="002122F3" w:rsidRPr="000309BB" w:rsidRDefault="002122F3" w:rsidP="00063909">
      <w:pPr>
        <w:spacing w:after="60"/>
        <w:rPr>
          <w:rFonts w:eastAsia="MS PGothic"/>
          <w:lang w:val="sr-Cyrl-RS" w:eastAsia="ja-JP"/>
        </w:rPr>
      </w:pPr>
      <w:r w:rsidRPr="000309BB">
        <w:rPr>
          <w:rFonts w:eastAsia="MS PGothic"/>
          <w:lang w:val="sr-Cyrl-RS" w:eastAsia="ja-JP"/>
        </w:rPr>
        <w:t>Финансијски и фискални ризици могу довести до раста јавног дуга већег него што га предвиђа основни сценарио. Ризици који су присутни и који могу да доведу до раста задужености и трошкова сервисирања јавног дуга су: ризик рефинансирања, девизни ризик, тржишни ризик (ризик каматних стопа, ризик инфлације), ризик ликвидности, кредитни и оперативни ризици и ризици везани за дистрибуцију трошкова сервисирања (структура дуга, концентрација обавеза).</w:t>
      </w:r>
    </w:p>
    <w:p w14:paraId="7066363E" w14:textId="77777777" w:rsidR="002122F3" w:rsidRPr="000309BB" w:rsidRDefault="002122F3" w:rsidP="00063909">
      <w:pPr>
        <w:spacing w:after="60"/>
        <w:rPr>
          <w:rFonts w:eastAsia="MS PGothic"/>
          <w:lang w:val="sr-Cyrl-RS" w:eastAsia="ja-JP"/>
        </w:rPr>
      </w:pPr>
      <w:r w:rsidRPr="000309BB">
        <w:rPr>
          <w:rFonts w:eastAsia="MS PGothic"/>
          <w:lang w:val="sr-Cyrl-RS" w:eastAsia="ja-JP"/>
        </w:rPr>
        <w:t>Због високог учешћа дуга деноминованог у страној валути (70,8%),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БДП-у.</w:t>
      </w:r>
    </w:p>
    <w:p w14:paraId="1C3BDA91" w14:textId="77777777" w:rsidR="002122F3" w:rsidRPr="000309BB" w:rsidRDefault="002122F3" w:rsidP="000309BB">
      <w:pPr>
        <w:rPr>
          <w:rFonts w:eastAsia="MS PGothic"/>
          <w:bCs/>
          <w:lang w:val="sr-Cyrl-RS" w:eastAsia="ja-JP"/>
        </w:rPr>
      </w:pPr>
      <w:r w:rsidRPr="000309BB">
        <w:rPr>
          <w:rFonts w:eastAsia="MS PGothic"/>
          <w:bCs/>
          <w:szCs w:val="24"/>
          <w:lang w:val="sr-Cyrl-RS" w:eastAsia="ja-JP"/>
        </w:rPr>
        <w:t>Графикон 13. Утицај промена курса динара према корпи валута из портфолија јавног дуга на промену рацио јавног дуга и БДП – Централни ниво власти</w:t>
      </w:r>
      <w:r w:rsidRPr="000309BB">
        <w:rPr>
          <w:rFonts w:asciiTheme="minorHAnsi" w:hAnsiTheme="minorHAnsi"/>
          <w:noProof/>
          <w:sz w:val="22"/>
        </w:rPr>
        <w:drawing>
          <wp:inline distT="0" distB="0" distL="0" distR="0" wp14:anchorId="0DFC8374" wp14:editId="2B4BB157">
            <wp:extent cx="5943600" cy="2201333"/>
            <wp:effectExtent l="0" t="0" r="0" b="889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3CB1D6" w14:textId="77777777" w:rsidR="002122F3" w:rsidRPr="000309BB" w:rsidRDefault="002122F3" w:rsidP="00063909">
      <w:pPr>
        <w:spacing w:after="60"/>
        <w:rPr>
          <w:lang w:val="sr-Cyrl-RS"/>
        </w:rPr>
      </w:pPr>
      <w:r w:rsidRPr="000309BB">
        <w:rPr>
          <w:lang w:val="sr-Cyrl-RS"/>
        </w:rPr>
        <w:t xml:space="preserve">На графикону је представљено кретање рација јавног дуга централног нивоа државе и БДП-а у зависности од промене курса динара према одређеној корпи валута. Приказана </w:t>
      </w:r>
      <w:r w:rsidRPr="000309BB">
        <w:rPr>
          <w:lang w:val="sr-Cyrl-RS"/>
        </w:rPr>
        <w:lastRenderedPageBreak/>
        <w:t>је основна пројекција са алтернативним сценаријима у зависности од апрецијације, односно депрецијације курса динара у распону од 10% апрецијације до 10% депрецијације динара у односу на корпу валута. Применом наведених сценарија може се видети да би се рацио за 2024. годину кретао у распону од 49,1% до 56,3%, док би за основни сценарио био на нивоу од 52,7%.</w:t>
      </w:r>
    </w:p>
    <w:p w14:paraId="167F2B52" w14:textId="77777777" w:rsidR="002122F3" w:rsidRPr="000309BB" w:rsidRDefault="002122F3" w:rsidP="00063909">
      <w:pPr>
        <w:spacing w:after="60"/>
        <w:rPr>
          <w:lang w:val="sr-Cyrl-RS"/>
        </w:rPr>
      </w:pPr>
      <w:r w:rsidRPr="000309BB">
        <w:rPr>
          <w:lang w:val="sr-Cyrl-RS"/>
        </w:rPr>
        <w:t>У циљу смањивања изложености варијабилним каматним стопама, уговарање нових обавеза се врши по фиксним каматним стопама, тамо где је то могуће, а поготову у домену зајмова намењених за финансирање инвестиционих пројеката.</w:t>
      </w:r>
    </w:p>
    <w:p w14:paraId="27ADB4B1" w14:textId="77777777" w:rsidR="002122F3" w:rsidRPr="000309BB" w:rsidRDefault="002122F3" w:rsidP="00063909">
      <w:pPr>
        <w:spacing w:after="60"/>
        <w:rPr>
          <w:lang w:val="sr-Cyrl-RS"/>
        </w:rPr>
      </w:pPr>
      <w:r w:rsidRPr="000309BB">
        <w:rPr>
          <w:lang w:val="sr-Cyrl-RS"/>
        </w:rPr>
        <w:t>У циљу оптимизације портфолија и ефикаснијег управљања јавним дугом, урађена је анализа трошкова и ризика алтернативних стратегија задуживања, применом модела Светске банке (Medium Term Debt Strategy Mode</w:t>
      </w:r>
      <w:r w:rsidR="000B5EDA">
        <w:rPr>
          <w:lang w:val="sr-Cyrl-RS"/>
        </w:rPr>
        <w:t xml:space="preserve">l – MTDS), у условима основног </w:t>
      </w:r>
      <w:r w:rsidRPr="000309BB">
        <w:rPr>
          <w:lang w:val="sr-Cyrl-RS"/>
        </w:rPr>
        <w:t>сценариjа, али и у условима шокова који могу довести до промене основног сценариjа: девизни курс, промена каматних стопа на међународном и домаћем тржишту, кобиновани шок.</w:t>
      </w:r>
    </w:p>
    <w:p w14:paraId="4DF9C437" w14:textId="77777777" w:rsidR="002122F3" w:rsidRPr="000309BB" w:rsidRDefault="002122F3" w:rsidP="00063909">
      <w:pPr>
        <w:spacing w:after="60"/>
        <w:rPr>
          <w:lang w:val="sr-Cyrl-RS"/>
        </w:rPr>
      </w:pPr>
      <w:r w:rsidRPr="000309BB">
        <w:rPr>
          <w:lang w:val="sr-Cyrl-RS"/>
        </w:rPr>
        <w:t>Стратегија управљања јавним дугом у наредном средњорочном периоду полази од претпоставке да ће финансирање бити обезбеђено задуживањем и на домаћем и на међународном финансијском тржишту. Флексибилност у домену избора тржишта на коме ће се вршити задуживање, валуте задуживања и инструмента финансирања један је од неопходних услова како би финансирање издатака буџета Републике Србије било обезбеђено.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p>
    <w:p w14:paraId="01E94AA0" w14:textId="77777777" w:rsidR="002122F3" w:rsidRPr="000309BB" w:rsidRDefault="002122F3" w:rsidP="00063909">
      <w:pPr>
        <w:spacing w:after="60"/>
        <w:rPr>
          <w:lang w:val="sr-Cyrl-RS"/>
        </w:rPr>
      </w:pPr>
      <w:bookmarkStart w:id="21" w:name="_Toc530635112"/>
      <w:bookmarkEnd w:id="21"/>
      <w:r w:rsidRPr="000309BB">
        <w:rPr>
          <w:lang w:val="sr-Cyrl-RS"/>
        </w:rPr>
        <w:t>Развој домаћег тржишта државних хартија од вредности од стране Републике Србије потпомогнут је следећим мерама:</w:t>
      </w:r>
    </w:p>
    <w:p w14:paraId="6DE08B07" w14:textId="77777777" w:rsidR="002122F3" w:rsidRPr="000309BB" w:rsidRDefault="002122F3" w:rsidP="00063909">
      <w:pPr>
        <w:spacing w:after="60"/>
        <w:rPr>
          <w:lang w:val="sr-Cyrl-RS"/>
        </w:rPr>
      </w:pPr>
      <w:r w:rsidRPr="000309BB">
        <w:rPr>
          <w:lang w:val="sr-Cyrl-RS"/>
        </w:rPr>
        <w:t>Обвезнице Републике Србије укључене су у J.P. Morgan GBI-EM Index што би требало значајно да повећа базу инвеститора и додатно поспеши секундарно трговање, што ће даље допринети смањењу трошкова задуживања путем емисија динарских државних хартија од вредности;</w:t>
      </w:r>
    </w:p>
    <w:p w14:paraId="5A428082" w14:textId="77777777" w:rsidR="002122F3" w:rsidRPr="000309BB" w:rsidRDefault="002122F3" w:rsidP="00063909">
      <w:pPr>
        <w:spacing w:after="60"/>
        <w:rPr>
          <w:lang w:val="sr-Cyrl-RS"/>
        </w:rPr>
      </w:pPr>
      <w:r w:rsidRPr="000309BB">
        <w:rPr>
          <w:lang w:val="sr-Cyrl-RS"/>
        </w:rPr>
        <w:t>Jеднак порески третман</w:t>
      </w:r>
      <w:r w:rsidR="000B5EDA">
        <w:rPr>
          <w:lang w:val="sr-Cyrl-RS"/>
        </w:rPr>
        <w:t xml:space="preserve"> домаћих и страних инвеститора </w:t>
      </w:r>
      <w:r w:rsidRPr="000309BB">
        <w:rPr>
          <w:lang w:val="sr-Cyrl-RS"/>
        </w:rPr>
        <w:t xml:space="preserve">установљен крајем 2011. године и кораци ка уклањању свих евентуалних препрека за </w:t>
      </w:r>
      <w:r w:rsidR="000B5EDA">
        <w:rPr>
          <w:lang w:val="sr-Cyrl-RS"/>
        </w:rPr>
        <w:t>слободан проток капитала у циљу</w:t>
      </w:r>
      <w:r w:rsidRPr="000309BB">
        <w:rPr>
          <w:lang w:val="sr-Cyrl-RS"/>
        </w:rPr>
        <w:t xml:space="preserve"> креирања што веће базе инвеститора и развоја секундарног тржишта хартија од вредности емитованих на домаћем тржишту,</w:t>
      </w:r>
    </w:p>
    <w:p w14:paraId="4448DA76" w14:textId="77777777" w:rsidR="002122F3" w:rsidRPr="000309BB" w:rsidRDefault="002122F3" w:rsidP="00063909">
      <w:pPr>
        <w:spacing w:after="60"/>
        <w:rPr>
          <w:lang w:val="sr-Cyrl-RS"/>
        </w:rPr>
      </w:pPr>
      <w:r w:rsidRPr="000309BB">
        <w:rPr>
          <w:lang w:val="sr-Cyrl-RS"/>
        </w:rPr>
        <w:t xml:space="preserve">Изменама и допунама Закона о јавном дугу из децембра 2019. године, омогућено је да клиринг и салдирање државних хартија од вредности емитованих на домаћем тржишту, поред Централног регистара врши и друго страно правно лице које обавља послове клиринга и салдирања. </w:t>
      </w:r>
    </w:p>
    <w:p w14:paraId="39F1B589" w14:textId="77777777" w:rsidR="002122F3" w:rsidRPr="000309BB" w:rsidRDefault="002122F3" w:rsidP="00063909">
      <w:pPr>
        <w:spacing w:after="60"/>
        <w:rPr>
          <w:lang w:val="sr-Cyrl-RS"/>
        </w:rPr>
      </w:pPr>
      <w:r w:rsidRPr="000309BB">
        <w:rPr>
          <w:lang w:val="sr-Cyrl-RS"/>
        </w:rPr>
        <w:t xml:space="preserve">Clearstream је у октобру 2021. године постао први међународни централни регистар хартија од вредности, који је омогућио страним инвеститорима да, путем посредника </w:t>
      </w:r>
      <w:r w:rsidR="002A7232">
        <w:rPr>
          <w:lang w:val="sr-Cyrl-RS"/>
        </w:rPr>
        <w:t>–</w:t>
      </w:r>
      <w:r w:rsidRPr="000309BB">
        <w:rPr>
          <w:lang w:val="sr-Cyrl-RS"/>
        </w:rPr>
        <w:t xml:space="preserve"> овлашћеног учесника на локалном тржишту, салдирају државне обвезнице деноминоване у динарима (РСД). </w:t>
      </w:r>
    </w:p>
    <w:p w14:paraId="08CE2C5A" w14:textId="77777777" w:rsidR="002122F3" w:rsidRPr="000309BB" w:rsidRDefault="002122F3" w:rsidP="00063909">
      <w:pPr>
        <w:spacing w:after="60"/>
        <w:rPr>
          <w:lang w:val="sr-Cyrl-RS"/>
        </w:rPr>
      </w:pPr>
      <w:r w:rsidRPr="000309BB">
        <w:rPr>
          <w:lang w:val="sr-Cyrl-RS"/>
        </w:rPr>
        <w:t>Током 2021. и 2022. године активно ће се радити на усаглашавању законске регулативе за повезивање Централног регистра са Euroclear-oм путем I-link платформе. Овај корак би требало да олакша и омогући директан приступ страних инвеститора српском тржишту капитала и допринесе додатном повећању учешћа страних инвеститора и повећању ликвидности на секундарном тржишту државних хартија од вредности.</w:t>
      </w:r>
    </w:p>
    <w:p w14:paraId="4D60AB25" w14:textId="44A126C3" w:rsidR="005F26DA" w:rsidRPr="00735870" w:rsidRDefault="00735870" w:rsidP="00063909">
      <w:pPr>
        <w:pStyle w:val="Heading2"/>
        <w:spacing w:before="120" w:after="120"/>
        <w:rPr>
          <w:rFonts w:ascii="Times New Roman" w:eastAsia="Calibri" w:hAnsi="Times New Roman" w:cs="Times New Roman"/>
          <w:b/>
          <w:color w:val="auto"/>
          <w:sz w:val="24"/>
          <w:szCs w:val="24"/>
          <w:lang w:val="sr-Cyrl-RS"/>
        </w:rPr>
      </w:pPr>
      <w:bookmarkStart w:id="22" w:name="_Toc89375528"/>
      <w:r w:rsidRPr="00735870">
        <w:rPr>
          <w:rFonts w:ascii="Times New Roman" w:eastAsia="Calibri" w:hAnsi="Times New Roman" w:cs="Times New Roman"/>
          <w:b/>
          <w:color w:val="auto"/>
          <w:sz w:val="24"/>
          <w:szCs w:val="24"/>
        </w:rPr>
        <w:lastRenderedPageBreak/>
        <w:t>4.</w:t>
      </w:r>
      <w:r w:rsidR="005F26DA" w:rsidRPr="00735870">
        <w:rPr>
          <w:rFonts w:ascii="Times New Roman" w:eastAsia="Calibri" w:hAnsi="Times New Roman" w:cs="Times New Roman"/>
          <w:b/>
          <w:color w:val="auto"/>
          <w:sz w:val="24"/>
          <w:szCs w:val="24"/>
          <w:lang w:val="sr-Cyrl-RS"/>
        </w:rPr>
        <w:t>6. АНАЛИЗА ОСЕТЉИВОСТИ И ПОРЕЂЕЊЕ СА ПРЕТХОДНИМ ПРОГРАМОМ</w:t>
      </w:r>
      <w:bookmarkEnd w:id="22"/>
    </w:p>
    <w:p w14:paraId="10928303" w14:textId="77777777" w:rsidR="00611DA0" w:rsidRPr="00C308D5" w:rsidRDefault="00611DA0" w:rsidP="00063909">
      <w:pPr>
        <w:spacing w:after="60"/>
        <w:rPr>
          <w:lang w:val="sr-Cyrl-CS" w:eastAsia="ja-JP"/>
        </w:rPr>
      </w:pPr>
      <w:r w:rsidRPr="00C308D5">
        <w:rPr>
          <w:lang w:val="sr-Cyrl-CS" w:eastAsia="ja-JP"/>
        </w:rPr>
        <w:t>Фискални ризици представљају изложеност јавних финансија одређеним околностима које</w:t>
      </w:r>
      <w:r w:rsidRPr="00C308D5">
        <w:rPr>
          <w:lang w:val="sr-Latn-RS" w:eastAsia="ja-JP"/>
        </w:rPr>
        <w:t xml:space="preserve"> </w:t>
      </w:r>
      <w:r w:rsidRPr="00C308D5">
        <w:rPr>
          <w:lang w:val="sr-Cyrl-CS" w:eastAsia="ja-JP"/>
        </w:rPr>
        <w:t>могу проузроковати одступања од пројектованог фискалног оквира. До одступања може</w:t>
      </w:r>
      <w:r w:rsidRPr="00C308D5">
        <w:rPr>
          <w:lang w:val="sr-Latn-RS" w:eastAsia="ja-JP"/>
        </w:rPr>
        <w:t xml:space="preserve"> </w:t>
      </w:r>
      <w:r w:rsidRPr="00C308D5">
        <w:rPr>
          <w:lang w:val="sr-Cyrl-CS" w:eastAsia="ja-JP"/>
        </w:rPr>
        <w:t>доћи у приходима, расходима, фискалном резултату, као и у имовини и обавезама државе,у односу на оно што је планирано и очекивано. На спољашње ризике, попут природних</w:t>
      </w:r>
      <w:r w:rsidRPr="00C308D5">
        <w:rPr>
          <w:lang w:val="sr-Latn-RS" w:eastAsia="ja-JP"/>
        </w:rPr>
        <w:t xml:space="preserve"> </w:t>
      </w:r>
      <w:r w:rsidRPr="00C308D5">
        <w:rPr>
          <w:lang w:val="sr-Cyrl-CS" w:eastAsia="ja-JP"/>
        </w:rPr>
        <w:t>катастрофа или глобалних финансијских криза, Влада не може да утиче, али могуће је</w:t>
      </w:r>
      <w:r w:rsidRPr="00C308D5">
        <w:rPr>
          <w:lang w:val="sr-Latn-RS" w:eastAsia="ja-JP"/>
        </w:rPr>
        <w:t xml:space="preserve"> </w:t>
      </w:r>
      <w:r w:rsidRPr="00C308D5">
        <w:rPr>
          <w:lang w:val="sr-Cyrl-CS" w:eastAsia="ja-JP"/>
        </w:rPr>
        <w:t>дефинисати излазне стратегије које би ублажиле њихово дејство (очување стабилности у</w:t>
      </w:r>
      <w:r w:rsidRPr="00C308D5">
        <w:rPr>
          <w:lang w:val="sr-Latn-RS" w:eastAsia="ja-JP"/>
        </w:rPr>
        <w:t xml:space="preserve"> </w:t>
      </w:r>
      <w:r w:rsidRPr="00C308D5">
        <w:rPr>
          <w:lang w:val="sr-Cyrl-CS" w:eastAsia="ja-JP"/>
        </w:rPr>
        <w:t>добрим временима како би у условима рецесије или кризе фискална политика имала простора за адекватан одговор, осигурање у случају природних катастрофа и сл.). Унутрашњи</w:t>
      </w:r>
      <w:r w:rsidRPr="00C308D5">
        <w:rPr>
          <w:lang w:val="sr-Latn-RS" w:eastAsia="ja-JP"/>
        </w:rPr>
        <w:t xml:space="preserve"> </w:t>
      </w:r>
      <w:r w:rsidRPr="00C308D5">
        <w:rPr>
          <w:lang w:val="sr-Cyrl-CS" w:eastAsia="ja-JP"/>
        </w:rPr>
        <w:t>ризици, односно њихова материјализација последица су активности у јавном сектору, те се</w:t>
      </w:r>
      <w:r w:rsidRPr="00C308D5">
        <w:rPr>
          <w:lang w:val="sr-Latn-RS" w:eastAsia="ja-JP"/>
        </w:rPr>
        <w:t xml:space="preserve"> </w:t>
      </w:r>
      <w:r w:rsidRPr="00C308D5">
        <w:rPr>
          <w:lang w:val="sr-Cyrl-CS" w:eastAsia="ja-JP"/>
        </w:rPr>
        <w:t>на вероватноћу њихове реализације може утицати одлукама и политикама Владе.</w:t>
      </w:r>
    </w:p>
    <w:p w14:paraId="5FB8B206" w14:textId="29F666C0" w:rsidR="00611DA0" w:rsidRPr="00C308D5" w:rsidRDefault="00611DA0" w:rsidP="00063909">
      <w:pPr>
        <w:spacing w:after="60"/>
        <w:rPr>
          <w:lang w:val="sr-Cyrl-RS" w:eastAsia="ja-JP"/>
        </w:rPr>
      </w:pPr>
      <w:r w:rsidRPr="00C308D5">
        <w:rPr>
          <w:lang w:val="sr-Cyrl-CS" w:eastAsia="ja-JP"/>
        </w:rPr>
        <w:t>У</w:t>
      </w:r>
      <w:r w:rsidRPr="00342544">
        <w:rPr>
          <w:lang w:val="sr-Cyrl-CS" w:eastAsia="ja-JP"/>
        </w:rPr>
        <w:t xml:space="preserve"> </w:t>
      </w:r>
      <w:r w:rsidRPr="00C308D5">
        <w:rPr>
          <w:lang w:val="sr-Cyrl-CS" w:eastAsia="ja-JP"/>
        </w:rPr>
        <w:t>претходној деценији Република Србија суочила се са реализацијом бројних ризика који су угрозили њену фискалну позицију. Финансијска криза и рецесија погоршале су стање јавних финансија, узрокујући високе дефиците и раст јавног дуга. Глобална финансијска криза, као спољни фактор, активирала је и унутрашње ризике, те су отплате по основу гарантованих кредита, извршења судских одлука, решавања питања државних финансијских институција и преузимање обавеза јавних предузећа у јавни дуг, додатно погоршали фискалну позицију.</w:t>
      </w:r>
      <w:r w:rsidRPr="00C308D5">
        <w:rPr>
          <w:lang w:val="sr-Latn-RS" w:eastAsia="ja-JP"/>
        </w:rPr>
        <w:t xml:space="preserve"> </w:t>
      </w:r>
      <w:r w:rsidRPr="00C308D5">
        <w:rPr>
          <w:spacing w:val="-2"/>
          <w:lang w:val="sr-Cyrl-RS" w:eastAsia="ja-JP"/>
        </w:rPr>
        <w:t xml:space="preserve">Република Србија је, као и већина земаља у свету, погођена здравственом и економском кризом, која је изазвана пандемијом вируса </w:t>
      </w:r>
      <w:r w:rsidR="0063502F">
        <w:rPr>
          <w:spacing w:val="-2"/>
          <w:lang w:val="sr-Cyrl-RS" w:eastAsia="ja-JP"/>
        </w:rPr>
        <w:t>Ковид-19</w:t>
      </w:r>
      <w:r w:rsidRPr="00C308D5">
        <w:rPr>
          <w:spacing w:val="-2"/>
          <w:lang w:val="sr-Cyrl-RS" w:eastAsia="ja-JP"/>
        </w:rPr>
        <w:t xml:space="preserve">. Пандемија се може сматрати негативним егзогеним шоком чије се деловање шири кроз економски систем, изазивајући економски пад и рецесију, док је мерење ефеката пандемије изузетно сложено и ствара значајну неизвесност у вези са економским изгледима и пратећим негативним последицама. </w:t>
      </w:r>
      <w:r w:rsidRPr="00C308D5">
        <w:rPr>
          <w:lang w:val="sr-Cyrl-RS" w:eastAsia="ja-JP"/>
        </w:rPr>
        <w:t>Република Србија је реаговала снажним интервентним мерама.</w:t>
      </w:r>
      <w:r w:rsidRPr="00C308D5">
        <w:rPr>
          <w:lang w:val="en-GB" w:eastAsia="ja-JP"/>
        </w:rPr>
        <w:t xml:space="preserve"> </w:t>
      </w:r>
      <w:r w:rsidRPr="00C308D5">
        <w:rPr>
          <w:lang w:val="sr-Cyrl-RS" w:eastAsia="ja-JP"/>
        </w:rPr>
        <w:t>Донет је комплет свеобухватних пакета економских мера са циљем смањења незапослености и ширења неликвидности предузећа, одржавања инвестиционих улагања, опстанка појединих секторских грана (туризам, пољопривреда, итд.), помоћ одређеним слојевима становништва (пензионери, здравствени радници), као и укупном пунолетном становништву у ци</w:t>
      </w:r>
      <w:r>
        <w:rPr>
          <w:lang w:val="sr-Cyrl-RS" w:eastAsia="ja-JP"/>
        </w:rPr>
        <w:t>љу подизања агрегатне тражње.</w:t>
      </w:r>
    </w:p>
    <w:p w14:paraId="4B928943" w14:textId="77777777" w:rsidR="00611DA0" w:rsidRPr="00C308D5" w:rsidRDefault="00611DA0" w:rsidP="00063909">
      <w:pPr>
        <w:spacing w:after="60"/>
        <w:rPr>
          <w:lang w:val="sr-Cyrl-CS" w:eastAsia="ja-JP"/>
        </w:rPr>
      </w:pPr>
      <w:r w:rsidRPr="00C308D5">
        <w:rPr>
          <w:lang w:val="sr-Cyrl-CS" w:eastAsia="ja-JP"/>
        </w:rPr>
        <w:t>Министарство финансија има водећу улогу у управљању фискалним ризицима. Као кључна институција за средњорочно макроекономско и фискално планирање, формулацију и управљање буџетом, Министарство финансија има и водећу улогу у успостављању институционалне и законске структуре, те изградњи капацитета неопходних за управљање фискалним ризицима. Сектор за праћење фискалних ризика, организациона јединица за управљање фискалним ризицима у Министарству финансија, основан је 2019. са циљем да ради на јачању законске регулативе и методолошког оквира, изградњи капацитета, те развијању техничких алата и модела неопходних за праћење и процену фискалних ризика. Намера је да резултат ових активности буде идентификација и процена ризика и предлагање излазних стратегија, као помоћ Влади у очувању стабилности јавних финансија што је кључни циљ фискалне политике и један од основних предуслова за динамичнији привредни раст.</w:t>
      </w:r>
    </w:p>
    <w:p w14:paraId="4FA8BD8F" w14:textId="77777777" w:rsidR="00611DA0" w:rsidRPr="00C308D5" w:rsidRDefault="00611DA0" w:rsidP="00063909">
      <w:pPr>
        <w:spacing w:after="60"/>
        <w:rPr>
          <w:lang w:val="sr-Cyrl-CS" w:eastAsia="ja-JP"/>
        </w:rPr>
      </w:pPr>
      <w:r w:rsidRPr="00C308D5">
        <w:rPr>
          <w:lang w:val="sr-Cyrl-CS" w:eastAsia="ja-JP"/>
        </w:rPr>
        <w:t>У циљу спровођења наведеног процеса праћења фискалних ризика, припремљена је Јединствена методологија за праћење фискалних ризика у Републици Србији која обухвата четири основне методологије и то:</w:t>
      </w:r>
    </w:p>
    <w:p w14:paraId="177CF835" w14:textId="77777777"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t>Методологију за праћење фискалних ризика који произлазе из пословања јавних предузећа;</w:t>
      </w:r>
    </w:p>
    <w:p w14:paraId="304ADA41" w14:textId="77777777" w:rsidR="00611DA0" w:rsidRPr="00611DA0" w:rsidRDefault="00611DA0" w:rsidP="004D22FA">
      <w:pPr>
        <w:pStyle w:val="ListParagraph"/>
        <w:numPr>
          <w:ilvl w:val="0"/>
          <w:numId w:val="16"/>
        </w:numPr>
        <w:spacing w:line="240" w:lineRule="auto"/>
        <w:rPr>
          <w:rFonts w:cs="Times New Roman"/>
          <w:sz w:val="24"/>
          <w:szCs w:val="24"/>
          <w:lang w:val="sr-Latn-RS"/>
        </w:rPr>
      </w:pPr>
      <w:r w:rsidRPr="00611DA0">
        <w:rPr>
          <w:rFonts w:cs="Times New Roman"/>
          <w:sz w:val="24"/>
          <w:szCs w:val="24"/>
          <w:lang w:val="sr-Cyrl-CS"/>
        </w:rPr>
        <w:t>Методологију за праћење фискалних ризика по буџет Републике Србије који произлазе из вршења надлежности јединица локалне самоуправе;</w:t>
      </w:r>
    </w:p>
    <w:p w14:paraId="42A3B0A7" w14:textId="77777777"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lastRenderedPageBreak/>
        <w:t>Методологију за праћење фискалних ризика по основу судских поступака;</w:t>
      </w:r>
    </w:p>
    <w:p w14:paraId="1CBCC39F" w14:textId="77777777"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t>Методологију за праћење фискалних ризика који се јављају као последица елементарних непогода.</w:t>
      </w:r>
    </w:p>
    <w:p w14:paraId="10A97325" w14:textId="77777777" w:rsidR="00611DA0" w:rsidRPr="00C308D5" w:rsidRDefault="00611DA0" w:rsidP="00063909">
      <w:pPr>
        <w:spacing w:after="60"/>
        <w:rPr>
          <w:lang w:val="sr-Cyrl-CS" w:eastAsia="ja-JP"/>
        </w:rPr>
      </w:pPr>
      <w:r w:rsidRPr="00C308D5">
        <w:rPr>
          <w:lang w:val="sr-Cyrl-CS" w:eastAsia="ja-JP"/>
        </w:rPr>
        <w:t>Наведена методологија, усвојена у октобру 2021, рађена је на основу нацрта методологије који је припремљен од стране Светске банке.</w:t>
      </w:r>
    </w:p>
    <w:p w14:paraId="4FB317C0" w14:textId="77777777" w:rsidR="00611DA0" w:rsidRPr="00C308D5" w:rsidRDefault="00611DA0" w:rsidP="00063909">
      <w:pPr>
        <w:spacing w:after="60"/>
        <w:rPr>
          <w:lang w:val="sr-Cyrl-CS" w:eastAsia="ja-JP"/>
        </w:rPr>
      </w:pPr>
      <w:r w:rsidRPr="00C308D5">
        <w:rPr>
          <w:lang w:val="sr-Cyrl-RS" w:eastAsia="ja-JP"/>
        </w:rPr>
        <w:t>У циљу смањења фискалних ризика и одржавању расхода у планираним (пројектованим) оквирима у наредном средњорочном периоду</w:t>
      </w:r>
      <w:r w:rsidRPr="00C308D5">
        <w:rPr>
          <w:lang w:val="sr-Cyrl-CS" w:eastAsia="ja-JP"/>
        </w:rPr>
        <w:t>, предузете се следеће активности:</w:t>
      </w:r>
    </w:p>
    <w:p w14:paraId="24A2FB44" w14:textId="77777777" w:rsidR="00611DA0" w:rsidRPr="00611DA0" w:rsidRDefault="00611DA0" w:rsidP="004D22FA">
      <w:pPr>
        <w:pStyle w:val="ListParagraph"/>
        <w:numPr>
          <w:ilvl w:val="0"/>
          <w:numId w:val="15"/>
        </w:numPr>
        <w:spacing w:line="257" w:lineRule="auto"/>
        <w:rPr>
          <w:rFonts w:cs="Times New Roman"/>
          <w:sz w:val="24"/>
          <w:szCs w:val="24"/>
          <w:lang w:val="sr-Cyrl-CS"/>
        </w:rPr>
      </w:pPr>
      <w:r w:rsidRPr="00611DA0">
        <w:rPr>
          <w:rFonts w:cs="Times New Roman"/>
          <w:sz w:val="24"/>
          <w:szCs w:val="24"/>
          <w:lang w:val="sr-Cyrl-CS"/>
        </w:rPr>
        <w:t>Ограничавање издавања нових гаранција: Изменама Закона о јавном дугу забрањено је издавање нових гаранција за кредите за потребе ликвидности. Изменама Закона о Фонду за развој Републике Србије онемогућено је даље давање контрагаранција за гаранције издате од стране Фонда за развој Републике Србије.</w:t>
      </w:r>
    </w:p>
    <w:p w14:paraId="1B8E235E" w14:textId="77777777" w:rsidR="00611DA0" w:rsidRPr="00611DA0" w:rsidRDefault="00611DA0" w:rsidP="004D22FA">
      <w:pPr>
        <w:pStyle w:val="ListParagraph"/>
        <w:numPr>
          <w:ilvl w:val="0"/>
          <w:numId w:val="15"/>
        </w:numPr>
        <w:spacing w:line="257" w:lineRule="auto"/>
        <w:rPr>
          <w:rFonts w:cs="Times New Roman"/>
          <w:sz w:val="24"/>
          <w:szCs w:val="24"/>
          <w:lang w:val="sr-Cyrl-CS"/>
        </w:rPr>
      </w:pPr>
      <w:r w:rsidRPr="00611DA0">
        <w:rPr>
          <w:rFonts w:cs="Times New Roman"/>
          <w:sz w:val="24"/>
          <w:szCs w:val="24"/>
          <w:lang w:val="sr-Cyrl-CS"/>
        </w:rPr>
        <w:t>Структурне реформе јавних и државних предузећа: Већи број предузећа, која су и највећи корисници гаранција и субвенција, а да би била оспособљена за тржишну утакмицу и финансијску одрживост, те способна да отплаћују кредите, налазе се у процесу реструктурирања, односно спровођења планова реструктурирања</w:t>
      </w:r>
      <w:r w:rsidRPr="00611DA0">
        <w:rPr>
          <w:rFonts w:cs="Times New Roman"/>
          <w:sz w:val="24"/>
          <w:szCs w:val="24"/>
          <w:lang w:val="sr-Latn-RS"/>
        </w:rPr>
        <w:t>.</w:t>
      </w:r>
    </w:p>
    <w:p w14:paraId="36EF8173" w14:textId="77777777" w:rsidR="00611DA0" w:rsidRPr="00611DA0" w:rsidRDefault="00611DA0" w:rsidP="004D22FA">
      <w:pPr>
        <w:pStyle w:val="ListParagraph"/>
        <w:numPr>
          <w:ilvl w:val="0"/>
          <w:numId w:val="15"/>
        </w:numPr>
        <w:spacing w:line="240" w:lineRule="auto"/>
        <w:rPr>
          <w:rFonts w:cs="Times New Roman"/>
          <w:sz w:val="24"/>
          <w:szCs w:val="24"/>
          <w:lang w:val="sr-Cyrl-CS"/>
        </w:rPr>
      </w:pPr>
      <w:r w:rsidRPr="00611DA0">
        <w:rPr>
          <w:rFonts w:cs="Times New Roman"/>
          <w:sz w:val="24"/>
          <w:szCs w:val="24"/>
          <w:lang w:val="sr-Cyrl-CS"/>
        </w:rPr>
        <w:t>Наставак реформи у области државних финансијских институција, банкарских институција и осигурања депозита започетих 2012. године, односно 2015. године.</w:t>
      </w:r>
    </w:p>
    <w:p w14:paraId="1D45EA60" w14:textId="77777777" w:rsidR="00611DA0" w:rsidRPr="00611DA0" w:rsidRDefault="00611DA0" w:rsidP="004D22FA">
      <w:pPr>
        <w:pStyle w:val="ListParagraph"/>
        <w:numPr>
          <w:ilvl w:val="0"/>
          <w:numId w:val="15"/>
        </w:numPr>
        <w:spacing w:line="240" w:lineRule="auto"/>
        <w:rPr>
          <w:rFonts w:cs="Times New Roman"/>
          <w:sz w:val="24"/>
          <w:szCs w:val="24"/>
          <w:lang w:val="sr-Cyrl-CS"/>
        </w:rPr>
      </w:pPr>
      <w:r w:rsidRPr="00611DA0">
        <w:rPr>
          <w:rFonts w:cs="Times New Roman"/>
          <w:sz w:val="24"/>
          <w:szCs w:val="24"/>
          <w:lang w:val="sr-Cyrl-CS"/>
        </w:rPr>
        <w:t>Праћење ризика по основу судских поступака и ризика који се јављају као последица елементарних непогода.</w:t>
      </w:r>
    </w:p>
    <w:p w14:paraId="1E3D374C" w14:textId="77777777" w:rsidR="00611DA0" w:rsidRPr="00C308D5" w:rsidRDefault="00611DA0" w:rsidP="00063909">
      <w:pPr>
        <w:spacing w:after="60"/>
        <w:rPr>
          <w:lang w:val="sr-Cyrl-CS" w:eastAsia="ja-JP"/>
        </w:rPr>
      </w:pPr>
      <w:r w:rsidRPr="00C308D5">
        <w:rPr>
          <w:lang w:val="sr-Cyrl-CS" w:eastAsia="ja-JP"/>
        </w:rPr>
        <w:t>Гаранције издате од стране државе утичу на висину јавног дуга, али и на висину дефицита, уколико отплату по кредиту уместо првобитног дужника преузме држава. Издате гаранције су према дефиницији одређеној Законом о јавном дугу</w:t>
      </w:r>
      <w:r w:rsidRPr="00C308D5">
        <w:rPr>
          <w:vertAlign w:val="superscript"/>
          <w:lang w:val="sr-Cyrl-CS" w:eastAsia="ja-JP"/>
        </w:rPr>
        <w:footnoteReference w:id="8"/>
      </w:r>
      <w:r w:rsidRPr="00C308D5">
        <w:rPr>
          <w:lang w:val="sr-Cyrl-CS" w:eastAsia="ja-JP"/>
        </w:rPr>
        <w:t xml:space="preserve"> део индиректних обавеза и у укупном износу се укључују у јавни дуг</w:t>
      </w:r>
      <w:r w:rsidRPr="00C308D5">
        <w:rPr>
          <w:vertAlign w:val="superscript"/>
          <w:lang w:val="sr-Cyrl-CS" w:eastAsia="ja-JP"/>
        </w:rPr>
        <w:footnoteReference w:id="9"/>
      </w:r>
      <w:r w:rsidRPr="00C308D5">
        <w:rPr>
          <w:lang w:val="sr-Cyrl-CS" w:eastAsia="ja-JP"/>
        </w:rPr>
        <w:t>. Ограничења постављена на издавање нових гаранција дала су резултате те се учешће индиректних обавеза у укупном јавном дугу смањује. Индиректне обавезе (издате гаранције од стране Републике Србије) су учествовале са 5,3% у укупном јавном дугу, према националној методологији, на крају 2020. године. Учешће ових обавеза у јавном дугу је на приближно истом нивоу и у текућој години, те на крају jуна 2021. године оне чине 4,9</w:t>
      </w:r>
      <w:r w:rsidRPr="00C308D5">
        <w:rPr>
          <w:lang w:val="sr-Cyrl-RS" w:eastAsia="ja-JP"/>
        </w:rPr>
        <w:t>%</w:t>
      </w:r>
      <w:r w:rsidRPr="00C308D5">
        <w:rPr>
          <w:lang w:val="sr-Cyrl-CS" w:eastAsia="ja-JP"/>
        </w:rPr>
        <w:t xml:space="preserve"> укупног јавног дуга. Највеће учешће ових обавеза у јавном дугу, нешто изнад 14% у просеку забележено је између 2009. и 2013. године.</w:t>
      </w:r>
    </w:p>
    <w:p w14:paraId="2D7F30F5" w14:textId="77777777" w:rsidR="00611DA0" w:rsidRPr="00D07445" w:rsidRDefault="00D07445" w:rsidP="00611DA0">
      <w:pPr>
        <w:rPr>
          <w:rFonts w:cs="Times New Roman"/>
          <w:bCs/>
          <w:szCs w:val="24"/>
          <w:lang w:val="sr-Cyrl-RS"/>
        </w:rPr>
      </w:pPr>
      <w:r w:rsidRPr="00D07445">
        <w:rPr>
          <w:rFonts w:cs="Times New Roman"/>
          <w:bCs/>
          <w:szCs w:val="24"/>
          <w:lang w:val="sr-Cyrl-RS"/>
        </w:rPr>
        <w:t xml:space="preserve">Графикон 14. </w:t>
      </w:r>
      <w:r w:rsidR="00611DA0" w:rsidRPr="00D07445">
        <w:rPr>
          <w:rFonts w:cs="Times New Roman"/>
          <w:bCs/>
          <w:szCs w:val="24"/>
          <w:lang w:val="sr-Cyrl-RS"/>
        </w:rPr>
        <w:t>Учешће индиректног дуга у укупном јавном дугу Републике Србије</w:t>
      </w:r>
    </w:p>
    <w:p w14:paraId="0385F263" w14:textId="5EC5B4C4" w:rsidR="00611DA0" w:rsidRDefault="00611DA0" w:rsidP="00611DA0">
      <w:pPr>
        <w:spacing w:after="0"/>
        <w:rPr>
          <w:rFonts w:eastAsia="MS PGothic" w:cs="Times New Roman"/>
          <w:szCs w:val="24"/>
          <w:lang w:val="sr-Cyrl-CS" w:eastAsia="ja-JP"/>
        </w:rPr>
      </w:pPr>
      <w:r w:rsidRPr="00C308D5">
        <w:rPr>
          <w:rFonts w:eastAsia="MS PGothic" w:cs="Times New Roman"/>
          <w:noProof/>
          <w:szCs w:val="24"/>
        </w:rPr>
        <w:lastRenderedPageBreak/>
        <w:drawing>
          <wp:inline distT="0" distB="0" distL="0" distR="0" wp14:anchorId="11DF12ED" wp14:editId="35E5CA0B">
            <wp:extent cx="5743575" cy="245740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2295" cy="2529596"/>
                    </a:xfrm>
                    <a:prstGeom prst="rect">
                      <a:avLst/>
                    </a:prstGeom>
                    <a:noFill/>
                  </pic:spPr>
                </pic:pic>
              </a:graphicData>
            </a:graphic>
          </wp:inline>
        </w:drawing>
      </w:r>
    </w:p>
    <w:p w14:paraId="61B4ABA7" w14:textId="77777777" w:rsidR="00063909" w:rsidRPr="00C308D5" w:rsidRDefault="00063909" w:rsidP="00611DA0">
      <w:pPr>
        <w:spacing w:after="0"/>
        <w:rPr>
          <w:rFonts w:eastAsia="MS PGothic" w:cs="Times New Roman"/>
          <w:szCs w:val="24"/>
          <w:lang w:val="sr-Cyrl-CS" w:eastAsia="ja-JP"/>
        </w:rPr>
      </w:pPr>
    </w:p>
    <w:p w14:paraId="44B0691A" w14:textId="77777777" w:rsidR="00611DA0" w:rsidRPr="00C308D5" w:rsidRDefault="00611DA0" w:rsidP="00063909">
      <w:pPr>
        <w:spacing w:after="60"/>
        <w:rPr>
          <w:lang w:val="sr-Cyrl-CS" w:eastAsia="ja-JP"/>
        </w:rPr>
      </w:pPr>
      <w:r w:rsidRPr="00C308D5">
        <w:rPr>
          <w:lang w:val="sr-Cyrl-CS" w:eastAsia="ja-JP"/>
        </w:rPr>
        <w:t>На крају 2020. године стање дуга по основу издатих гаранција износило је 1,4</w:t>
      </w:r>
      <w:r w:rsidRPr="00C308D5">
        <w:rPr>
          <w:lang w:val="sr-Latn-RS" w:eastAsia="ja-JP"/>
        </w:rPr>
        <w:t>23</w:t>
      </w:r>
      <w:r w:rsidRPr="00C308D5">
        <w:rPr>
          <w:lang w:val="sr-Cyrl-CS" w:eastAsia="ja-JP"/>
        </w:rPr>
        <w:t xml:space="preserve"> млрд евра, односно 3,1% БДП. Стање дуга по овом основу смањено је за близу 65 милиона евра у односу на крај 2019. године. До </w:t>
      </w:r>
      <w:r w:rsidRPr="00C308D5">
        <w:rPr>
          <w:lang w:val="sr-Cyrl-RS" w:eastAsia="ja-JP"/>
        </w:rPr>
        <w:t>јуна</w:t>
      </w:r>
      <w:r w:rsidRPr="00C308D5">
        <w:rPr>
          <w:lang w:val="sr-Cyrl-CS" w:eastAsia="ja-JP"/>
        </w:rPr>
        <w:t xml:space="preserve"> текуће године стање дуга по гаранцијама смањено је за 22,3 милиона евра, у односу на крај 2020. године</w:t>
      </w:r>
      <w:r w:rsidRPr="00C308D5">
        <w:rPr>
          <w:lang w:val="sr-Latn-RS" w:eastAsia="ja-JP"/>
        </w:rPr>
        <w:t xml:space="preserve"> </w:t>
      </w:r>
      <w:r w:rsidRPr="00C308D5">
        <w:rPr>
          <w:lang w:val="sr-Cyrl-RS" w:eastAsia="ja-JP"/>
        </w:rPr>
        <w:t>и износи 1,4 млрд евра на дан 30.0</w:t>
      </w:r>
      <w:r w:rsidRPr="00C308D5">
        <w:rPr>
          <w:lang w:val="en-GB" w:eastAsia="ja-JP"/>
        </w:rPr>
        <w:t>6</w:t>
      </w:r>
      <w:r w:rsidRPr="00C308D5">
        <w:rPr>
          <w:lang w:val="sr-Cyrl-RS" w:eastAsia="ja-JP"/>
        </w:rPr>
        <w:t>.2021. године</w:t>
      </w:r>
      <w:r w:rsidRPr="00C308D5">
        <w:rPr>
          <w:lang w:val="sr-Cyrl-CS" w:eastAsia="ja-JP"/>
        </w:rPr>
        <w:t>.</w:t>
      </w:r>
    </w:p>
    <w:p w14:paraId="3EBCD992" w14:textId="77777777" w:rsidR="00611DA0" w:rsidRPr="00C308D5" w:rsidRDefault="00611DA0" w:rsidP="00063909">
      <w:pPr>
        <w:spacing w:after="60"/>
        <w:rPr>
          <w:lang w:val="sr-Cyrl-CS" w:eastAsia="ja-JP"/>
        </w:rPr>
      </w:pPr>
      <w:r w:rsidRPr="00C308D5">
        <w:rPr>
          <w:lang w:val="sr-Cyrl-CS" w:eastAsia="ja-JP"/>
        </w:rPr>
        <w:t>Укупна отплата главнице по основу гарантованих кредита у 2020. години износила је</w:t>
      </w:r>
      <w:r w:rsidRPr="00C308D5">
        <w:rPr>
          <w:lang w:val="sr-Latn-RS" w:eastAsia="ja-JP"/>
        </w:rPr>
        <w:t xml:space="preserve"> 11,4</w:t>
      </w:r>
      <w:r w:rsidRPr="00C308D5">
        <w:rPr>
          <w:lang w:val="sr-Cyrl-CS" w:eastAsia="ja-JP"/>
        </w:rPr>
        <w:t xml:space="preserve"> млрд динара</w:t>
      </w:r>
      <w:r w:rsidRPr="00C308D5">
        <w:rPr>
          <w:lang w:eastAsia="ja-JP"/>
        </w:rPr>
        <w:t xml:space="preserve">, </w:t>
      </w:r>
      <w:r w:rsidRPr="00C308D5">
        <w:rPr>
          <w:lang w:val="sr-Cyrl-RS" w:eastAsia="ja-JP"/>
        </w:rPr>
        <w:t xml:space="preserve">од чега </w:t>
      </w:r>
      <w:r w:rsidRPr="00C308D5">
        <w:rPr>
          <w:lang w:val="sr-Latn-RS" w:eastAsia="ja-JP"/>
        </w:rPr>
        <w:t xml:space="preserve">7,5 </w:t>
      </w:r>
      <w:r w:rsidRPr="00C308D5">
        <w:rPr>
          <w:lang w:val="sr-Cyrl-RS" w:eastAsia="ja-JP"/>
        </w:rPr>
        <w:t>млрд утиче на дефицит</w:t>
      </w:r>
      <w:r w:rsidRPr="00C308D5">
        <w:rPr>
          <w:lang w:val="sr-Cyrl-CS" w:eastAsia="ja-JP"/>
        </w:rPr>
        <w:t>. Рачуноводствена методологија, до 2014. године, није у расходе укључивала отплате по основу гаранција</w:t>
      </w:r>
      <w:r w:rsidRPr="00C308D5">
        <w:rPr>
          <w:vertAlign w:val="superscript"/>
          <w:lang w:val="sr-Cyrl-CS" w:eastAsia="ja-JP"/>
        </w:rPr>
        <w:footnoteReference w:id="10"/>
      </w:r>
      <w:r w:rsidRPr="00C308D5">
        <w:rPr>
          <w:lang w:val="sr-Cyrl-CS" w:eastAsia="ja-JP"/>
        </w:rPr>
        <w:t>. Од 2014. године део ових расхода је укључен у расходе буџета</w:t>
      </w:r>
      <w:r w:rsidRPr="00C308D5">
        <w:rPr>
          <w:vertAlign w:val="superscript"/>
          <w:lang w:val="sr-Cyrl-CS" w:eastAsia="ja-JP"/>
        </w:rPr>
        <w:footnoteReference w:id="11"/>
      </w:r>
      <w:r w:rsidRPr="00C308D5">
        <w:rPr>
          <w:lang w:val="sr-Cyrl-CS" w:eastAsia="ja-JP"/>
        </w:rPr>
        <w:t>. Независно од буџетског и рачуноводственог приказа, дуг који уместо главног дужника плаћа држава повећава укупне потребе за задуживањем.</w:t>
      </w:r>
    </w:p>
    <w:p w14:paraId="47EC5CBF" w14:textId="77777777" w:rsidR="00611DA0" w:rsidRPr="00D07445" w:rsidRDefault="00D07445" w:rsidP="00611DA0">
      <w:pPr>
        <w:spacing w:line="276" w:lineRule="auto"/>
        <w:rPr>
          <w:rFonts w:eastAsia="MS PGothic" w:cs="Times New Roman"/>
          <w:szCs w:val="24"/>
          <w:lang w:val="sr-Cyrl-CS" w:eastAsia="ja-JP"/>
        </w:rPr>
      </w:pPr>
      <w:r w:rsidRPr="00D07445">
        <w:rPr>
          <w:rFonts w:eastAsia="MS PGothic" w:cs="Times New Roman"/>
          <w:szCs w:val="24"/>
          <w:lang w:val="sr-Cyrl-CS" w:eastAsia="ja-JP"/>
        </w:rPr>
        <w:t xml:space="preserve">Графикон 15. </w:t>
      </w:r>
      <w:r w:rsidR="00611DA0" w:rsidRPr="00D07445">
        <w:rPr>
          <w:rFonts w:eastAsia="MS PGothic" w:cs="Times New Roman"/>
          <w:szCs w:val="24"/>
          <w:lang w:val="sr-Cyrl-CS" w:eastAsia="ja-JP"/>
        </w:rPr>
        <w:t>Отплата дуга по основу активираних гаранција, млрд динара</w:t>
      </w:r>
    </w:p>
    <w:p w14:paraId="51AEEDB1" w14:textId="77777777" w:rsidR="00611DA0" w:rsidRPr="00C308D5" w:rsidRDefault="00611DA0" w:rsidP="00611DA0">
      <w:pPr>
        <w:spacing w:after="0" w:line="276" w:lineRule="auto"/>
        <w:rPr>
          <w:rFonts w:eastAsia="MS PGothic" w:cs="Times New Roman"/>
          <w:b/>
          <w:szCs w:val="24"/>
          <w:lang w:val="sr-Cyrl-CS" w:eastAsia="ja-JP"/>
        </w:rPr>
      </w:pPr>
      <w:r w:rsidRPr="00C308D5">
        <w:rPr>
          <w:rFonts w:eastAsia="MS PGothic" w:cs="Times New Roman"/>
          <w:b/>
          <w:noProof/>
          <w:szCs w:val="24"/>
        </w:rPr>
        <w:drawing>
          <wp:inline distT="0" distB="0" distL="0" distR="0" wp14:anchorId="4B84C776" wp14:editId="3FE4CDF0">
            <wp:extent cx="5686425" cy="1962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7704" cy="1997744"/>
                    </a:xfrm>
                    <a:prstGeom prst="rect">
                      <a:avLst/>
                    </a:prstGeom>
                    <a:noFill/>
                  </pic:spPr>
                </pic:pic>
              </a:graphicData>
            </a:graphic>
          </wp:inline>
        </w:drawing>
      </w:r>
    </w:p>
    <w:p w14:paraId="3EE18521" w14:textId="77777777" w:rsidR="00611DA0" w:rsidRPr="00C308D5" w:rsidRDefault="00611DA0" w:rsidP="00063909">
      <w:pPr>
        <w:spacing w:after="60"/>
        <w:rPr>
          <w:lang w:val="sr-Cyrl-CS" w:eastAsia="ja-JP"/>
        </w:rPr>
      </w:pPr>
      <w:r w:rsidRPr="00C308D5">
        <w:rPr>
          <w:lang w:val="sr-Cyrl-CS" w:eastAsia="ja-JP"/>
        </w:rPr>
        <w:t>План отплате по основу гаранција (укупно главница и камата) у</w:t>
      </w:r>
      <w:r w:rsidRPr="00C308D5">
        <w:rPr>
          <w:lang w:val="sr-Cyrl-RS" w:eastAsia="ja-JP"/>
        </w:rPr>
        <w:t xml:space="preserve"> ребалансу</w:t>
      </w:r>
      <w:r w:rsidRPr="00C308D5">
        <w:rPr>
          <w:lang w:val="sr-Cyrl-CS" w:eastAsia="ja-JP"/>
        </w:rPr>
        <w:t xml:space="preserve"> буџета за 2021. годину износи </w:t>
      </w:r>
      <w:r w:rsidRPr="00C308D5">
        <w:rPr>
          <w:lang w:val="sr-Latn-RS" w:eastAsia="ja-JP"/>
        </w:rPr>
        <w:t>14,3</w:t>
      </w:r>
      <w:r w:rsidRPr="00C308D5">
        <w:rPr>
          <w:lang w:val="sr-Cyrl-CS" w:eastAsia="ja-JP"/>
        </w:rPr>
        <w:t xml:space="preserve"> млрд динара, од чега се у расходе који утичу на резултат укључује </w:t>
      </w:r>
      <w:r w:rsidRPr="00C308D5">
        <w:rPr>
          <w:lang w:val="sr-Latn-RS" w:eastAsia="ja-JP"/>
        </w:rPr>
        <w:t xml:space="preserve">3,52 </w:t>
      </w:r>
      <w:r w:rsidRPr="00C308D5">
        <w:rPr>
          <w:lang w:val="sr-Cyrl-CS" w:eastAsia="ja-JP"/>
        </w:rPr>
        <w:t>млрд динара за отплату главнице по гаранцијама. Ребалансом буџета за 20</w:t>
      </w:r>
      <w:r w:rsidRPr="00C308D5">
        <w:rPr>
          <w:lang w:val="en-GB" w:eastAsia="ja-JP"/>
        </w:rPr>
        <w:t>21</w:t>
      </w:r>
      <w:r w:rsidRPr="00C308D5">
        <w:rPr>
          <w:lang w:val="sr-Cyrl-CS" w:eastAsia="ja-JP"/>
        </w:rPr>
        <w:t>. годину планирано је издавање гаранција највише до 133,</w:t>
      </w:r>
      <w:r w:rsidRPr="00C308D5">
        <w:rPr>
          <w:lang w:val="en-GB" w:eastAsia="ja-JP"/>
        </w:rPr>
        <w:t>6</w:t>
      </w:r>
      <w:r w:rsidRPr="00C308D5">
        <w:rPr>
          <w:lang w:val="sr-Cyrl-CS" w:eastAsia="ja-JP"/>
        </w:rPr>
        <w:t xml:space="preserve"> млрд динара и то за кредите намењене реализацији инфраструктурних пројеката</w:t>
      </w:r>
      <w:r w:rsidRPr="00C308D5">
        <w:rPr>
          <w:lang w:eastAsia="ja-JP"/>
        </w:rPr>
        <w:t>.</w:t>
      </w:r>
      <w:r w:rsidRPr="00C308D5">
        <w:rPr>
          <w:lang w:val="sr-Cyrl-RS" w:eastAsia="ja-JP"/>
        </w:rPr>
        <w:t xml:space="preserve"> </w:t>
      </w:r>
      <w:r w:rsidRPr="00C308D5">
        <w:rPr>
          <w:lang w:val="sr-Cyrl-CS" w:eastAsia="ja-JP"/>
        </w:rPr>
        <w:t xml:space="preserve">У наредним годинама </w:t>
      </w:r>
      <w:r w:rsidRPr="00C308D5">
        <w:rPr>
          <w:lang w:val="sr-Cyrl-RS" w:eastAsia="ja-JP"/>
        </w:rPr>
        <w:t xml:space="preserve">није </w:t>
      </w:r>
      <w:r w:rsidRPr="00C308D5">
        <w:rPr>
          <w:lang w:val="sr-Cyrl-CS" w:eastAsia="ja-JP"/>
        </w:rPr>
        <w:lastRenderedPageBreak/>
        <w:t xml:space="preserve">планиран значајнији раст ове категорије расхода. Учешће ових расхода у БДП </w:t>
      </w:r>
      <w:r w:rsidRPr="00C308D5">
        <w:rPr>
          <w:lang w:val="sr-Cyrl-RS" w:eastAsia="ja-JP"/>
        </w:rPr>
        <w:t xml:space="preserve">креће се у просеку око </w:t>
      </w:r>
      <w:r w:rsidRPr="00C308D5">
        <w:rPr>
          <w:lang w:val="sr-Cyrl-CS" w:eastAsia="ja-JP"/>
        </w:rPr>
        <w:t>0,2% БДП у средњем року.</w:t>
      </w:r>
    </w:p>
    <w:p w14:paraId="6CBD170E" w14:textId="77777777" w:rsidR="00611DA0" w:rsidRPr="00C308D5" w:rsidRDefault="00611DA0" w:rsidP="00063909">
      <w:pPr>
        <w:spacing w:after="60"/>
        <w:rPr>
          <w:lang w:val="sr-Cyrl-CS" w:eastAsia="ja-JP"/>
        </w:rPr>
      </w:pPr>
      <w:r w:rsidRPr="00C308D5">
        <w:rPr>
          <w:lang w:val="sr-Cyrl-CS" w:eastAsia="ja-JP"/>
        </w:rPr>
        <w:t>Пословање јавних предузећа представља значајан извор фискалних ризика, како на страни буџетских прихода, тако и на страни расхода</w:t>
      </w:r>
      <w:r w:rsidRPr="00C308D5">
        <w:rPr>
          <w:lang w:val="sr-Latn-RS" w:eastAsia="ja-JP"/>
        </w:rPr>
        <w:t xml:space="preserve"> будући</w:t>
      </w:r>
      <w:r w:rsidRPr="00C308D5">
        <w:rPr>
          <w:lang w:val="sr-Cyrl-RS" w:eastAsia="ja-JP"/>
        </w:rPr>
        <w:t xml:space="preserve"> </w:t>
      </w:r>
      <w:r w:rsidRPr="00C308D5">
        <w:rPr>
          <w:lang w:val="sr-Cyrl-CS" w:eastAsia="ja-JP"/>
        </w:rPr>
        <w:t>да је држава као оснивач и њихов једини власник крајње одговорна за пословање и представља последње уточиште у случају неликвидности. Постоји неколико канала кроз које се могу материјализовати фискални ризици који су повезани са пословањем јавних предузећа, који укључују државне гаранције дате за кредите јавних предузећа, субвенције, неодговарајуће пословно планирање, традиционално управљање које не одговара потребама тржишта итд. Одрживост, ефикасност и профитабилност јавних предузећа утичу на приходе буџета, односно на износ добити коју уплаћују у буџет. Квалитет производа и услуга које обезбеђују јавна предузећа утичу на ефикасност и профитабилност приватног сектора и у крајњој инстанци на ниво пореза које уплаћују у буџет.</w:t>
      </w:r>
    </w:p>
    <w:p w14:paraId="2D2A6CA6" w14:textId="77777777" w:rsidR="00611DA0" w:rsidRPr="00C308D5" w:rsidRDefault="00611DA0" w:rsidP="00063909">
      <w:pPr>
        <w:spacing w:after="60"/>
        <w:rPr>
          <w:lang w:val="sr-Cyrl-CS" w:eastAsia="ja-JP"/>
        </w:rPr>
      </w:pPr>
      <w:r w:rsidRPr="00C308D5">
        <w:rPr>
          <w:lang w:val="sr-Cyrl-CS" w:eastAsia="ja-JP"/>
        </w:rPr>
        <w:t xml:space="preserve">Јавна предузећа се оснивају као друштва за обављање делатности од општег интереса. Њихов рад уређен је Законом о јавним предузећима, који је усвојен у фебруару 2016. године, као и подсекторским законима који дефинишу специфична подручја која нису обухваћена Законом о јавним предузећима (Закон о енергетици, Закон о привредним друштвима и др). Она запошљавају око </w:t>
      </w:r>
      <w:r w:rsidRPr="00C308D5">
        <w:rPr>
          <w:lang w:val="en-GB" w:eastAsia="ja-JP"/>
        </w:rPr>
        <w:t>81</w:t>
      </w:r>
      <w:r w:rsidRPr="00C308D5">
        <w:rPr>
          <w:lang w:val="sr-Cyrl-CS" w:eastAsia="ja-JP"/>
        </w:rPr>
        <w:t xml:space="preserve"> хиљадa људи чија је укупна имовина на крају 2020. године износла 2.654 млрд динара, док је као крајњи резултат остварен нето резултат у износу од 15,2 млрд динара.</w:t>
      </w:r>
    </w:p>
    <w:p w14:paraId="4F96D9D2" w14:textId="77777777" w:rsidR="00611DA0" w:rsidRPr="00C308D5" w:rsidRDefault="00611DA0" w:rsidP="00063909">
      <w:pPr>
        <w:spacing w:after="60"/>
        <w:rPr>
          <w:lang w:val="sr-Cyrl-CS" w:eastAsia="ja-JP"/>
        </w:rPr>
      </w:pPr>
      <w:r w:rsidRPr="00C308D5">
        <w:rPr>
          <w:lang w:val="sr-Cyrl-CS" w:eastAsia="ja-JP"/>
        </w:rPr>
        <w:t>У 2020. години субвенције су, изражене у проценту укупних прихода, на вишем нивоу у односу на претходну годину и чине 12,4% укупних прихода јавних предузећа. Одређене субвенције имају капитални карактер као што су субвенције за ЈП „Путеви Србије</w:t>
      </w:r>
      <w:r w:rsidRPr="00C308D5">
        <w:rPr>
          <w:bCs/>
          <w:lang w:val="sr-Cyrl-CS" w:eastAsia="ja-JP"/>
        </w:rPr>
        <w:t>”</w:t>
      </w:r>
      <w:r w:rsidRPr="00C308D5">
        <w:rPr>
          <w:lang w:val="sr-Cyrl-CS" w:eastAsia="ja-JP"/>
        </w:rPr>
        <w:t>, које су намењене реконструкцији путне инфраструктуре.</w:t>
      </w:r>
    </w:p>
    <w:p w14:paraId="340836A0" w14:textId="77777777" w:rsidR="00611DA0" w:rsidRPr="00C308D5" w:rsidRDefault="00611DA0" w:rsidP="00611DA0">
      <w:pPr>
        <w:jc w:val="left"/>
        <w:rPr>
          <w:rFonts w:cs="Times New Roman"/>
          <w:b/>
          <w:szCs w:val="24"/>
          <w:lang w:val="sr-Cyrl-RS"/>
        </w:rPr>
      </w:pPr>
      <w:r w:rsidRPr="00C308D5">
        <w:rPr>
          <w:rFonts w:cs="Times New Roman"/>
          <w:b/>
          <w:szCs w:val="24"/>
          <w:lang w:val="sr-Cyrl-RS"/>
        </w:rPr>
        <w:t>Резултати пословања јавних предузећа у другом кварталу 2021. године</w:t>
      </w:r>
    </w:p>
    <w:p w14:paraId="3A24677A" w14:textId="77777777" w:rsidR="00611DA0" w:rsidRPr="00C308D5" w:rsidRDefault="00611DA0" w:rsidP="00063909">
      <w:pPr>
        <w:spacing w:after="60"/>
        <w:rPr>
          <w:lang w:val="sr-Cyrl-CS" w:eastAsia="ja-JP"/>
        </w:rPr>
      </w:pPr>
      <w:r w:rsidRPr="00C308D5">
        <w:rPr>
          <w:lang w:val="sr-Cyrl-CS" w:eastAsia="ja-JP"/>
        </w:rPr>
        <w:t xml:space="preserve">Укупан нето резултат утврђен </w:t>
      </w:r>
      <w:r w:rsidRPr="00C308D5">
        <w:rPr>
          <w:lang w:val="sr-Cyrl-RS" w:eastAsia="ja-JP"/>
        </w:rPr>
        <w:t xml:space="preserve">у првој половини 2021. године </w:t>
      </w:r>
      <w:r w:rsidRPr="00C308D5">
        <w:rPr>
          <w:lang w:val="sr-Cyrl-CS" w:eastAsia="ja-JP"/>
        </w:rPr>
        <w:t>је добит у износу од 14,7 млрд динара. Резултат текуће године је прецењен за трошкове амортизације ЈП „Путеви Србије</w:t>
      </w:r>
      <w:r w:rsidRPr="00C308D5">
        <w:rPr>
          <w:bCs/>
          <w:lang w:val="sr-Cyrl-CS" w:eastAsia="ja-JP"/>
        </w:rPr>
        <w:t>”</w:t>
      </w:r>
      <w:r w:rsidRPr="00C308D5">
        <w:rPr>
          <w:lang w:val="sr-Cyrl-CS" w:eastAsia="ja-JP"/>
        </w:rPr>
        <w:t>, јер предузеће ове трошкове књижи тек на крају године у целокупном износу за дату годину.</w:t>
      </w:r>
    </w:p>
    <w:p w14:paraId="21A27483" w14:textId="77777777" w:rsidR="00611DA0" w:rsidRPr="00B313CF" w:rsidRDefault="0075627A" w:rsidP="000C44D1">
      <w:pPr>
        <w:spacing w:after="60" w:line="276" w:lineRule="auto"/>
        <w:rPr>
          <w:rFonts w:eastAsia="MS PGothic" w:cs="Times New Roman"/>
          <w:bCs/>
          <w:lang w:val="sr-Cyrl-CS"/>
        </w:rPr>
      </w:pPr>
      <w:r>
        <w:rPr>
          <w:rFonts w:eastAsia="MS PGothic" w:cs="Times New Roman"/>
          <w:bCs/>
          <w:lang w:val="sr-Cyrl-CS"/>
        </w:rPr>
        <w:t>Табела 1</w:t>
      </w:r>
      <w:r>
        <w:rPr>
          <w:rFonts w:eastAsia="MS PGothic" w:cs="Times New Roman"/>
          <w:bCs/>
        </w:rPr>
        <w:t>3</w:t>
      </w:r>
      <w:r w:rsidR="00611DA0" w:rsidRPr="00B313CF">
        <w:rPr>
          <w:rFonts w:eastAsia="MS PGothic" w:cs="Times New Roman"/>
          <w:bCs/>
          <w:lang w:val="sr-Cyrl-CS"/>
        </w:rPr>
        <w:t>. Главни финансијски показатељи пословања јавних предузећа, млрд дин.</w:t>
      </w:r>
    </w:p>
    <w:tbl>
      <w:tblPr>
        <w:tblW w:w="8968" w:type="dxa"/>
        <w:tblLayout w:type="fixed"/>
        <w:tblLook w:val="04A0" w:firstRow="1" w:lastRow="0" w:firstColumn="1" w:lastColumn="0" w:noHBand="0" w:noVBand="1"/>
      </w:tblPr>
      <w:tblGrid>
        <w:gridCol w:w="4111"/>
        <w:gridCol w:w="2428"/>
        <w:gridCol w:w="2429"/>
      </w:tblGrid>
      <w:tr w:rsidR="00611DA0" w:rsidRPr="00C308D5" w14:paraId="09C043C6" w14:textId="77777777" w:rsidTr="000C44D1">
        <w:trPr>
          <w:trHeight w:val="265"/>
        </w:trPr>
        <w:tc>
          <w:tcPr>
            <w:tcW w:w="4111" w:type="dxa"/>
            <w:tcBorders>
              <w:top w:val="single" w:sz="8" w:space="0" w:color="002060"/>
              <w:left w:val="nil"/>
              <w:bottom w:val="single" w:sz="8" w:space="0" w:color="002060"/>
              <w:right w:val="nil"/>
            </w:tcBorders>
            <w:shd w:val="clear" w:color="auto" w:fill="auto"/>
            <w:noWrap/>
            <w:vAlign w:val="center"/>
            <w:hideMark/>
          </w:tcPr>
          <w:p w14:paraId="705C7A1D"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Опис</w:t>
            </w:r>
          </w:p>
        </w:tc>
        <w:tc>
          <w:tcPr>
            <w:tcW w:w="2428" w:type="dxa"/>
            <w:tcBorders>
              <w:top w:val="single" w:sz="8" w:space="0" w:color="002060"/>
              <w:left w:val="nil"/>
              <w:bottom w:val="single" w:sz="8" w:space="0" w:color="002060"/>
              <w:right w:val="nil"/>
            </w:tcBorders>
            <w:shd w:val="clear" w:color="auto" w:fill="auto"/>
            <w:noWrap/>
            <w:vAlign w:val="center"/>
            <w:hideMark/>
          </w:tcPr>
          <w:p w14:paraId="26C5910A"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2019</w:t>
            </w:r>
          </w:p>
        </w:tc>
        <w:tc>
          <w:tcPr>
            <w:tcW w:w="2429" w:type="dxa"/>
            <w:tcBorders>
              <w:top w:val="single" w:sz="8" w:space="0" w:color="002060"/>
              <w:left w:val="nil"/>
              <w:bottom w:val="single" w:sz="8" w:space="0" w:color="002060"/>
              <w:right w:val="nil"/>
            </w:tcBorders>
            <w:shd w:val="clear" w:color="auto" w:fill="auto"/>
            <w:noWrap/>
            <w:vAlign w:val="center"/>
            <w:hideMark/>
          </w:tcPr>
          <w:p w14:paraId="0459F2B2"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2020</w:t>
            </w:r>
          </w:p>
        </w:tc>
      </w:tr>
      <w:tr w:rsidR="00611DA0" w:rsidRPr="00C308D5" w14:paraId="773DCFB9" w14:textId="77777777" w:rsidTr="000C44D1">
        <w:trPr>
          <w:trHeight w:val="252"/>
        </w:trPr>
        <w:tc>
          <w:tcPr>
            <w:tcW w:w="4111" w:type="dxa"/>
            <w:tcBorders>
              <w:top w:val="nil"/>
              <w:left w:val="nil"/>
              <w:bottom w:val="nil"/>
              <w:right w:val="nil"/>
            </w:tcBorders>
            <w:shd w:val="clear" w:color="auto" w:fill="auto"/>
            <w:noWrap/>
            <w:vAlign w:val="center"/>
            <w:hideMark/>
          </w:tcPr>
          <w:p w14:paraId="2FF4C3BE"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Укупна имовина</w:t>
            </w:r>
          </w:p>
        </w:tc>
        <w:tc>
          <w:tcPr>
            <w:tcW w:w="2428" w:type="dxa"/>
            <w:tcBorders>
              <w:top w:val="nil"/>
              <w:left w:val="nil"/>
              <w:bottom w:val="nil"/>
              <w:right w:val="nil"/>
            </w:tcBorders>
            <w:shd w:val="clear" w:color="auto" w:fill="auto"/>
            <w:noWrap/>
            <w:vAlign w:val="center"/>
            <w:hideMark/>
          </w:tcPr>
          <w:p w14:paraId="5C062E6F"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2.854</w:t>
            </w:r>
          </w:p>
        </w:tc>
        <w:tc>
          <w:tcPr>
            <w:tcW w:w="2429" w:type="dxa"/>
            <w:tcBorders>
              <w:top w:val="nil"/>
              <w:left w:val="nil"/>
              <w:bottom w:val="nil"/>
              <w:right w:val="nil"/>
            </w:tcBorders>
            <w:shd w:val="clear" w:color="auto" w:fill="auto"/>
            <w:noWrap/>
            <w:vAlign w:val="center"/>
            <w:hideMark/>
          </w:tcPr>
          <w:p w14:paraId="74302D11"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2.628</w:t>
            </w:r>
          </w:p>
        </w:tc>
      </w:tr>
      <w:tr w:rsidR="00611DA0" w:rsidRPr="00C308D5" w14:paraId="4F12828C" w14:textId="77777777" w:rsidTr="000C44D1">
        <w:trPr>
          <w:trHeight w:val="252"/>
        </w:trPr>
        <w:tc>
          <w:tcPr>
            <w:tcW w:w="4111" w:type="dxa"/>
            <w:tcBorders>
              <w:top w:val="nil"/>
              <w:left w:val="nil"/>
              <w:bottom w:val="nil"/>
              <w:right w:val="nil"/>
            </w:tcBorders>
            <w:shd w:val="clear" w:color="auto" w:fill="auto"/>
            <w:noWrap/>
            <w:vAlign w:val="center"/>
            <w:hideMark/>
          </w:tcPr>
          <w:p w14:paraId="1956D170"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Сопствени капитал</w:t>
            </w:r>
          </w:p>
        </w:tc>
        <w:tc>
          <w:tcPr>
            <w:tcW w:w="2428" w:type="dxa"/>
            <w:tcBorders>
              <w:top w:val="nil"/>
              <w:left w:val="nil"/>
              <w:bottom w:val="nil"/>
              <w:right w:val="nil"/>
            </w:tcBorders>
            <w:shd w:val="clear" w:color="auto" w:fill="auto"/>
            <w:noWrap/>
            <w:vAlign w:val="center"/>
            <w:hideMark/>
          </w:tcPr>
          <w:p w14:paraId="32AD7873"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1.751</w:t>
            </w:r>
          </w:p>
        </w:tc>
        <w:tc>
          <w:tcPr>
            <w:tcW w:w="2429" w:type="dxa"/>
            <w:tcBorders>
              <w:top w:val="nil"/>
              <w:left w:val="nil"/>
              <w:bottom w:val="nil"/>
              <w:right w:val="nil"/>
            </w:tcBorders>
            <w:shd w:val="clear" w:color="auto" w:fill="auto"/>
            <w:noWrap/>
            <w:vAlign w:val="center"/>
            <w:hideMark/>
          </w:tcPr>
          <w:p w14:paraId="43F2A78C"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1.587</w:t>
            </w:r>
          </w:p>
        </w:tc>
      </w:tr>
      <w:tr w:rsidR="00611DA0" w:rsidRPr="00C308D5" w14:paraId="338F8CDC" w14:textId="77777777" w:rsidTr="000C44D1">
        <w:trPr>
          <w:trHeight w:val="252"/>
        </w:trPr>
        <w:tc>
          <w:tcPr>
            <w:tcW w:w="4111" w:type="dxa"/>
            <w:tcBorders>
              <w:top w:val="nil"/>
              <w:left w:val="nil"/>
              <w:bottom w:val="nil"/>
              <w:right w:val="nil"/>
            </w:tcBorders>
            <w:shd w:val="clear" w:color="auto" w:fill="auto"/>
            <w:noWrap/>
            <w:vAlign w:val="center"/>
            <w:hideMark/>
          </w:tcPr>
          <w:p w14:paraId="142702CA"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Укупни приходи</w:t>
            </w:r>
          </w:p>
        </w:tc>
        <w:tc>
          <w:tcPr>
            <w:tcW w:w="2428" w:type="dxa"/>
            <w:tcBorders>
              <w:top w:val="nil"/>
              <w:left w:val="nil"/>
              <w:bottom w:val="nil"/>
              <w:right w:val="nil"/>
            </w:tcBorders>
            <w:shd w:val="clear" w:color="auto" w:fill="auto"/>
            <w:noWrap/>
            <w:vAlign w:val="center"/>
            <w:hideMark/>
          </w:tcPr>
          <w:p w14:paraId="37A2AF43"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524,3 </w:t>
            </w:r>
          </w:p>
        </w:tc>
        <w:tc>
          <w:tcPr>
            <w:tcW w:w="2429" w:type="dxa"/>
            <w:tcBorders>
              <w:top w:val="nil"/>
              <w:left w:val="nil"/>
              <w:bottom w:val="nil"/>
              <w:right w:val="nil"/>
            </w:tcBorders>
            <w:shd w:val="clear" w:color="auto" w:fill="auto"/>
            <w:noWrap/>
            <w:vAlign w:val="center"/>
            <w:hideMark/>
          </w:tcPr>
          <w:p w14:paraId="772A79CC"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532,7</w:t>
            </w:r>
          </w:p>
        </w:tc>
      </w:tr>
      <w:tr w:rsidR="00611DA0" w:rsidRPr="00C308D5" w14:paraId="77BD8884" w14:textId="77777777" w:rsidTr="000C44D1">
        <w:trPr>
          <w:trHeight w:val="252"/>
        </w:trPr>
        <w:tc>
          <w:tcPr>
            <w:tcW w:w="4111" w:type="dxa"/>
            <w:tcBorders>
              <w:top w:val="nil"/>
              <w:left w:val="nil"/>
              <w:bottom w:val="nil"/>
              <w:right w:val="nil"/>
            </w:tcBorders>
            <w:shd w:val="clear" w:color="auto" w:fill="auto"/>
            <w:noWrap/>
            <w:vAlign w:val="center"/>
            <w:hideMark/>
          </w:tcPr>
          <w:p w14:paraId="251B903E"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Нето добитак</w:t>
            </w:r>
          </w:p>
        </w:tc>
        <w:tc>
          <w:tcPr>
            <w:tcW w:w="2428" w:type="dxa"/>
            <w:tcBorders>
              <w:top w:val="nil"/>
              <w:left w:val="nil"/>
              <w:bottom w:val="nil"/>
              <w:right w:val="nil"/>
            </w:tcBorders>
            <w:shd w:val="clear" w:color="auto" w:fill="auto"/>
            <w:noWrap/>
            <w:vAlign w:val="center"/>
            <w:hideMark/>
          </w:tcPr>
          <w:p w14:paraId="2D795678"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-18,1</w:t>
            </w:r>
          </w:p>
        </w:tc>
        <w:tc>
          <w:tcPr>
            <w:tcW w:w="2429" w:type="dxa"/>
            <w:tcBorders>
              <w:top w:val="nil"/>
              <w:left w:val="nil"/>
              <w:bottom w:val="nil"/>
              <w:right w:val="nil"/>
            </w:tcBorders>
            <w:shd w:val="clear" w:color="auto" w:fill="auto"/>
            <w:noWrap/>
            <w:vAlign w:val="center"/>
            <w:hideMark/>
          </w:tcPr>
          <w:p w14:paraId="22F6F90F"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16,4</w:t>
            </w:r>
          </w:p>
        </w:tc>
      </w:tr>
      <w:tr w:rsidR="00611DA0" w:rsidRPr="00C308D5" w14:paraId="747AE196" w14:textId="77777777" w:rsidTr="000C44D1">
        <w:trPr>
          <w:trHeight w:val="252"/>
        </w:trPr>
        <w:tc>
          <w:tcPr>
            <w:tcW w:w="4111" w:type="dxa"/>
            <w:tcBorders>
              <w:top w:val="nil"/>
              <w:left w:val="nil"/>
              <w:bottom w:val="nil"/>
              <w:right w:val="nil"/>
            </w:tcBorders>
            <w:shd w:val="clear" w:color="auto" w:fill="auto"/>
            <w:noWrap/>
            <w:vAlign w:val="center"/>
            <w:hideMark/>
          </w:tcPr>
          <w:p w14:paraId="3D2B2883"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Субвенције</w:t>
            </w:r>
          </w:p>
        </w:tc>
        <w:tc>
          <w:tcPr>
            <w:tcW w:w="2428" w:type="dxa"/>
            <w:tcBorders>
              <w:top w:val="nil"/>
              <w:left w:val="nil"/>
              <w:bottom w:val="nil"/>
              <w:right w:val="nil"/>
            </w:tcBorders>
            <w:shd w:val="clear" w:color="auto" w:fill="auto"/>
            <w:noWrap/>
            <w:vAlign w:val="center"/>
            <w:hideMark/>
          </w:tcPr>
          <w:p w14:paraId="3BBE0D78"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33,4 </w:t>
            </w:r>
          </w:p>
        </w:tc>
        <w:tc>
          <w:tcPr>
            <w:tcW w:w="2429" w:type="dxa"/>
            <w:tcBorders>
              <w:top w:val="nil"/>
              <w:left w:val="nil"/>
              <w:bottom w:val="nil"/>
              <w:right w:val="nil"/>
            </w:tcBorders>
            <w:shd w:val="clear" w:color="auto" w:fill="auto"/>
            <w:noWrap/>
            <w:vAlign w:val="center"/>
            <w:hideMark/>
          </w:tcPr>
          <w:p w14:paraId="0517934F"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66,5</w:t>
            </w:r>
          </w:p>
        </w:tc>
      </w:tr>
      <w:tr w:rsidR="00611DA0" w:rsidRPr="00C308D5" w14:paraId="1DBA2678" w14:textId="77777777" w:rsidTr="000C44D1">
        <w:trPr>
          <w:trHeight w:val="251"/>
        </w:trPr>
        <w:tc>
          <w:tcPr>
            <w:tcW w:w="4111" w:type="dxa"/>
            <w:tcBorders>
              <w:top w:val="nil"/>
              <w:left w:val="nil"/>
              <w:bottom w:val="single" w:sz="8" w:space="0" w:color="002060"/>
              <w:right w:val="nil"/>
            </w:tcBorders>
            <w:shd w:val="clear" w:color="auto" w:fill="auto"/>
            <w:noWrap/>
            <w:vAlign w:val="center"/>
            <w:hideMark/>
          </w:tcPr>
          <w:p w14:paraId="292D37EC"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Субвенције, без ЈП „Путеви Србије”</w:t>
            </w:r>
          </w:p>
        </w:tc>
        <w:tc>
          <w:tcPr>
            <w:tcW w:w="2428" w:type="dxa"/>
            <w:tcBorders>
              <w:top w:val="nil"/>
              <w:left w:val="nil"/>
              <w:bottom w:val="single" w:sz="8" w:space="0" w:color="002060"/>
              <w:right w:val="nil"/>
            </w:tcBorders>
            <w:shd w:val="clear" w:color="auto" w:fill="auto"/>
            <w:noWrap/>
            <w:vAlign w:val="center"/>
            <w:hideMark/>
          </w:tcPr>
          <w:p w14:paraId="46C71919"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24,3 </w:t>
            </w:r>
          </w:p>
        </w:tc>
        <w:tc>
          <w:tcPr>
            <w:tcW w:w="2429" w:type="dxa"/>
            <w:tcBorders>
              <w:top w:val="nil"/>
              <w:left w:val="nil"/>
              <w:bottom w:val="single" w:sz="8" w:space="0" w:color="002060"/>
              <w:right w:val="nil"/>
            </w:tcBorders>
            <w:shd w:val="clear" w:color="auto" w:fill="auto"/>
            <w:noWrap/>
            <w:vAlign w:val="center"/>
            <w:hideMark/>
          </w:tcPr>
          <w:p w14:paraId="5F1AAF0B"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39,6</w:t>
            </w:r>
          </w:p>
        </w:tc>
      </w:tr>
    </w:tbl>
    <w:p w14:paraId="09628B89" w14:textId="77777777" w:rsidR="00611DA0" w:rsidRPr="00163CD5" w:rsidRDefault="00611DA0" w:rsidP="00611DA0">
      <w:pPr>
        <w:spacing w:before="40" w:line="276" w:lineRule="auto"/>
        <w:rPr>
          <w:rFonts w:eastAsia="MS PGothic" w:cs="Times New Roman"/>
          <w:sz w:val="16"/>
          <w:szCs w:val="18"/>
          <w:lang w:val="sr-Cyrl-CS"/>
        </w:rPr>
      </w:pPr>
      <w:r w:rsidRPr="00C308D5">
        <w:rPr>
          <w:rFonts w:eastAsia="MS PGothic" w:cs="Times New Roman"/>
          <w:sz w:val="16"/>
          <w:szCs w:val="18"/>
          <w:lang w:val="sr-Cyrl-CS"/>
        </w:rPr>
        <w:t>Извор: Финансијски извештаји за 2019. и 2020. годину</w:t>
      </w:r>
    </w:p>
    <w:p w14:paraId="248FB441" w14:textId="77777777" w:rsidR="00611DA0" w:rsidRPr="00C308D5" w:rsidRDefault="00611DA0" w:rsidP="00063909">
      <w:pPr>
        <w:spacing w:after="60"/>
        <w:rPr>
          <w:b/>
          <w:lang w:val="sr-Cyrl-RS" w:eastAsia="ja-JP"/>
        </w:rPr>
      </w:pPr>
      <w:r w:rsidRPr="00C308D5">
        <w:rPr>
          <w:lang w:val="sr-Cyrl-CS" w:eastAsia="ja-JP"/>
        </w:rPr>
        <w:t>У првој половини текуће године добит је остварило 22 пред</w:t>
      </w:r>
      <w:r>
        <w:rPr>
          <w:lang w:val="sr-Cyrl-CS" w:eastAsia="ja-JP"/>
        </w:rPr>
        <w:t xml:space="preserve">узећа у укупном износу од 18,5 </w:t>
      </w:r>
      <w:r w:rsidRPr="00C308D5">
        <w:rPr>
          <w:lang w:val="sr-Cyrl-CS" w:eastAsia="ja-JP"/>
        </w:rPr>
        <w:t>млрд динара, то је више у односу на планирано (</w:t>
      </w:r>
      <w:r w:rsidRPr="00C308D5">
        <w:rPr>
          <w:lang w:val="sr-Latn-RS" w:eastAsia="ja-JP"/>
        </w:rPr>
        <w:t>9,8</w:t>
      </w:r>
      <w:r w:rsidRPr="00C308D5">
        <w:rPr>
          <w:lang w:val="sr-Cyrl-CS" w:eastAsia="ja-JP"/>
        </w:rPr>
        <w:t xml:space="preserve"> млрд динара).</w:t>
      </w:r>
      <w:r w:rsidRPr="00C308D5">
        <w:rPr>
          <w:lang w:val="sr-Latn-RS" w:eastAsia="ja-JP"/>
        </w:rPr>
        <w:t xml:space="preserve"> </w:t>
      </w:r>
      <w:r w:rsidRPr="00C308D5">
        <w:rPr>
          <w:lang w:val="sr-Cyrl-CS" w:eastAsia="ja-JP"/>
        </w:rPr>
        <w:t>Највећи утицај на позитиван нето резултат у посматраном периоду има ЈП „ЕПС”, које је остварило нето добит у износу од 11,2 млрд динара.</w:t>
      </w:r>
    </w:p>
    <w:p w14:paraId="3802DEE8" w14:textId="77777777" w:rsidR="00611DA0" w:rsidRPr="00C308D5" w:rsidRDefault="00611DA0" w:rsidP="00063909">
      <w:pPr>
        <w:spacing w:after="60"/>
        <w:rPr>
          <w:lang w:val="sr-Cyrl-CS" w:eastAsia="ja-JP"/>
        </w:rPr>
      </w:pPr>
      <w:r w:rsidRPr="00C308D5">
        <w:rPr>
          <w:lang w:val="sr-Cyrl-CS" w:eastAsia="ja-JP"/>
        </w:rPr>
        <w:t xml:space="preserve">У циљу умањења фискалних ризика повезаних са пословањем јавних предузећа у току су процеси реструктурирања највећих јавних предузећа (групе предузећа које се баве железничким саобраћајем – „Железнице Србије” а.д, „Инфраструктура железнице Србије” а.д, „Србија Воз” а.д, „Србија Карго” а.д, ЈП ЕПС и ЈП „Србијагас”). Целокупан процес се спроводи у сарадњи за водећим светским финансијским институцијама – ММФ, Светском банком и Европском банком за обнову и развој (у даљем тексту: ЕБРД), </w:t>
      </w:r>
      <w:r w:rsidRPr="00C308D5">
        <w:rPr>
          <w:lang w:val="sr-Cyrl-CS" w:eastAsia="ja-JP"/>
        </w:rPr>
        <w:lastRenderedPageBreak/>
        <w:t>како би се ова предузећа поставила на здраве основе и почела да функционишу по тржишном принципу, те умањили потенцијални фискални трошкови који могу проистећи из њиховог пословања. Поред тога, започет је процес спровођења Акционог плана за спровођење Стратегије државног власништва и управљања привредним субјектима који су у власништву Републике Србије за период од 2021. до 2027. године, у периоду од 2021. до 2023. године, којим је, између осталог, предвиђена свеобухватна корпоратизација јавних предузећа.</w:t>
      </w:r>
    </w:p>
    <w:p w14:paraId="612E3415" w14:textId="77777777" w:rsidR="00611DA0" w:rsidRPr="00C308D5" w:rsidRDefault="00611DA0" w:rsidP="00063909">
      <w:pPr>
        <w:spacing w:after="60"/>
        <w:rPr>
          <w:lang w:val="sr-Cyrl-CS" w:eastAsia="ja-JP"/>
        </w:rPr>
      </w:pPr>
      <w:r w:rsidRPr="00C308D5">
        <w:rPr>
          <w:lang w:val="sr-Cyrl-CS" w:eastAsia="ja-JP"/>
        </w:rPr>
        <w:t>Уплата добити од стране јавних предузећа и дивиденди друштава капитала у којима држава има власништво представљају значајан део непореских прихода. Обавеза за јавна предузећа да уплате најмање 50% добити остварене у претходној години прописана је и Законом о буџету Републике Србије за 20</w:t>
      </w:r>
      <w:r w:rsidRPr="00C308D5">
        <w:rPr>
          <w:lang w:val="sr-Latn-RS" w:eastAsia="ja-JP"/>
        </w:rPr>
        <w:t>21</w:t>
      </w:r>
      <w:r w:rsidRPr="00C308D5">
        <w:rPr>
          <w:lang w:val="sr-Cyrl-CS" w:eastAsia="ja-JP"/>
        </w:rPr>
        <w:t>. годину.</w:t>
      </w:r>
    </w:p>
    <w:p w14:paraId="4491069C" w14:textId="77777777" w:rsidR="00611DA0" w:rsidRPr="00C308D5" w:rsidRDefault="00611DA0" w:rsidP="00063909">
      <w:pPr>
        <w:spacing w:after="60"/>
        <w:rPr>
          <w:lang w:val="sr-Cyrl-RS" w:eastAsia="ja-JP"/>
        </w:rPr>
      </w:pPr>
      <w:r w:rsidRPr="00C308D5">
        <w:rPr>
          <w:lang w:val="sr-Cyrl-RS" w:eastAsia="ja-JP"/>
        </w:rPr>
        <w:t>Пре периода фискалне консолидације Република Србија имала је значајне фискалне трошкове спашавања државних банака. Укупни трошкови државних интервенција у банкарском сектору у периоду 2012–2015. године износили су око 900 милиона евра. То је износ издвојен за докапитализацију банака, различите финансијске трансакције приликом припајања неуспешних банака успешнијим, укључујући и исплату осигураних и неосигураних депозита (за шта су коришћена и средства Фонда за осигурање депозита).</w:t>
      </w:r>
    </w:p>
    <w:p w14:paraId="0AB7679E"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Република Србија данас у банкарском сектору земље има директан удео у капиталу:</w:t>
      </w:r>
    </w:p>
    <w:p w14:paraId="390EBCD0" w14:textId="77777777" w:rsidR="00611DA0" w:rsidRPr="00C308D5" w:rsidRDefault="00611DA0" w:rsidP="004D22FA">
      <w:pPr>
        <w:numPr>
          <w:ilvl w:val="0"/>
          <w:numId w:val="14"/>
        </w:numPr>
        <w:ind w:left="454" w:hanging="227"/>
        <w:contextualSpacing/>
        <w:jc w:val="left"/>
        <w:rPr>
          <w:rFonts w:eastAsia="MS PGothic" w:cs="Times New Roman"/>
          <w:szCs w:val="24"/>
          <w:lang w:val="sr-Cyrl-RS" w:eastAsia="ja-JP"/>
        </w:rPr>
      </w:pPr>
      <w:r w:rsidRPr="00C308D5">
        <w:rPr>
          <w:rFonts w:eastAsia="MS PGothic" w:cs="Times New Roman"/>
          <w:szCs w:val="24"/>
          <w:lang w:val="sr-Cyrl-RS" w:eastAsia="ja-JP"/>
        </w:rPr>
        <w:t>Банке Поштанска штедионица а.д. Београд (71,04%),</w:t>
      </w:r>
    </w:p>
    <w:p w14:paraId="056E5C0C" w14:textId="77777777" w:rsidR="00611DA0" w:rsidRPr="00C308D5" w:rsidRDefault="00611DA0" w:rsidP="004D22FA">
      <w:pPr>
        <w:numPr>
          <w:ilvl w:val="0"/>
          <w:numId w:val="14"/>
        </w:numPr>
        <w:ind w:left="454" w:hanging="227"/>
        <w:jc w:val="left"/>
        <w:rPr>
          <w:rFonts w:eastAsia="MS PGothic" w:cs="Times New Roman"/>
          <w:szCs w:val="24"/>
          <w:lang w:val="sr-Cyrl-RS" w:eastAsia="ja-JP"/>
        </w:rPr>
      </w:pPr>
      <w:r w:rsidRPr="00C308D5">
        <w:rPr>
          <w:rFonts w:eastAsia="MS PGothic" w:cs="Times New Roman"/>
          <w:szCs w:val="24"/>
          <w:lang w:val="sr-Cyrl-RS" w:eastAsia="ja-JP"/>
        </w:rPr>
        <w:t>Српске банке а.д</w:t>
      </w:r>
      <w:r w:rsidRPr="00C308D5">
        <w:rPr>
          <w:rFonts w:eastAsia="MS PGothic" w:cs="Times New Roman"/>
          <w:szCs w:val="24"/>
          <w:lang w:val="sr-Latn-RS" w:eastAsia="ja-JP"/>
        </w:rPr>
        <w:t>.</w:t>
      </w:r>
      <w:r w:rsidRPr="00C308D5">
        <w:rPr>
          <w:rFonts w:eastAsia="MS PGothic" w:cs="Times New Roman"/>
          <w:szCs w:val="24"/>
          <w:lang w:val="sr-Cyrl-RS" w:eastAsia="ja-JP"/>
        </w:rPr>
        <w:t xml:space="preserve"> Београд (76,69%).</w:t>
      </w:r>
    </w:p>
    <w:p w14:paraId="75CDDBB9" w14:textId="77777777" w:rsidR="00611DA0" w:rsidRPr="00C308D5" w:rsidRDefault="00611DA0" w:rsidP="00063909">
      <w:pPr>
        <w:spacing w:after="60"/>
        <w:rPr>
          <w:lang w:val="sr-Cyrl-RS" w:eastAsia="ja-JP"/>
        </w:rPr>
      </w:pPr>
      <w:r w:rsidRPr="00C308D5">
        <w:rPr>
          <w:lang w:val="sr-Cyrl-RS" w:eastAsia="ja-JP"/>
        </w:rPr>
        <w:t>Уз подршку Светске банке наставиће се са спровођењем стратегије за Банку Поштанска штедионица са нагласком на преусмеравање пословања са становништвом, предузетницима, микропредузећима и малим предузећима; побољшање интерне организације банке, корпоративног управљања и управљања ризиком; јачање ИТ инфраструктуре, као и план пословања за период 2021–2025. године. Што се тиче Српске банке, у</w:t>
      </w:r>
      <w:r w:rsidRPr="00C308D5">
        <w:rPr>
          <w:spacing w:val="-2"/>
          <w:lang w:val="sr-Cyrl-RS" w:eastAsia="ja-JP"/>
        </w:rPr>
        <w:t xml:space="preserve"> складу са Владином стратегијом за државне банке, формирана је Стручна радна група за трансформацију исте у специјализовану финансијску институцију за пружање свих врста финансијских услуга и подршке наменској индустрији Републике Србије дана 21. јануара 2019. године и почела је са формалним радом у марту 2019. године када је одржана конститутивна седница.</w:t>
      </w:r>
    </w:p>
    <w:p w14:paraId="75733E37" w14:textId="77777777" w:rsidR="00611DA0" w:rsidRPr="00C308D5" w:rsidRDefault="00611DA0" w:rsidP="00063909">
      <w:pPr>
        <w:spacing w:after="60"/>
        <w:rPr>
          <w:lang w:val="sr-Cyrl-RS" w:eastAsia="ja-JP"/>
        </w:rPr>
      </w:pPr>
      <w:r w:rsidRPr="00C308D5">
        <w:rPr>
          <w:lang w:val="sr-Cyrl-RS" w:eastAsia="ja-JP"/>
        </w:rPr>
        <w:t>Комерцијална банка. Дана 26. фебруара 2020. године закључен је Уговор о купопродаји 83,23% обичних акција Комерцијалне банке а.д. Београд између Републике Србије и Nove Ljubljanske banke d.d. Ljubljana. Завршетак трансакције (пренос власништва и исплата купопродајне цене) реализован је 30. децембра 2020. године.</w:t>
      </w:r>
    </w:p>
    <w:p w14:paraId="6126C77A" w14:textId="77777777" w:rsidR="00611DA0" w:rsidRPr="00C308D5" w:rsidRDefault="00611DA0" w:rsidP="00063909">
      <w:pPr>
        <w:spacing w:after="60"/>
        <w:rPr>
          <w:lang w:val="sr-Cyrl-RS" w:eastAsia="ja-JP"/>
        </w:rPr>
      </w:pPr>
      <w:r w:rsidRPr="00C308D5">
        <w:rPr>
          <w:lang w:val="sr-Cyrl-RS" w:eastAsia="ja-JP"/>
        </w:rPr>
        <w:t>Реформа прописа који уређују српски финансијски систем</w:t>
      </w:r>
      <w:r w:rsidRPr="00C308D5">
        <w:rPr>
          <w:vertAlign w:val="superscript"/>
          <w:lang w:val="sr-Cyrl-RS" w:eastAsia="ja-JP"/>
        </w:rPr>
        <w:footnoteReference w:id="12"/>
      </w:r>
      <w:r w:rsidRPr="00C308D5">
        <w:rPr>
          <w:vertAlign w:val="superscript"/>
          <w:lang w:val="sr-Cyrl-RS" w:eastAsia="ja-JP"/>
        </w:rPr>
        <w:t xml:space="preserve"> </w:t>
      </w:r>
      <w:r w:rsidRPr="00C308D5">
        <w:rPr>
          <w:lang w:val="sr-Cyrl-RS" w:eastAsia="ja-JP"/>
        </w:rPr>
        <w:t>спроведена је фебруара 2015. године. Једна од карактеристика те реформе јесте и пренос надлежности праћења резултата пословања и рада органа управљања 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њима, са АОД на Министарство финансија, почев од 1. априла 2015. године. Реформом прописа је у домаћу регулативу транспонована и Директива о реструктурирању банака (</w:t>
      </w:r>
      <w:r w:rsidRPr="00C308D5">
        <w:rPr>
          <w:i/>
          <w:lang w:val="en-GB" w:eastAsia="ja-JP"/>
        </w:rPr>
        <w:t>Bank Recovery and Resolution Directive</w:t>
      </w:r>
      <w:r w:rsidRPr="00C308D5">
        <w:rPr>
          <w:lang w:val="sr-Cyrl-RS" w:eastAsia="ja-JP"/>
        </w:rPr>
        <w:t xml:space="preserve"> – BRRD) и функција реструктурирања банака поверена је НБС. У децембру 2016. године усвојен је сет прописа којима се у домаћи регулаторни оквир имплементирају Базел III стандарди, чиме је постигнут значајан степен усклађености </w:t>
      </w:r>
      <w:r w:rsidRPr="00C308D5">
        <w:rPr>
          <w:lang w:val="sr-Cyrl-RS" w:eastAsia="ja-JP"/>
        </w:rPr>
        <w:lastRenderedPageBreak/>
        <w:t>домаћих прописа са релевантним прописима ЕУ у овој области, а током 2017. године се наставило са активностима на унапређењу домаћих прописа којима се уређује пословање банака, а у циљу њиховог даљег усклађивања са прописима ЕУ. Основни циљеви усвајања ових прописа су повећање отпорности банкарског сектора повећањем квалитета капитала и увођењем заштитних слојева капитала, боље праћење и контрола изложености банке ризику ликвидности, даље јачање тржишне дисциплине и транспарентности пословања банака у Републици Србији објављивањем свих релевантних информација о пословању банке, као и прилагођавање извештајног система новим регулаторним решењима.</w:t>
      </w:r>
    </w:p>
    <w:p w14:paraId="27BF8B22"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Један од ограничавајућих фактора за раст кредитне активности представљао је релативно висок ниво проблематичних кредита. У августу 2015. године усвојена је Стратегија за решавање проблематичних кредита која се спроводи имплементацијом два трогодишња акциона плана, један припремљен од стране Владе и други припремљен од стране НБС, у циљу спуштања нивоа проблематичних кредита. Кључне области имплементације подразумевале су јачање капацитета банака за решавање проблематичних кредита, унапређење регулативе за процену вредности средстава обезбеђења, развој тржишта проблематичних кредита и др.</w:t>
      </w:r>
    </w:p>
    <w:p w14:paraId="7A495BD5"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Од доношења поменуте стратегије, усвојен је и измењен већи број законских и подзаконских аката, унапређен је институционални капацитет и спроведене су бројне мере за лакши отпис и пренос ненаплативих потраживања. Стварањем стабилних услова пословања, српска економија је ушла у инвестициони циклус 2015. године, и од тада инвестиције по обиму представљају добар део раста економије. Профитабилност привреде расте у условима ниске и стабилне инфлације и релативно</w:t>
      </w:r>
      <w:r w:rsidRPr="00C308D5">
        <w:rPr>
          <w:rFonts w:eastAsia="Calibri" w:cs="Times New Roman"/>
          <w:szCs w:val="24"/>
          <w:lang w:val="sr-Cyrl-RS" w:eastAsia="ja-JP"/>
        </w:rPr>
        <w:t xml:space="preserve"> </w:t>
      </w:r>
      <w:r w:rsidRPr="00C308D5">
        <w:rPr>
          <w:rFonts w:eastAsia="MS PGothic" w:cs="Times New Roman"/>
          <w:szCs w:val="24"/>
          <w:lang w:val="sr-Cyrl-RS" w:eastAsia="ja-JP"/>
        </w:rPr>
        <w:t>стабилног курса. Све су то били кључни фактори за одрживо решавање питања проблематичних кредита. То се јасно види и из чињенице да је у гранама које су и носиоци раста, забележен и највећи пад проблематичних кредита – што је евидентно у прерађивачкој индустрији и грађевинарству.</w:t>
      </w:r>
    </w:p>
    <w:p w14:paraId="6B54FB54"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Осигурање депозита је механизам који доприноси очувању финансијске стабилности и обезбеђује заштиту депонената. Систем осигурања депозита обезбеђује да се сваком заштићеном депоненту</w:t>
      </w:r>
      <w:r w:rsidRPr="00C308D5">
        <w:rPr>
          <w:rFonts w:eastAsia="MS PGothic" w:cs="Times New Roman"/>
          <w:szCs w:val="24"/>
          <w:vertAlign w:val="superscript"/>
          <w:lang w:val="sr-Cyrl-RS" w:eastAsia="ja-JP"/>
        </w:rPr>
        <w:footnoteReference w:id="13"/>
      </w:r>
      <w:r w:rsidRPr="00C308D5">
        <w:rPr>
          <w:rFonts w:eastAsia="MS PGothic" w:cs="Times New Roman"/>
          <w:szCs w:val="24"/>
          <w:lang w:val="sr-Cyrl-RS" w:eastAsia="ja-JP"/>
        </w:rPr>
        <w:t xml:space="preserve"> исплати целокупан износ улога у свакој банци до осигураног износа од 50.000 евра у случају стечаја или ликвидације банке. Осигурање депозита регулисано је Законом о осигурању депозита. Гаранција исплате осигураних депозита од стране државе, било директно средствима из буџета, или индиректно издавањем гаранција за задуживање АОД, извор је фискалних ризика и могућих фискалних трошкова. Међутим, захваљујући постигнутој стабилности банкарског сектора, од 2015. године није било потребе за коришћењем средстава фонда за осигурање депозита, нити државе по основу исплата осигураних износа депозита.</w:t>
      </w:r>
    </w:p>
    <w:p w14:paraId="363AB695" w14:textId="77777777" w:rsidR="00611DA0" w:rsidRPr="00C308D5" w:rsidRDefault="00611DA0" w:rsidP="00063909">
      <w:pPr>
        <w:spacing w:after="60"/>
        <w:rPr>
          <w:lang w:val="sr-Cyrl-RS" w:eastAsia="ja-JP"/>
        </w:rPr>
      </w:pPr>
      <w:r w:rsidRPr="00C308D5">
        <w:rPr>
          <w:lang w:val="sr-Cyrl-RS" w:eastAsia="ja-JP"/>
        </w:rPr>
        <w:t>Остварени резултати банкарског сектора Републике Србије на крају 201</w:t>
      </w:r>
      <w:r w:rsidRPr="00C308D5">
        <w:rPr>
          <w:lang w:val="en-GB" w:eastAsia="ja-JP"/>
        </w:rPr>
        <w:t>9</w:t>
      </w:r>
      <w:r w:rsidRPr="00C308D5">
        <w:rPr>
          <w:lang w:val="sr-Cyrl-RS" w:eastAsia="ja-JP"/>
        </w:rPr>
        <w:t>. и 20</w:t>
      </w:r>
      <w:r w:rsidRPr="00C308D5">
        <w:rPr>
          <w:lang w:val="en-GB" w:eastAsia="ja-JP"/>
        </w:rPr>
        <w:t>20</w:t>
      </w:r>
      <w:r w:rsidRPr="00C308D5">
        <w:rPr>
          <w:lang w:val="sr-Cyrl-RS" w:eastAsia="ja-JP"/>
        </w:rPr>
        <w:t xml:space="preserve">. године приказују </w:t>
      </w:r>
      <w:r w:rsidRPr="00C308D5">
        <w:rPr>
          <w:lang w:val="en-GB" w:eastAsia="ja-JP"/>
        </w:rPr>
        <w:t>o</w:t>
      </w:r>
      <w:r w:rsidRPr="00C308D5">
        <w:rPr>
          <w:lang w:val="sr-Cyrl-RS" w:eastAsia="ja-JP"/>
        </w:rPr>
        <w:t>падајућу профитабилност банака. Банкарски сектор Републике Србије је у 2020. години пословао профитабилно, са нето добитком пре опорезивања у износу од 46,1 милијарди динара, што је за 32</w:t>
      </w:r>
      <w:r w:rsidRPr="00C308D5" w:rsidDel="0038406A">
        <w:rPr>
          <w:lang w:val="sr-Cyrl-RS" w:eastAsia="ja-JP"/>
        </w:rPr>
        <w:t xml:space="preserve"> </w:t>
      </w:r>
      <w:r w:rsidRPr="00C308D5">
        <w:rPr>
          <w:lang w:val="sr-Cyrl-RS" w:eastAsia="ja-JP"/>
        </w:rPr>
        <w:t xml:space="preserve">% мање од резултата оствареног на крају 2019. године када је нето добитак пре опорезивања износио 67,7 милијарди динара. Банкарски сектор Републике Србије адекватно је капитализован како са становишта оствареног нивоа показатеља адекватности капитала тако и са становишта структуре регулаторног капитала. На крају 2020. године, просечна вредност показатеља адекватности капитала на нивоу банкарског сектора Републике Србије износила је 22,42% (22,3% у марту 2021. године), што је значајно изнад прописаног регулаторног минимума од 8% и више него </w:t>
      </w:r>
      <w:r w:rsidRPr="00C308D5">
        <w:rPr>
          <w:lang w:val="sr-Cyrl-RS" w:eastAsia="ja-JP"/>
        </w:rPr>
        <w:lastRenderedPageBreak/>
        <w:t>довољно за покриће свих ризика којима је сектор изложен, што потврђују и макропруденцијални стрес тестови које НБС редовно спроводи.</w:t>
      </w:r>
    </w:p>
    <w:p w14:paraId="057B4FB8" w14:textId="0BD2AA76" w:rsidR="00611DA0" w:rsidRPr="00342544" w:rsidRDefault="00611DA0" w:rsidP="00063909">
      <w:pPr>
        <w:spacing w:after="60"/>
        <w:rPr>
          <w:lang w:val="sr-Latn-RS" w:eastAsia="ja-JP"/>
        </w:rPr>
      </w:pPr>
      <w:r w:rsidRPr="00C308D5">
        <w:rPr>
          <w:lang w:val="sr-Cyrl-RS" w:eastAsia="ja-JP"/>
        </w:rPr>
        <w:t xml:space="preserve">Имајући у виду ситуацију насталу проглашењем ванредног стања у Републици Србији, како би се омогућило ублажавање економских и финансијских последица насталих услед пандемије болести </w:t>
      </w:r>
      <w:r w:rsidR="0063502F">
        <w:rPr>
          <w:szCs w:val="24"/>
          <w:lang w:val="sr-Cyrl-RS"/>
        </w:rPr>
        <w:t>Ковид</w:t>
      </w:r>
      <w:r w:rsidRPr="00C308D5">
        <w:rPr>
          <w:lang w:val="sr-Cyrl-RS" w:eastAsia="ja-JP"/>
        </w:rPr>
        <w:t xml:space="preserve">-19 изазване вирусом </w:t>
      </w:r>
      <w:r w:rsidR="0063502F">
        <w:rPr>
          <w:lang w:val="sr-Cyrl-RS" w:eastAsia="ja-JP"/>
        </w:rPr>
        <w:t>Ковид-19</w:t>
      </w:r>
      <w:r w:rsidRPr="00C308D5">
        <w:rPr>
          <w:lang w:val="sr-Cyrl-RS" w:eastAsia="ja-JP"/>
        </w:rPr>
        <w:t xml:space="preserve"> предузете су мере подршке привреди које су имале за циљ повећање ликвидности привредних субјеката, укључујућии пољопривредна газдинства, предузетнике, микро, мала и средња привредно друштво у складу са законом којим се уређује рачуноводство</w:t>
      </w:r>
      <w:r>
        <w:rPr>
          <w:lang w:val="sr-Latn-RS" w:eastAsia="ja-JP"/>
        </w:rPr>
        <w:t>.</w:t>
      </w:r>
    </w:p>
    <w:p w14:paraId="66ADF44C" w14:textId="4297F0CB" w:rsidR="00611DA0" w:rsidRPr="00C308D5" w:rsidRDefault="00611DA0" w:rsidP="00063909">
      <w:pPr>
        <w:spacing w:after="60"/>
        <w:rPr>
          <w:lang w:val="sr-Cyrl-RS" w:eastAsia="ja-JP"/>
        </w:rPr>
      </w:pPr>
      <w:r w:rsidRPr="00C308D5">
        <w:rPr>
          <w:lang w:val="sr-Cyrl-RS" w:eastAsia="ja-JP"/>
        </w:rPr>
        <w:t xml:space="preserve">Једна од мера јесте била и доношење Закона о утврђивању гарантне шеме (донет у децембру 2020) као мера подршке привреди за ублажавање последица пандемије болести </w:t>
      </w:r>
      <w:r w:rsidR="0063502F">
        <w:rPr>
          <w:szCs w:val="24"/>
          <w:lang w:val="sr-Cyrl-RS"/>
        </w:rPr>
        <w:t>Ковид</w:t>
      </w:r>
      <w:r w:rsidRPr="00C308D5">
        <w:rPr>
          <w:lang w:val="sr-Cyrl-RS" w:eastAsia="ja-JP"/>
        </w:rPr>
        <w:t xml:space="preserve">-19 изазване вирусом </w:t>
      </w:r>
      <w:r w:rsidR="0063502F">
        <w:rPr>
          <w:lang w:val="sr-Cyrl-RS" w:eastAsia="ja-JP"/>
        </w:rPr>
        <w:t>Ковид-19</w:t>
      </w:r>
      <w:r w:rsidRPr="00C308D5">
        <w:rPr>
          <w:lang w:val="sr-Cyrl-RS" w:eastAsia="ja-JP"/>
        </w:rPr>
        <w:t xml:space="preserve">. Република Србија је препознала потребу за одобравањем додатних 500 милиона евра помоћи, у циљу одржавања ликвидности чиме ће укупан износ средстава пласираних путем </w:t>
      </w:r>
      <w:r w:rsidRPr="00C308D5">
        <w:rPr>
          <w:lang w:val="sr-Latn-RS" w:eastAsia="ja-JP"/>
        </w:rPr>
        <w:t xml:space="preserve">I </w:t>
      </w:r>
      <w:r w:rsidRPr="00C308D5">
        <w:rPr>
          <w:lang w:val="sr-Cyrl-RS" w:eastAsia="ja-JP"/>
        </w:rPr>
        <w:t>гарантне шеме достићи износ од 2,5 милијарде евра. Уговор о гаранцији Републике Србије до сада су потписале 2</w:t>
      </w:r>
      <w:r w:rsidRPr="00C308D5">
        <w:rPr>
          <w:lang w:val="en-GB" w:eastAsia="ja-JP"/>
        </w:rPr>
        <w:t>4</w:t>
      </w:r>
      <w:r w:rsidRPr="00C308D5">
        <w:rPr>
          <w:lang w:val="sr-Cyrl-RS" w:eastAsia="ja-JP"/>
        </w:rPr>
        <w:t xml:space="preserve"> банке, којима је пласирано предвиђених 2,5 милијарди евра, док су саме Банке пласирале кли</w:t>
      </w:r>
      <w:r>
        <w:rPr>
          <w:lang w:val="sr-Cyrl-RS" w:eastAsia="ja-JP"/>
        </w:rPr>
        <w:t>јентима око 2,1 милијарди евра.</w:t>
      </w:r>
    </w:p>
    <w:p w14:paraId="3A81F920" w14:textId="77777777" w:rsidR="00611DA0" w:rsidRPr="00C308D5" w:rsidRDefault="00611DA0" w:rsidP="00063909">
      <w:pPr>
        <w:spacing w:after="60"/>
        <w:rPr>
          <w:lang w:val="sr-Cyrl-CS" w:eastAsia="ja-JP"/>
        </w:rPr>
      </w:pPr>
      <w:r w:rsidRPr="00C308D5">
        <w:rPr>
          <w:lang w:val="sr-Cyrl-CS" w:eastAsia="ja-JP"/>
        </w:rPr>
        <w:t>Постоје значајни фискални ризици по основу судских одлука, домаћих и међународних судова, казни и накнада штете од стране државних органа. Република Србија је по основу судских одлука у периоду 2009–2018. године из буџета платила 80,5 млрд динара . У 2019. години по основу судских одлука плаћено је 17,6 млрд динара из буџета Републике Србије. У току 2020. године по основу судских одлука плаћено је 22,9 млрд динара, док је за првих осам месеци 2021. године плаћено из буџета по основу судских спорова 8,5 млрд динара. Одлука Европског суда за људска права обавезала је Републику Србију да исплати јавни дуг по основу неисплаћене девизне штедње коју су држављани бивших република СФРЈ и држављани Републике Србије положили код банака са седиштем на територији Републике Србије и њиховим филијалама на територијама бивших република СФРЈ. Такође, потенцијалне обавезе могу проистећи и из одлука Уставног суда по основу поднетих уставних жалби и одлука Европског суда за људска права по поднетим представкама радника некадашњих друштвених предузећа (неисплаћене зараде, доприноси за обавезно социјално осигурање, затезне камате, трошкови поступка, потраживања по основу комерцијалних трансакција).</w:t>
      </w:r>
    </w:p>
    <w:p w14:paraId="273F2196" w14:textId="77777777" w:rsidR="00611DA0" w:rsidRPr="00C308D5" w:rsidRDefault="00611DA0" w:rsidP="00063909">
      <w:pPr>
        <w:spacing w:after="60"/>
        <w:rPr>
          <w:lang w:val="sr-Cyrl-RS" w:eastAsia="ja-JP"/>
        </w:rPr>
      </w:pPr>
      <w:r w:rsidRPr="00C308D5">
        <w:rPr>
          <w:lang w:val="sr-Cyrl-CS" w:eastAsia="ja-JP"/>
        </w:rPr>
        <w:t>Стално присутан ризик од елементарних непогода и природних катастрофа обавезује улагање у програме превенције како би се умањили потенцијални фискални трошкови за отклањање штета насталих по том основу. Под превенцијом се мисли на укључивање ширег спектра финансијских инструмената (као што су резервни фондови, потенцијалне кредитне линије, а нарочито осигурање) који треба да буду на располагању држави. Република Србија се у 2014. суочила са катастрофалним последицама поплава, чија је укупна штета (са губицима) процењена на више од 1,7 млрд евра. Влада је у децембру 2014. усвојила Национални програм за управљање ризицима од елементарних непогода, који ће бити реализован у сарадњи са Светском банком, Уједињеним нацијама и ЕУ. У оквиру Националног програма, новембра 2018. године је донет још један кровни закон који се бави проблематиком елементарних непогода и катастрофа, Закон о смањењу ризика од катастрофа и управљању ванредним ситуацијама. Република Србија је у 2019. години платила из буџета 4,22 млрд динара за накнаде штете за повреде или штете настале услед елементарних непогода или других природних узрока. У току 2020. године за ову намену издвојено је 2,8 млрд динара</w:t>
      </w:r>
      <w:r w:rsidRPr="00C308D5">
        <w:rPr>
          <w:lang w:val="en-GB" w:eastAsia="ja-JP"/>
        </w:rPr>
        <w:t xml:space="preserve">, док је за првих осам месеци 2021. </w:t>
      </w:r>
      <w:r w:rsidRPr="00C308D5">
        <w:rPr>
          <w:lang w:val="sr-Cyrl-RS" w:eastAsia="ja-JP"/>
        </w:rPr>
        <w:t>г</w:t>
      </w:r>
      <w:r w:rsidRPr="00C308D5">
        <w:rPr>
          <w:lang w:val="en-GB" w:eastAsia="ja-JP"/>
        </w:rPr>
        <w:t xml:space="preserve">одине </w:t>
      </w:r>
      <w:r w:rsidRPr="00C308D5">
        <w:rPr>
          <w:lang w:val="sr-Cyrl-RS" w:eastAsia="ja-JP"/>
        </w:rPr>
        <w:t>износ потрошен на ове намене 247,4 милиона динара.</w:t>
      </w:r>
    </w:p>
    <w:p w14:paraId="3BF82C9E" w14:textId="77777777" w:rsidR="00611DA0" w:rsidRPr="00C308D5" w:rsidRDefault="00611DA0" w:rsidP="00063909">
      <w:pPr>
        <w:spacing w:after="60"/>
        <w:rPr>
          <w:lang w:val="sr-Cyrl-RS" w:eastAsia="ja-JP"/>
        </w:rPr>
      </w:pPr>
      <w:r w:rsidRPr="00C308D5">
        <w:rPr>
          <w:lang w:val="sr-Cyrl-CS" w:eastAsia="ja-JP"/>
        </w:rPr>
        <w:t xml:space="preserve">Како је раније наведено, усвојена је Јединствена методологије за праћење фискалних ризика у Републици Србији, у оквиру које су и Методологија за праћење фискалних </w:t>
      </w:r>
      <w:r w:rsidRPr="00C308D5">
        <w:rPr>
          <w:lang w:val="sr-Cyrl-CS" w:eastAsia="ja-JP"/>
        </w:rPr>
        <w:lastRenderedPageBreak/>
        <w:t>ризика који се јављају као последица елементарних непогода и Методологија за праћење фискалних ризика по основу судских поступака.</w:t>
      </w:r>
    </w:p>
    <w:p w14:paraId="2F5A223B" w14:textId="77777777" w:rsidR="005F26DA" w:rsidRPr="000E0422" w:rsidRDefault="005F26DA" w:rsidP="007B2ED1">
      <w:pPr>
        <w:spacing w:line="276" w:lineRule="auto"/>
        <w:rPr>
          <w:rFonts w:eastAsia="MS PGothic" w:cs="Times New Roman"/>
          <w:b/>
          <w:szCs w:val="24"/>
          <w:lang w:val="sr-Cyrl-RS" w:eastAsia="ja-JP"/>
        </w:rPr>
      </w:pPr>
      <w:r w:rsidRPr="000E0422">
        <w:rPr>
          <w:rFonts w:eastAsia="MS PGothic" w:cs="Times New Roman"/>
          <w:b/>
          <w:szCs w:val="24"/>
          <w:lang w:val="sr-Cyrl-RS" w:eastAsia="ja-JP"/>
        </w:rPr>
        <w:t>Алтернативни сценарио фискалних кретања у периоду 2021–2024. године</w:t>
      </w:r>
    </w:p>
    <w:p w14:paraId="2FE00FB2" w14:textId="77777777" w:rsidR="005F26DA" w:rsidRPr="000E0422" w:rsidRDefault="005F26DA" w:rsidP="00063909">
      <w:pPr>
        <w:spacing w:after="60"/>
        <w:rPr>
          <w:lang w:val="sr-Cyrl-RS" w:eastAsia="ja-JP"/>
        </w:rPr>
      </w:pPr>
      <w:r w:rsidRPr="000E0422">
        <w:rPr>
          <w:lang w:val="sr-Cyrl-RS" w:eastAsia="ja-JP"/>
        </w:rPr>
        <w:t>На следећем графикону приказано је кретање учешћа дефицита и јавног дуга у БДП на основу алтернативног макроекономског сценарија , а који подразумева стопе раста од 2,0%, 3,0% и 3,5% у наредном трогодишњем периоду.</w:t>
      </w:r>
    </w:p>
    <w:p w14:paraId="41C6E679" w14:textId="77777777" w:rsidR="005F26DA" w:rsidRPr="000E0422" w:rsidRDefault="00D07445" w:rsidP="00563037">
      <w:pPr>
        <w:rPr>
          <w:lang w:val="sr-Cyrl-RS" w:eastAsia="ja-JP"/>
        </w:rPr>
      </w:pPr>
      <w:r>
        <w:rPr>
          <w:lang w:val="sr-Cyrl-RS" w:eastAsia="ja-JP"/>
        </w:rPr>
        <w:t>Графикон 16</w:t>
      </w:r>
      <w:r w:rsidR="005F26DA" w:rsidRPr="000E0422">
        <w:rPr>
          <w:lang w:val="sr-Cyrl-RS" w:eastAsia="ja-JP"/>
        </w:rPr>
        <w:t>. Основни и алтернативни сценарио фискалних кретања у периоду 2021–2024. године</w:t>
      </w:r>
    </w:p>
    <w:p w14:paraId="06847C63" w14:textId="77777777" w:rsidR="005F26DA" w:rsidRPr="000E0422" w:rsidRDefault="005F26DA" w:rsidP="00204287">
      <w:pPr>
        <w:spacing w:line="276" w:lineRule="auto"/>
        <w:rPr>
          <w:rFonts w:eastAsia="MS PGothic" w:cs="Times New Roman"/>
          <w:szCs w:val="24"/>
          <w:lang w:val="sr-Cyrl-RS" w:eastAsia="ja-JP"/>
        </w:rPr>
      </w:pPr>
      <w:r w:rsidRPr="000E0422">
        <w:rPr>
          <w:noProof/>
        </w:rPr>
        <w:drawing>
          <wp:inline distT="0" distB="0" distL="0" distR="0" wp14:anchorId="47BD4262" wp14:editId="42A88D68">
            <wp:extent cx="5943600" cy="2784144"/>
            <wp:effectExtent l="0" t="0" r="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A49FEF" w14:textId="77777777" w:rsidR="005F26DA" w:rsidRPr="000E0422" w:rsidRDefault="005F26DA" w:rsidP="00063909">
      <w:pPr>
        <w:spacing w:after="60"/>
        <w:rPr>
          <w:lang w:val="sr-Cyrl-RS" w:eastAsia="ja-JP"/>
        </w:rPr>
      </w:pPr>
      <w:r w:rsidRPr="000E0422">
        <w:rPr>
          <w:lang w:val="sr-Cyrl-RS" w:eastAsia="ja-JP"/>
        </w:rPr>
        <w:t>Спорији раст</w:t>
      </w:r>
      <w:r w:rsidR="00CA5273">
        <w:rPr>
          <w:lang w:val="sr-Cyrl-RS" w:eastAsia="ja-JP"/>
        </w:rPr>
        <w:t xml:space="preserve"> привредне активности утицао би пре свега ба приходну страну буџета,</w:t>
      </w:r>
      <w:r w:rsidRPr="000E0422">
        <w:rPr>
          <w:lang w:val="sr-Cyrl-RS" w:eastAsia="ja-JP"/>
        </w:rPr>
        <w:t xml:space="preserve"> превасходно на на приходе по основу рада и порезе на потрошњу. </w:t>
      </w:r>
      <w:r w:rsidR="00CA5273">
        <w:rPr>
          <w:lang w:val="sr-Cyrl-RS" w:eastAsia="ja-JP"/>
        </w:rPr>
        <w:t>Значајно успоравање средњорочне путање раста</w:t>
      </w:r>
      <w:r w:rsidRPr="000E0422">
        <w:rPr>
          <w:lang w:val="sr-Cyrl-RS" w:eastAsia="ja-JP"/>
        </w:rPr>
        <w:t xml:space="preserve"> БДП довела би до вишег нивоа дефицита и јавног дуга, у односу на основни сценарио. Ниво дефицита би се стабилизовао на око 3% БДП, а самим тим и ниво јавног дуга, између 58 и 59% БДП. Претпоставка у овом сценарију је да би политика кретања плата и пензија, као и номинални износи предвиђени за капиталне инвестиције, били исти као у основном сценарију.</w:t>
      </w:r>
    </w:p>
    <w:p w14:paraId="7D984F9D" w14:textId="77777777" w:rsidR="005F26DA" w:rsidRPr="000E0422" w:rsidRDefault="005F26DA" w:rsidP="00063909">
      <w:pPr>
        <w:spacing w:line="276" w:lineRule="auto"/>
        <w:rPr>
          <w:rFonts w:cs="Times New Roman"/>
          <w:b/>
          <w:bCs/>
          <w:szCs w:val="24"/>
          <w:lang w:val="sr-Cyrl-RS"/>
        </w:rPr>
      </w:pPr>
      <w:r w:rsidRPr="000E0422">
        <w:rPr>
          <w:rFonts w:cs="Times New Roman"/>
          <w:b/>
          <w:bCs/>
          <w:szCs w:val="24"/>
          <w:lang w:val="sr-Cyrl-RS"/>
        </w:rPr>
        <w:t>Поређење са претходним програмом</w:t>
      </w:r>
    </w:p>
    <w:p w14:paraId="5733384A" w14:textId="77777777" w:rsidR="005F26DA" w:rsidRPr="000E0422" w:rsidRDefault="005F26DA" w:rsidP="00063909">
      <w:pPr>
        <w:spacing w:after="60"/>
        <w:rPr>
          <w:lang w:val="sr-Cyrl-RS"/>
        </w:rPr>
      </w:pPr>
      <w:r w:rsidRPr="000E0422">
        <w:rPr>
          <w:lang w:val="sr-Cyrl-RS"/>
        </w:rPr>
        <w:t>Средњорочни фискални оквир значајно је промењен у односу на прошлогодишњи документ</w:t>
      </w:r>
      <w:r w:rsidRPr="000E0422">
        <w:rPr>
          <w:vertAlign w:val="superscript"/>
          <w:lang w:val="sr-Cyrl-RS"/>
        </w:rPr>
        <w:footnoteReference w:id="14"/>
      </w:r>
      <w:r w:rsidRPr="000E0422">
        <w:rPr>
          <w:lang w:val="sr-Cyrl-RS"/>
        </w:rPr>
        <w:t xml:space="preserve"> с обзиром на негативне ефекте пандемије на економска кретања. Раст прихода, расхода и дефицита су основне разлике у односу на претходни </w:t>
      </w:r>
      <w:r w:rsidR="003756BB">
        <w:rPr>
          <w:lang w:val="sr-Cyrl-RS"/>
        </w:rPr>
        <w:t>документ. У 2021. години највећи утицај на ревизију фискалног оквира имао је</w:t>
      </w:r>
      <w:r w:rsidRPr="000E0422">
        <w:rPr>
          <w:lang w:val="sr-Cyrl-RS"/>
        </w:rPr>
        <w:t xml:space="preserve"> нови пакет мера </w:t>
      </w:r>
      <w:r w:rsidR="003756BB">
        <w:rPr>
          <w:lang w:val="sr-Cyrl-RS"/>
        </w:rPr>
        <w:t>подршке привреди и становништву, који је реализован значајним повећањем расхода</w:t>
      </w:r>
      <w:r w:rsidRPr="000E0422">
        <w:rPr>
          <w:lang w:val="sr-Cyrl-RS"/>
        </w:rPr>
        <w:t xml:space="preserve">, пре свега </w:t>
      </w:r>
      <w:r w:rsidR="003756BB">
        <w:rPr>
          <w:lang w:val="sr-Cyrl-RS"/>
        </w:rPr>
        <w:t xml:space="preserve">улагањем у здравствени систем, а затим повећањем </w:t>
      </w:r>
      <w:r w:rsidRPr="000E0422">
        <w:rPr>
          <w:lang w:val="sr-Cyrl-RS"/>
        </w:rPr>
        <w:t xml:space="preserve">субвенција и других фискалних стимуланса у циљу ублажавања ефеката кризе. Осим тога, изменама републичког буџета је предвиђено и значајно увећање капиталних издатака. У наредном периоду расходи ће се постепено смањивати у смислу учешћа у БДП, с тим да, док год траје неизвесност везана за пандемију, биће вођена нешто експанзивнија фискална политика. План снижавања дефицита је померен за једну годину, тако да је спуштање на ниво од 1% БДП предвиђено за 2024. годину уместо за 2023. годину како је било предвиђено прошлогодишњим документом. Планирани дефицити омогућавају </w:t>
      </w:r>
      <w:r w:rsidRPr="000E0422">
        <w:rPr>
          <w:lang w:val="sr-Cyrl-RS"/>
        </w:rPr>
        <w:lastRenderedPageBreak/>
        <w:t>смањивање учешћа јавног дуга у БДП, а у дугорочном периоду планира се враћање на ниске нивое дефицита.</w:t>
      </w:r>
    </w:p>
    <w:p w14:paraId="106B6E7C" w14:textId="77777777" w:rsidR="005F26DA" w:rsidRPr="000E0422" w:rsidRDefault="0075627A" w:rsidP="00563037">
      <w:pPr>
        <w:rPr>
          <w:lang w:val="sr-Cyrl-RS" w:eastAsia="ja-JP"/>
        </w:rPr>
      </w:pPr>
      <w:r>
        <w:rPr>
          <w:lang w:val="sr-Cyrl-RS" w:eastAsia="ja-JP"/>
        </w:rPr>
        <w:t>Табела 14</w:t>
      </w:r>
      <w:r w:rsidR="005F26DA" w:rsidRPr="000E0422">
        <w:rPr>
          <w:lang w:val="sr-Cyrl-RS" w:eastAsia="ja-JP"/>
        </w:rPr>
        <w:t>. Поређење фискалних показатеља два програма, у % БДП</w:t>
      </w:r>
    </w:p>
    <w:tbl>
      <w:tblPr>
        <w:tblStyle w:val="ListTable6Colorful-Accent61"/>
        <w:tblW w:w="5000" w:type="pct"/>
        <w:tblLook w:val="04A0" w:firstRow="1" w:lastRow="0" w:firstColumn="1" w:lastColumn="0" w:noHBand="0" w:noVBand="1"/>
      </w:tblPr>
      <w:tblGrid>
        <w:gridCol w:w="3532"/>
        <w:gridCol w:w="1098"/>
        <w:gridCol w:w="1099"/>
        <w:gridCol w:w="1099"/>
        <w:gridCol w:w="1099"/>
        <w:gridCol w:w="1099"/>
      </w:tblGrid>
      <w:tr w:rsidR="005F26DA" w:rsidRPr="000E0422" w14:paraId="6421FDC4" w14:textId="77777777" w:rsidTr="0056303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single" w:sz="4" w:space="0" w:color="002060"/>
              <w:bottom w:val="single" w:sz="4" w:space="0" w:color="FFFFFF" w:themeColor="background1"/>
            </w:tcBorders>
            <w:shd w:val="clear" w:color="auto" w:fill="FFFFFF" w:themeFill="background1"/>
            <w:noWrap/>
            <w:hideMark/>
          </w:tcPr>
          <w:p w14:paraId="047A4B6A"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p>
        </w:tc>
        <w:tc>
          <w:tcPr>
            <w:tcW w:w="611" w:type="pct"/>
            <w:tcBorders>
              <w:top w:val="single" w:sz="4" w:space="0" w:color="002060"/>
              <w:bottom w:val="single" w:sz="4" w:space="0" w:color="002060"/>
            </w:tcBorders>
            <w:shd w:val="clear" w:color="auto" w:fill="FFFFFF" w:themeFill="background1"/>
            <w:noWrap/>
            <w:hideMark/>
          </w:tcPr>
          <w:p w14:paraId="62ABD61B"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2020</w:t>
            </w:r>
          </w:p>
        </w:tc>
        <w:tc>
          <w:tcPr>
            <w:tcW w:w="611" w:type="pct"/>
            <w:tcBorders>
              <w:top w:val="single" w:sz="4" w:space="0" w:color="002060"/>
              <w:bottom w:val="single" w:sz="4" w:space="0" w:color="002060"/>
            </w:tcBorders>
            <w:shd w:val="clear" w:color="auto" w:fill="FFFFFF" w:themeFill="background1"/>
            <w:noWrap/>
            <w:hideMark/>
          </w:tcPr>
          <w:p w14:paraId="7541B747"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2021</w:t>
            </w:r>
          </w:p>
        </w:tc>
        <w:tc>
          <w:tcPr>
            <w:tcW w:w="611" w:type="pct"/>
            <w:tcBorders>
              <w:top w:val="single" w:sz="4" w:space="0" w:color="002060"/>
              <w:bottom w:val="single" w:sz="4" w:space="0" w:color="002060"/>
            </w:tcBorders>
            <w:shd w:val="clear" w:color="auto" w:fill="FFFFFF" w:themeFill="background1"/>
            <w:noWrap/>
            <w:hideMark/>
          </w:tcPr>
          <w:p w14:paraId="75210717"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2022</w:t>
            </w:r>
          </w:p>
        </w:tc>
        <w:tc>
          <w:tcPr>
            <w:tcW w:w="611" w:type="pct"/>
            <w:tcBorders>
              <w:top w:val="single" w:sz="4" w:space="0" w:color="002060"/>
              <w:bottom w:val="single" w:sz="4" w:space="0" w:color="002060"/>
            </w:tcBorders>
            <w:shd w:val="clear" w:color="auto" w:fill="FFFFFF" w:themeFill="background1"/>
            <w:noWrap/>
            <w:hideMark/>
          </w:tcPr>
          <w:p w14:paraId="0F19F791"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2023</w:t>
            </w:r>
          </w:p>
        </w:tc>
        <w:tc>
          <w:tcPr>
            <w:tcW w:w="611" w:type="pct"/>
            <w:tcBorders>
              <w:top w:val="single" w:sz="4" w:space="0" w:color="002060"/>
              <w:bottom w:val="single" w:sz="4" w:space="0" w:color="002060"/>
            </w:tcBorders>
            <w:shd w:val="clear" w:color="auto" w:fill="FFFFFF" w:themeFill="background1"/>
            <w:noWrap/>
            <w:hideMark/>
          </w:tcPr>
          <w:p w14:paraId="723B330A"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2024</w:t>
            </w:r>
          </w:p>
        </w:tc>
      </w:tr>
      <w:tr w:rsidR="005F26DA" w:rsidRPr="000E0422" w14:paraId="3D978B93"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single" w:sz="4" w:space="0" w:color="FFFFFF" w:themeColor="background1"/>
            </w:tcBorders>
            <w:shd w:val="clear" w:color="auto" w:fill="FFFFFF" w:themeFill="background1"/>
            <w:noWrap/>
            <w:hideMark/>
          </w:tcPr>
          <w:p w14:paraId="07114137" w14:textId="77777777" w:rsidR="005F26DA" w:rsidRPr="000E0422" w:rsidRDefault="00D763B2" w:rsidP="00563037">
            <w:pPr>
              <w:keepNext/>
              <w:widowControl w:val="0"/>
              <w:shd w:val="clear" w:color="auto" w:fill="FFFFFF" w:themeFill="background1"/>
              <w:spacing w:after="0"/>
              <w:rPr>
                <w:rFonts w:eastAsia="Times New Roman" w:cs="Times New Roman"/>
                <w:b w:val="0"/>
                <w:color w:val="auto"/>
                <w:sz w:val="18"/>
                <w:szCs w:val="18"/>
                <w:lang w:val="sr-Cyrl-RS"/>
              </w:rPr>
            </w:pPr>
            <w:r w:rsidRPr="00D763B2">
              <w:rPr>
                <w:rFonts w:cs="Times New Roman"/>
                <w:b w:val="0"/>
                <w:color w:val="auto"/>
                <w:sz w:val="18"/>
                <w:szCs w:val="18"/>
                <w:lang w:val="sr-Cyrl-RS"/>
              </w:rPr>
              <w:t>Програм економских реформи</w:t>
            </w:r>
            <w:r>
              <w:rPr>
                <w:rFonts w:cs="Times New Roman"/>
                <w:color w:val="auto"/>
                <w:sz w:val="16"/>
                <w:szCs w:val="16"/>
                <w:lang w:val="sr-Cyrl-RS"/>
              </w:rPr>
              <w:t xml:space="preserve"> </w:t>
            </w:r>
            <w:r w:rsidR="005F26DA" w:rsidRPr="000E0422">
              <w:rPr>
                <w:rFonts w:eastAsia="Times New Roman" w:cs="Times New Roman"/>
                <w:b w:val="0"/>
                <w:color w:val="auto"/>
                <w:sz w:val="18"/>
                <w:szCs w:val="18"/>
                <w:lang w:val="sr-Cyrl-RS"/>
              </w:rPr>
              <w:t>2021–2023</w:t>
            </w:r>
            <w:r w:rsidR="005F26DA" w:rsidRPr="000E0422">
              <w:rPr>
                <w:rStyle w:val="FootnoteReference"/>
                <w:rFonts w:eastAsia="Times New Roman" w:cs="Times New Roman"/>
                <w:b w:val="0"/>
                <w:color w:val="auto"/>
                <w:sz w:val="18"/>
                <w:szCs w:val="18"/>
                <w:lang w:val="sr-Cyrl-RS"/>
              </w:rPr>
              <w:footnoteReference w:id="15"/>
            </w:r>
          </w:p>
        </w:tc>
        <w:tc>
          <w:tcPr>
            <w:tcW w:w="611" w:type="pct"/>
            <w:tcBorders>
              <w:top w:val="single" w:sz="4" w:space="0" w:color="002060"/>
            </w:tcBorders>
            <w:shd w:val="clear" w:color="auto" w:fill="FFFFFF" w:themeFill="background1"/>
            <w:noWrap/>
            <w:hideMark/>
          </w:tcPr>
          <w:p w14:paraId="3BFF9BDE"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580B790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4B2ED22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5E41802E"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11DF464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14:paraId="2E3E5FA6"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79D25D51"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14:paraId="1652E13E"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40,4</w:t>
            </w:r>
          </w:p>
        </w:tc>
        <w:tc>
          <w:tcPr>
            <w:tcW w:w="611" w:type="pct"/>
            <w:shd w:val="clear" w:color="auto" w:fill="FFFFFF" w:themeFill="background1"/>
            <w:noWrap/>
            <w:hideMark/>
          </w:tcPr>
          <w:p w14:paraId="0497C1E6"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39,3</w:t>
            </w:r>
          </w:p>
        </w:tc>
        <w:tc>
          <w:tcPr>
            <w:tcW w:w="611" w:type="pct"/>
            <w:shd w:val="clear" w:color="auto" w:fill="FFFFFF" w:themeFill="background1"/>
            <w:noWrap/>
            <w:hideMark/>
          </w:tcPr>
          <w:p w14:paraId="4CF634C6"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39,1</w:t>
            </w:r>
          </w:p>
        </w:tc>
        <w:tc>
          <w:tcPr>
            <w:tcW w:w="611" w:type="pct"/>
            <w:shd w:val="clear" w:color="auto" w:fill="FFFFFF" w:themeFill="background1"/>
            <w:noWrap/>
            <w:hideMark/>
          </w:tcPr>
          <w:p w14:paraId="1C536DD1"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38,0</w:t>
            </w:r>
          </w:p>
        </w:tc>
        <w:tc>
          <w:tcPr>
            <w:tcW w:w="611" w:type="pct"/>
            <w:shd w:val="clear" w:color="auto" w:fill="FFFFFF" w:themeFill="background1"/>
            <w:noWrap/>
            <w:hideMark/>
          </w:tcPr>
          <w:p w14:paraId="47A8B541"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14:paraId="563A138A"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29E81F66"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shd w:val="clear" w:color="auto" w:fill="FFFFFF" w:themeFill="background1"/>
            <w:noWrap/>
            <w:hideMark/>
          </w:tcPr>
          <w:p w14:paraId="4909597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49,3</w:t>
            </w:r>
          </w:p>
        </w:tc>
        <w:tc>
          <w:tcPr>
            <w:tcW w:w="611" w:type="pct"/>
            <w:shd w:val="clear" w:color="auto" w:fill="FFFFFF" w:themeFill="background1"/>
            <w:noWrap/>
            <w:hideMark/>
          </w:tcPr>
          <w:p w14:paraId="06B9A95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42,2</w:t>
            </w:r>
          </w:p>
        </w:tc>
        <w:tc>
          <w:tcPr>
            <w:tcW w:w="611" w:type="pct"/>
            <w:shd w:val="clear" w:color="auto" w:fill="FFFFFF" w:themeFill="background1"/>
            <w:noWrap/>
            <w:hideMark/>
          </w:tcPr>
          <w:p w14:paraId="1BA1F4D4"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40,7</w:t>
            </w:r>
          </w:p>
        </w:tc>
        <w:tc>
          <w:tcPr>
            <w:tcW w:w="611" w:type="pct"/>
            <w:shd w:val="clear" w:color="auto" w:fill="FFFFFF" w:themeFill="background1"/>
            <w:noWrap/>
            <w:hideMark/>
          </w:tcPr>
          <w:p w14:paraId="2F3A1F6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39,0</w:t>
            </w:r>
          </w:p>
        </w:tc>
        <w:tc>
          <w:tcPr>
            <w:tcW w:w="611" w:type="pct"/>
            <w:shd w:val="clear" w:color="auto" w:fill="FFFFFF" w:themeFill="background1"/>
            <w:noWrap/>
            <w:hideMark/>
          </w:tcPr>
          <w:p w14:paraId="63D3FA6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14:paraId="5AD2149C"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0D0C71F9"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shd w:val="clear" w:color="auto" w:fill="FFFFFF" w:themeFill="background1"/>
            <w:noWrap/>
            <w:hideMark/>
          </w:tcPr>
          <w:p w14:paraId="317D12F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-8,9</w:t>
            </w:r>
          </w:p>
        </w:tc>
        <w:tc>
          <w:tcPr>
            <w:tcW w:w="611" w:type="pct"/>
            <w:shd w:val="clear" w:color="auto" w:fill="FFFFFF" w:themeFill="background1"/>
            <w:noWrap/>
            <w:hideMark/>
          </w:tcPr>
          <w:p w14:paraId="264D0F02"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-2,9</w:t>
            </w:r>
          </w:p>
        </w:tc>
        <w:tc>
          <w:tcPr>
            <w:tcW w:w="611" w:type="pct"/>
            <w:shd w:val="clear" w:color="auto" w:fill="FFFFFF" w:themeFill="background1"/>
            <w:noWrap/>
            <w:hideMark/>
          </w:tcPr>
          <w:p w14:paraId="75457692"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-1,6</w:t>
            </w:r>
          </w:p>
        </w:tc>
        <w:tc>
          <w:tcPr>
            <w:tcW w:w="611" w:type="pct"/>
            <w:shd w:val="clear" w:color="auto" w:fill="FFFFFF" w:themeFill="background1"/>
            <w:noWrap/>
            <w:hideMark/>
          </w:tcPr>
          <w:p w14:paraId="04E2BDBF"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-1,0</w:t>
            </w:r>
          </w:p>
        </w:tc>
        <w:tc>
          <w:tcPr>
            <w:tcW w:w="611" w:type="pct"/>
            <w:shd w:val="clear" w:color="auto" w:fill="FFFFFF" w:themeFill="background1"/>
            <w:noWrap/>
            <w:hideMark/>
          </w:tcPr>
          <w:p w14:paraId="099601DC"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14:paraId="73753E73"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486D8DA5" w14:textId="77777777" w:rsidR="005F26DA" w:rsidRPr="000E0422" w:rsidRDefault="00D763B2" w:rsidP="00563037">
            <w:pPr>
              <w:keepNext/>
              <w:widowControl w:val="0"/>
              <w:shd w:val="clear" w:color="auto" w:fill="FFFFFF" w:themeFill="background1"/>
              <w:spacing w:after="0"/>
              <w:rPr>
                <w:rFonts w:eastAsia="Times New Roman" w:cs="Times New Roman"/>
                <w:b w:val="0"/>
                <w:color w:val="auto"/>
                <w:sz w:val="18"/>
                <w:szCs w:val="18"/>
                <w:lang w:val="sr-Cyrl-RS"/>
              </w:rPr>
            </w:pPr>
            <w:r w:rsidRPr="00D763B2">
              <w:rPr>
                <w:rFonts w:cs="Times New Roman"/>
                <w:b w:val="0"/>
                <w:color w:val="auto"/>
                <w:sz w:val="18"/>
                <w:szCs w:val="18"/>
                <w:lang w:val="sr-Cyrl-RS"/>
              </w:rPr>
              <w:t xml:space="preserve">Програм економских реформи </w:t>
            </w:r>
            <w:r w:rsidR="005F26DA" w:rsidRPr="000E0422">
              <w:rPr>
                <w:rFonts w:eastAsia="Times New Roman" w:cs="Times New Roman"/>
                <w:b w:val="0"/>
                <w:color w:val="auto"/>
                <w:sz w:val="18"/>
                <w:szCs w:val="18"/>
                <w:lang w:val="sr-Cyrl-RS"/>
              </w:rPr>
              <w:t>2022–2024</w:t>
            </w:r>
          </w:p>
        </w:tc>
        <w:tc>
          <w:tcPr>
            <w:tcW w:w="611" w:type="pct"/>
            <w:shd w:val="clear" w:color="auto" w:fill="FFFFFF" w:themeFill="background1"/>
            <w:noWrap/>
            <w:hideMark/>
          </w:tcPr>
          <w:p w14:paraId="2DDFDF24"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008026A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14:paraId="4F57551E"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14:paraId="64693D2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14:paraId="345D1ED9"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14:paraId="5DB1ED2C"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73E9B6E3"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14:paraId="681A1F12"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41,0</w:t>
            </w:r>
          </w:p>
        </w:tc>
        <w:tc>
          <w:tcPr>
            <w:tcW w:w="611" w:type="pct"/>
            <w:shd w:val="clear" w:color="auto" w:fill="FFFFFF" w:themeFill="background1"/>
            <w:noWrap/>
            <w:hideMark/>
          </w:tcPr>
          <w:p w14:paraId="4D26D213"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43,5</w:t>
            </w:r>
          </w:p>
        </w:tc>
        <w:tc>
          <w:tcPr>
            <w:tcW w:w="611" w:type="pct"/>
            <w:tcBorders>
              <w:top w:val="nil"/>
              <w:bottom w:val="nil"/>
            </w:tcBorders>
            <w:shd w:val="clear" w:color="auto" w:fill="auto"/>
            <w:noWrap/>
            <w:vAlign w:val="center"/>
            <w:hideMark/>
          </w:tcPr>
          <w:p w14:paraId="65560941"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42,2</w:t>
            </w:r>
          </w:p>
        </w:tc>
        <w:tc>
          <w:tcPr>
            <w:tcW w:w="611" w:type="pct"/>
            <w:tcBorders>
              <w:top w:val="nil"/>
              <w:bottom w:val="nil"/>
            </w:tcBorders>
            <w:shd w:val="clear" w:color="auto" w:fill="auto"/>
            <w:noWrap/>
            <w:vAlign w:val="center"/>
            <w:hideMark/>
          </w:tcPr>
          <w:p w14:paraId="30ADE119"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41,4</w:t>
            </w:r>
          </w:p>
        </w:tc>
        <w:tc>
          <w:tcPr>
            <w:tcW w:w="611" w:type="pct"/>
            <w:tcBorders>
              <w:top w:val="nil"/>
              <w:bottom w:val="nil"/>
            </w:tcBorders>
            <w:shd w:val="clear" w:color="auto" w:fill="auto"/>
            <w:noWrap/>
            <w:vAlign w:val="center"/>
            <w:hideMark/>
          </w:tcPr>
          <w:p w14:paraId="19A157CC"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41,1</w:t>
            </w:r>
          </w:p>
        </w:tc>
      </w:tr>
      <w:tr w:rsidR="005F26DA" w:rsidRPr="000E0422" w14:paraId="6F68A8A0"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0DE49671"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shd w:val="clear" w:color="auto" w:fill="FFFFFF" w:themeFill="background1"/>
            <w:noWrap/>
            <w:hideMark/>
          </w:tcPr>
          <w:p w14:paraId="156C1E48"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49,0</w:t>
            </w:r>
          </w:p>
        </w:tc>
        <w:tc>
          <w:tcPr>
            <w:tcW w:w="611" w:type="pct"/>
            <w:shd w:val="clear" w:color="auto" w:fill="FFFFFF" w:themeFill="background1"/>
            <w:noWrap/>
            <w:hideMark/>
          </w:tcPr>
          <w:p w14:paraId="6FD27098"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48,4</w:t>
            </w:r>
          </w:p>
        </w:tc>
        <w:tc>
          <w:tcPr>
            <w:tcW w:w="611" w:type="pct"/>
            <w:tcBorders>
              <w:top w:val="nil"/>
            </w:tcBorders>
            <w:shd w:val="clear" w:color="auto" w:fill="auto"/>
            <w:noWrap/>
            <w:vAlign w:val="center"/>
            <w:hideMark/>
          </w:tcPr>
          <w:p w14:paraId="7736592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45,3</w:t>
            </w:r>
          </w:p>
        </w:tc>
        <w:tc>
          <w:tcPr>
            <w:tcW w:w="611" w:type="pct"/>
            <w:tcBorders>
              <w:top w:val="nil"/>
            </w:tcBorders>
            <w:shd w:val="clear" w:color="auto" w:fill="auto"/>
            <w:noWrap/>
            <w:vAlign w:val="center"/>
            <w:hideMark/>
          </w:tcPr>
          <w:p w14:paraId="7B06F03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42,9</w:t>
            </w:r>
          </w:p>
        </w:tc>
        <w:tc>
          <w:tcPr>
            <w:tcW w:w="611" w:type="pct"/>
            <w:tcBorders>
              <w:top w:val="nil"/>
            </w:tcBorders>
            <w:shd w:val="clear" w:color="auto" w:fill="auto"/>
            <w:noWrap/>
            <w:vAlign w:val="center"/>
            <w:hideMark/>
          </w:tcPr>
          <w:p w14:paraId="543AD0C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42,1</w:t>
            </w:r>
          </w:p>
        </w:tc>
      </w:tr>
      <w:tr w:rsidR="005F26DA" w:rsidRPr="000E0422" w14:paraId="4C8238A9"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1D19FAC3"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shd w:val="clear" w:color="auto" w:fill="FFFFFF" w:themeFill="background1"/>
            <w:noWrap/>
            <w:hideMark/>
          </w:tcPr>
          <w:p w14:paraId="08B5CF67"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-8,0</w:t>
            </w:r>
          </w:p>
        </w:tc>
        <w:tc>
          <w:tcPr>
            <w:tcW w:w="611" w:type="pct"/>
            <w:shd w:val="clear" w:color="auto" w:fill="FFFFFF" w:themeFill="background1"/>
            <w:noWrap/>
            <w:hideMark/>
          </w:tcPr>
          <w:p w14:paraId="41E25D9D"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w:t>
            </w:r>
          </w:p>
        </w:tc>
        <w:tc>
          <w:tcPr>
            <w:tcW w:w="611" w:type="pct"/>
            <w:shd w:val="clear" w:color="auto" w:fill="FFFFFF" w:themeFill="background1"/>
            <w:noWrap/>
            <w:hideMark/>
          </w:tcPr>
          <w:p w14:paraId="242E168B"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-3,0</w:t>
            </w:r>
          </w:p>
        </w:tc>
        <w:tc>
          <w:tcPr>
            <w:tcW w:w="611" w:type="pct"/>
            <w:shd w:val="clear" w:color="auto" w:fill="FFFFFF" w:themeFill="background1"/>
            <w:noWrap/>
            <w:hideMark/>
          </w:tcPr>
          <w:p w14:paraId="1723A96A"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-1,5</w:t>
            </w:r>
          </w:p>
        </w:tc>
        <w:tc>
          <w:tcPr>
            <w:tcW w:w="611" w:type="pct"/>
            <w:shd w:val="clear" w:color="auto" w:fill="FFFFFF" w:themeFill="background1"/>
            <w:noWrap/>
            <w:hideMark/>
          </w:tcPr>
          <w:p w14:paraId="4E2715F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-1,0</w:t>
            </w:r>
          </w:p>
        </w:tc>
      </w:tr>
      <w:tr w:rsidR="005F26DA" w:rsidRPr="000E0422" w14:paraId="5D1F37E8"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3AC4915F"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Разлика</w:t>
            </w:r>
          </w:p>
        </w:tc>
        <w:tc>
          <w:tcPr>
            <w:tcW w:w="611" w:type="pct"/>
            <w:shd w:val="clear" w:color="auto" w:fill="FFFFFF" w:themeFill="background1"/>
            <w:noWrap/>
            <w:hideMark/>
          </w:tcPr>
          <w:p w14:paraId="2209CB8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6CD1774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3AD9769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43A8829C"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32A77423"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14:paraId="786415D2"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11B0AD47"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14:paraId="41F4492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0,6</w:t>
            </w:r>
          </w:p>
        </w:tc>
        <w:tc>
          <w:tcPr>
            <w:tcW w:w="611" w:type="pct"/>
            <w:shd w:val="clear" w:color="auto" w:fill="FFFFFF" w:themeFill="background1"/>
            <w:noWrap/>
            <w:hideMark/>
          </w:tcPr>
          <w:p w14:paraId="53A6EDCD"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4,2</w:t>
            </w:r>
          </w:p>
        </w:tc>
        <w:tc>
          <w:tcPr>
            <w:tcW w:w="611" w:type="pct"/>
            <w:shd w:val="clear" w:color="auto" w:fill="FFFFFF" w:themeFill="background1"/>
            <w:noWrap/>
            <w:hideMark/>
          </w:tcPr>
          <w:p w14:paraId="45FDB7C0"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3,1</w:t>
            </w:r>
          </w:p>
        </w:tc>
        <w:tc>
          <w:tcPr>
            <w:tcW w:w="611" w:type="pct"/>
            <w:shd w:val="clear" w:color="auto" w:fill="FFFFFF" w:themeFill="background1"/>
            <w:noWrap/>
            <w:hideMark/>
          </w:tcPr>
          <w:p w14:paraId="317F1844"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1,4</w:t>
            </w:r>
          </w:p>
        </w:tc>
        <w:tc>
          <w:tcPr>
            <w:tcW w:w="611" w:type="pct"/>
            <w:shd w:val="clear" w:color="auto" w:fill="FFFFFF" w:themeFill="background1"/>
            <w:noWrap/>
            <w:hideMark/>
          </w:tcPr>
          <w:p w14:paraId="73D2C889"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r w:rsidR="005F26DA" w:rsidRPr="000E0422" w14:paraId="6CA6F8E2"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bottom w:val="nil"/>
            </w:tcBorders>
            <w:shd w:val="clear" w:color="auto" w:fill="FFFFFF" w:themeFill="background1"/>
            <w:noWrap/>
            <w:hideMark/>
          </w:tcPr>
          <w:p w14:paraId="32A6026A"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tcBorders>
              <w:bottom w:val="nil"/>
            </w:tcBorders>
            <w:shd w:val="clear" w:color="auto" w:fill="FFFFFF" w:themeFill="background1"/>
            <w:noWrap/>
            <w:hideMark/>
          </w:tcPr>
          <w:p w14:paraId="25B7705B"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-0,3</w:t>
            </w:r>
          </w:p>
        </w:tc>
        <w:tc>
          <w:tcPr>
            <w:tcW w:w="611" w:type="pct"/>
            <w:tcBorders>
              <w:bottom w:val="nil"/>
            </w:tcBorders>
            <w:shd w:val="clear" w:color="auto" w:fill="FFFFFF" w:themeFill="background1"/>
            <w:noWrap/>
            <w:hideMark/>
          </w:tcPr>
          <w:p w14:paraId="095E105B"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6,2</w:t>
            </w:r>
          </w:p>
        </w:tc>
        <w:tc>
          <w:tcPr>
            <w:tcW w:w="611" w:type="pct"/>
            <w:tcBorders>
              <w:bottom w:val="nil"/>
            </w:tcBorders>
            <w:shd w:val="clear" w:color="auto" w:fill="FFFFFF" w:themeFill="background1"/>
            <w:noWrap/>
            <w:hideMark/>
          </w:tcPr>
          <w:p w14:paraId="78A6167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4,5</w:t>
            </w:r>
          </w:p>
        </w:tc>
        <w:tc>
          <w:tcPr>
            <w:tcW w:w="611" w:type="pct"/>
            <w:tcBorders>
              <w:bottom w:val="nil"/>
            </w:tcBorders>
            <w:shd w:val="clear" w:color="auto" w:fill="FFFFFF" w:themeFill="background1"/>
            <w:noWrap/>
            <w:hideMark/>
          </w:tcPr>
          <w:p w14:paraId="16BA031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1,9</w:t>
            </w:r>
          </w:p>
        </w:tc>
        <w:tc>
          <w:tcPr>
            <w:tcW w:w="611" w:type="pct"/>
            <w:tcBorders>
              <w:bottom w:val="nil"/>
            </w:tcBorders>
            <w:shd w:val="clear" w:color="auto" w:fill="FFFFFF" w:themeFill="background1"/>
            <w:noWrap/>
            <w:hideMark/>
          </w:tcPr>
          <w:p w14:paraId="79166ED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r w:rsidR="005F26DA" w:rsidRPr="000E0422" w14:paraId="59587FEE"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nil"/>
              <w:bottom w:val="single" w:sz="4" w:space="0" w:color="002060"/>
            </w:tcBorders>
            <w:shd w:val="clear" w:color="auto" w:fill="FFFFFF" w:themeFill="background1"/>
            <w:noWrap/>
            <w:hideMark/>
          </w:tcPr>
          <w:p w14:paraId="5CA6DABB"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tcBorders>
              <w:top w:val="nil"/>
              <w:bottom w:val="single" w:sz="4" w:space="0" w:color="002060"/>
            </w:tcBorders>
            <w:shd w:val="clear" w:color="auto" w:fill="FFFFFF" w:themeFill="background1"/>
            <w:noWrap/>
            <w:hideMark/>
          </w:tcPr>
          <w:p w14:paraId="08220FAE"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0,9</w:t>
            </w:r>
          </w:p>
        </w:tc>
        <w:tc>
          <w:tcPr>
            <w:tcW w:w="611" w:type="pct"/>
            <w:tcBorders>
              <w:top w:val="nil"/>
              <w:bottom w:val="single" w:sz="4" w:space="0" w:color="002060"/>
            </w:tcBorders>
            <w:shd w:val="clear" w:color="auto" w:fill="FFFFFF" w:themeFill="background1"/>
            <w:noWrap/>
            <w:hideMark/>
          </w:tcPr>
          <w:p w14:paraId="1DC02E3A"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-2,0</w:t>
            </w:r>
          </w:p>
        </w:tc>
        <w:tc>
          <w:tcPr>
            <w:tcW w:w="611" w:type="pct"/>
            <w:tcBorders>
              <w:top w:val="nil"/>
              <w:bottom w:val="single" w:sz="4" w:space="0" w:color="002060"/>
            </w:tcBorders>
            <w:shd w:val="clear" w:color="auto" w:fill="FFFFFF" w:themeFill="background1"/>
            <w:noWrap/>
            <w:hideMark/>
          </w:tcPr>
          <w:p w14:paraId="70BA1A6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-1,4</w:t>
            </w:r>
          </w:p>
        </w:tc>
        <w:tc>
          <w:tcPr>
            <w:tcW w:w="611" w:type="pct"/>
            <w:tcBorders>
              <w:top w:val="nil"/>
              <w:bottom w:val="single" w:sz="4" w:space="0" w:color="002060"/>
            </w:tcBorders>
            <w:shd w:val="clear" w:color="auto" w:fill="FFFFFF" w:themeFill="background1"/>
            <w:noWrap/>
            <w:hideMark/>
          </w:tcPr>
          <w:p w14:paraId="2E937ECB"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-0,5</w:t>
            </w:r>
          </w:p>
        </w:tc>
        <w:tc>
          <w:tcPr>
            <w:tcW w:w="611" w:type="pct"/>
            <w:tcBorders>
              <w:top w:val="nil"/>
              <w:bottom w:val="single" w:sz="4" w:space="0" w:color="002060"/>
            </w:tcBorders>
            <w:shd w:val="clear" w:color="auto" w:fill="FFFFFF" w:themeFill="background1"/>
            <w:noWrap/>
            <w:hideMark/>
          </w:tcPr>
          <w:p w14:paraId="6B73ED03"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bl>
    <w:p w14:paraId="3330A068" w14:textId="77777777" w:rsidR="005F26DA" w:rsidRPr="000E0422" w:rsidRDefault="005F26DA" w:rsidP="00063909">
      <w:pPr>
        <w:rPr>
          <w:rFonts w:cs="Times New Roman"/>
          <w:sz w:val="16"/>
          <w:szCs w:val="16"/>
          <w:lang w:val="sr-Cyrl-RS"/>
        </w:rPr>
      </w:pPr>
      <w:r w:rsidRPr="000E0422">
        <w:rPr>
          <w:rFonts w:eastAsia="Calibri" w:cs="Times New Roman"/>
          <w:bCs/>
          <w:sz w:val="16"/>
          <w:szCs w:val="16"/>
          <w:lang w:val="sr-Cyrl-RS" w:eastAsia="ja-JP"/>
        </w:rPr>
        <w:t xml:space="preserve">Извор: </w:t>
      </w:r>
      <w:r w:rsidRPr="000E0422">
        <w:rPr>
          <w:rFonts w:cs="Times New Roman"/>
          <w:sz w:val="16"/>
          <w:szCs w:val="16"/>
          <w:lang w:val="sr-Cyrl-RS"/>
        </w:rPr>
        <w:t>Министарство финансија</w:t>
      </w:r>
    </w:p>
    <w:p w14:paraId="24B0B364" w14:textId="04EADA5F" w:rsidR="000C44D1" w:rsidRPr="00735870" w:rsidRDefault="00735870" w:rsidP="00063909">
      <w:pPr>
        <w:keepNext/>
        <w:keepLines/>
        <w:spacing w:before="240" w:line="259" w:lineRule="auto"/>
        <w:jc w:val="left"/>
        <w:outlineLvl w:val="1"/>
        <w:rPr>
          <w:rFonts w:eastAsia="Calibri" w:cs="Times New Roman"/>
          <w:b/>
          <w:szCs w:val="28"/>
          <w:lang w:val="sr-Cyrl-RS"/>
        </w:rPr>
      </w:pPr>
      <w:bookmarkStart w:id="23" w:name="_Toc89375529"/>
      <w:r w:rsidRPr="00735870">
        <w:rPr>
          <w:rFonts w:eastAsia="Calibri" w:cs="Times New Roman"/>
          <w:b/>
          <w:szCs w:val="28"/>
        </w:rPr>
        <w:t>4.</w:t>
      </w:r>
      <w:r w:rsidR="000C44D1" w:rsidRPr="00735870">
        <w:rPr>
          <w:rFonts w:eastAsia="Calibri" w:cs="Times New Roman"/>
          <w:b/>
          <w:szCs w:val="28"/>
          <w:lang w:val="sr-Cyrl-RS"/>
        </w:rPr>
        <w:t>7. КВАЛИТЕТ ЈАВНИХ ФИНАНСИЈА</w:t>
      </w:r>
      <w:bookmarkEnd w:id="23"/>
    </w:p>
    <w:p w14:paraId="29DED587" w14:textId="4F44E162" w:rsidR="00FC43B6" w:rsidRPr="00FC43B6" w:rsidRDefault="00FC43B6" w:rsidP="00063909">
      <w:pPr>
        <w:spacing w:after="60"/>
        <w:rPr>
          <w:lang w:val="sr-Cyrl-CS" w:eastAsia="ja-JP"/>
        </w:rPr>
      </w:pPr>
      <w:r w:rsidRPr="00FC43B6">
        <w:rPr>
          <w:lang w:val="sr-Cyrl-CS" w:eastAsia="ja-JP"/>
        </w:rPr>
        <w:t xml:space="preserve">У тренутку писања овог документа Република Србија се и даље налази у неизвесним условима проузрокованим пандемијом </w:t>
      </w:r>
      <w:r w:rsidR="0063502F">
        <w:rPr>
          <w:szCs w:val="24"/>
          <w:lang w:val="sr-Cyrl-RS"/>
        </w:rPr>
        <w:t>Ковид</w:t>
      </w:r>
      <w:r w:rsidRPr="00FC43B6">
        <w:rPr>
          <w:lang w:val="sr-Cyrl-CS" w:eastAsia="ja-JP"/>
        </w:rPr>
        <w:t>-19, спроводећи трећи пакет мера подршке привреди и становништву, уз истовремену борбу за здравље и животе својих грађана, новоизграђене болничке капацитете и фабрике вакцина и обезбеђене довољне количине вакцина за све грађане, што би у догледно време требало да обезбеди повратак државе и друштва у нормалне токове. Након што је почетком године успешно окончан аранжман с ММФ – Република Србија је у јуну са овом институцијом склопила нови аранжман саветодавног карактера. Нови програм сарадње - Инструмент за координацију политика (</w:t>
      </w:r>
      <w:r w:rsidRPr="00FC43B6">
        <w:rPr>
          <w:i/>
          <w:lang w:val="sr-Cyrl-CS" w:eastAsia="ja-JP"/>
        </w:rPr>
        <w:t>Policy Coordination Instrument</w:t>
      </w:r>
      <w:r w:rsidRPr="00FC43B6">
        <w:rPr>
          <w:lang w:val="sr-Cyrl-CS" w:eastAsia="ja-JP"/>
        </w:rPr>
        <w:t xml:space="preserve"> – PCI) трајаће од јуна 2021. до краја 2023. године, односно 30 месеци.</w:t>
      </w:r>
    </w:p>
    <w:p w14:paraId="64B2597B" w14:textId="77777777" w:rsidR="00FC43B6" w:rsidRPr="00FC43B6" w:rsidRDefault="00FC43B6" w:rsidP="00063909">
      <w:pPr>
        <w:spacing w:after="60"/>
        <w:rPr>
          <w:spacing w:val="-2"/>
          <w:lang w:val="sr-Cyrl-CS" w:eastAsia="ja-JP"/>
        </w:rPr>
      </w:pPr>
      <w:r w:rsidRPr="00FC43B6">
        <w:rPr>
          <w:spacing w:val="-2"/>
          <w:lang w:val="sr-Cyrl-CS" w:eastAsia="ja-JP"/>
        </w:rPr>
        <w:t>Нови аранжман наставља да пружа подршку очувању макроекономске и фискалне стабилности, јачању финансијског сектора, уз даљи процес динаризације и развој тржишта капитала, што би требало да, заједно са институционалним и структурним реформама, обезбеди високе стопе зеленог, инклузивног и одрживог раста у средњем року.</w:t>
      </w:r>
    </w:p>
    <w:p w14:paraId="291FC1CA" w14:textId="77777777" w:rsidR="00FC43B6" w:rsidRPr="00FC43B6" w:rsidRDefault="00FC43B6" w:rsidP="00063909">
      <w:pPr>
        <w:spacing w:after="60"/>
        <w:rPr>
          <w:lang w:val="sr-Cyrl-CS" w:eastAsia="ja-JP"/>
        </w:rPr>
      </w:pPr>
      <w:r w:rsidRPr="00FC43B6">
        <w:rPr>
          <w:lang w:val="sr-Cyrl-CS" w:eastAsia="ja-JP"/>
        </w:rPr>
        <w:t>У наредном периоду очекује се наставак реформи у области запошљавања, управљања кадровима и система плата у сектору државе. Циљ фискалне политике у средњем року је задржавање расхода за запослене на одрживом нивоу, уз адекватну структуру запослених, како би се обезбедио већи квалитет пружених услуга. У наредном средњорочном периоду акценат је на структурним мерама, које би преко планирања броја запослених с једне стране и успостављања новог система плата у сектору државе, с друге стране, допринеле повећању ефикасности и квалитету пружених јавних услуга.</w:t>
      </w:r>
    </w:p>
    <w:p w14:paraId="425A30C2" w14:textId="77777777" w:rsidR="00FC43B6" w:rsidRPr="00FC43B6" w:rsidRDefault="00FC43B6" w:rsidP="00063909">
      <w:pPr>
        <w:spacing w:after="60"/>
        <w:rPr>
          <w:lang w:val="sr-Cyrl-CS" w:eastAsia="ja-JP"/>
        </w:rPr>
      </w:pPr>
      <w:r w:rsidRPr="00FC43B6">
        <w:rPr>
          <w:lang w:val="sr-Cyrl-CS" w:eastAsia="ja-JP"/>
        </w:rPr>
        <w:t xml:space="preserve">2016. године усвојен је Закон о систему плата у јавном сектору, а затим су усвојена и одговарајућа подзаконска акта, којима се на систематичан и транспарентан начин уређује ова област, с циљем да се у наредном периоду у целом јавном сектору обезбеди једнак ниво плата за исту врсту посла. </w:t>
      </w:r>
    </w:p>
    <w:p w14:paraId="190D5C2B" w14:textId="77777777" w:rsidR="00FC43B6" w:rsidRPr="00FC43B6" w:rsidRDefault="00FC43B6" w:rsidP="00063909">
      <w:pPr>
        <w:spacing w:after="60"/>
        <w:rPr>
          <w:lang w:val="sr-Cyrl-CS" w:eastAsia="ja-JP"/>
        </w:rPr>
      </w:pPr>
      <w:r w:rsidRPr="00FC43B6">
        <w:rPr>
          <w:lang w:val="sr-Cyrl-CS" w:eastAsia="ja-JP"/>
        </w:rPr>
        <w:t xml:space="preserve">Постојећи систем запошљавања, којим руководи Владина Комисија за давање сагласности за ново запошљавање и додатно радно ангажовање код корисника јавних средстава наставиће да функционише у прелазном периоду до 2023. године, односно све </w:t>
      </w:r>
      <w:r w:rsidRPr="00FC43B6">
        <w:rPr>
          <w:lang w:val="sr-Cyrl-CS" w:eastAsia="ja-JP"/>
        </w:rPr>
        <w:lastRenderedPageBreak/>
        <w:t>док нови систем не буде у потпуности оперативан. Крајем прошле године усвојене су измене Закона о буџетском систему како би било омогућено да у прелазном периоду институције могу да ангажују нова лица до нивоа од 70% оних који напуштају институцију или одлазе у пензију, док је дозвола Комисије потребна уколико број новозапослених пређе 70%. Смисао ове мере је да се обезбеди већа флексибилност у запошљавању на нивоу самих институција, у складу с њиховим потребама за новим кадровима. Такође, постављен је и лимит од 1% за повећање укупног броја запослених на неодређено време у односу на ниво с краја 2020. године. У току је и израда електронског регистра запослених у јавном сектору „Искра”, који би требало да буде имплементиран до краја 2023. године, а пилот пројекат који обухвата запослене у Министарству финансија је већ оперативан. Суштина овог система је боље планирање, извршење и контрола расхода за плате запослених, већа транспарентност и боље управљање људским ресурсима.</w:t>
      </w:r>
    </w:p>
    <w:p w14:paraId="3095A15C" w14:textId="77777777" w:rsidR="00FC43B6" w:rsidRPr="00FC43B6" w:rsidRDefault="00FC43B6" w:rsidP="00063909">
      <w:pPr>
        <w:spacing w:after="60"/>
        <w:rPr>
          <w:lang w:val="sr-Cyrl-CS" w:eastAsia="ja-JP"/>
        </w:rPr>
      </w:pPr>
      <w:r w:rsidRPr="00FC43B6">
        <w:rPr>
          <w:lang w:val="sr-Cyrl-CS" w:eastAsia="ja-JP"/>
        </w:rPr>
        <w:t>У циљу смањења различитих облика буџетске подршке јавним и државним предузећима наставља се са њиховим реформама. Смањење буџетске подршке овим предузећима подразумева: а) ограничење директних и индиректних субвенција, б) забрану издавања гаранција за подршку ликвидности и в) јачање одговорности и транспарентности у пословању ових предузећа, укључујући и контролу и смањење доцњи у плаћањима, нарочито према ЈП ЕПС и ЈП „Србијагас” и превенцију њиховог гомилања у будућности.</w:t>
      </w:r>
    </w:p>
    <w:p w14:paraId="775C01B0" w14:textId="77777777" w:rsidR="00FC43B6" w:rsidRPr="00FC43B6" w:rsidRDefault="00FC43B6" w:rsidP="00063909">
      <w:pPr>
        <w:spacing w:after="60"/>
        <w:rPr>
          <w:lang w:val="sr-Cyrl-CS" w:eastAsia="ja-JP"/>
        </w:rPr>
      </w:pPr>
      <w:r w:rsidRPr="00FC43B6">
        <w:rPr>
          <w:lang w:val="sr-Cyrl-CS" w:eastAsia="ja-JP"/>
        </w:rPr>
        <w:t>Статус предузећа из портфолија бивше Агенције за приватизацију решава се кроз поступак стечаја или приватизације. До октобра 2021. године проглашен је стечај за више од 310 предузећа, док је 68 приватизовано од краја 2014. године. Око 36.000 запослених из 357 предузећа прихватило је социјални програм. Интензивно се ради на проналажењу решења за још 76 предузећа са готово 28.000 запослених.</w:t>
      </w:r>
    </w:p>
    <w:p w14:paraId="1FB9B0C7" w14:textId="77777777" w:rsidR="00FC43B6" w:rsidRPr="00FC43B6" w:rsidRDefault="00FC43B6" w:rsidP="00063909">
      <w:pPr>
        <w:spacing w:after="60"/>
        <w:rPr>
          <w:lang w:val="sr-Cyrl-CS" w:eastAsia="ja-JP"/>
        </w:rPr>
      </w:pPr>
      <w:r w:rsidRPr="00FC43B6">
        <w:rPr>
          <w:lang w:val="sr-Cyrl-CS" w:eastAsia="ja-JP"/>
        </w:rPr>
        <w:t>Влада је, уз подршку ЕБРД, усвојила Стратегију државног власништва и управљања привредним субјектима који су у власништву Републике Србије за период од 2021. до 2027. године као јединствени акт који пружа стратешку визију и упутства у вези са циљевима власничког управљања, циљевима финансијских и јавних политика, као и принципима корпоративног управљања и праксама надзора у складу са међународним стандардима и најбољом праксом.</w:t>
      </w:r>
    </w:p>
    <w:p w14:paraId="31BF953D" w14:textId="77777777" w:rsidR="00FC43B6" w:rsidRPr="00FC43B6" w:rsidRDefault="00FC43B6" w:rsidP="00063909">
      <w:pPr>
        <w:spacing w:after="60"/>
        <w:rPr>
          <w:lang w:val="sr-Cyrl-CS" w:eastAsia="ja-JP"/>
        </w:rPr>
      </w:pPr>
      <w:r w:rsidRPr="00FC43B6">
        <w:rPr>
          <w:lang w:val="sr-Cyrl-CS" w:eastAsia="ja-JP"/>
        </w:rPr>
        <w:t>За предузећа која чине стратешке компаније из портфолија бивше Агенције за приватизацију, решење се налази или кроз приватизационе тендере, или кроз стечај. За саобраћајно предузеће „Ласта” АД Београд изабран је приватизациони саветник још 2019. године, приводи се крају поступак процене капитала и постоје заинтересована лица за приватизацију. Уз подршку Светске банке дефинисан је акциони план за ЈП ПЕУ „Ресавица”, чије спровођење укључује проналажење решења за затварање економски неодрживих рудника и план рационализације, уз могућност добровољног одласка уз обезбеђена средства за социјални програм и средства за подршку пословању како не би дошло до гомилања доцњи у плаћањима, нарочито према ЈП ЕПС. На јавни позив за избор стратешког инвеститора за ХИП – Петрохемија пристигла је једна пријава, коју је доставила компанија НИС. Предмет јавног позива био је избор стратешког инвеститора који новчаном докапитализацијом субјекта приватизације у износу од 150 милиона евра постаје власник највише 90 одсто удела. Уколико понуда буде прихваћена приватизација се очекује до краја године. За ХИП Азотара је у септембру 2018. године проглашен стечај, а након неколико неуспелих лицитација компанија је у мају ове године продата компанији Промист д.о.о. док се за МСК Кикинда решење тражи у налажењу стратешких партнера или инвеститора.</w:t>
      </w:r>
    </w:p>
    <w:p w14:paraId="1DCD21EC" w14:textId="77777777" w:rsidR="00FC43B6" w:rsidRPr="00FC43B6" w:rsidRDefault="00FC43B6" w:rsidP="00063909">
      <w:pPr>
        <w:spacing w:after="60"/>
        <w:rPr>
          <w:lang w:val="sr-Cyrl-CS" w:eastAsia="ja-JP"/>
        </w:rPr>
      </w:pPr>
      <w:r w:rsidRPr="00FC43B6">
        <w:rPr>
          <w:lang w:val="sr-Cyrl-CS" w:eastAsia="ja-JP"/>
        </w:rPr>
        <w:lastRenderedPageBreak/>
        <w:t>За одређени број компанија у државном власништву се траже стратешки партнери или други модели приватизације, односно спровођење унапред припремљених планова реорганизације (УППР).</w:t>
      </w:r>
    </w:p>
    <w:p w14:paraId="619B2FA0" w14:textId="77777777" w:rsidR="00FC43B6" w:rsidRPr="00FC43B6" w:rsidRDefault="00FC43B6" w:rsidP="00063909">
      <w:pPr>
        <w:spacing w:after="60"/>
        <w:rPr>
          <w:lang w:val="sr-Cyrl-CS" w:eastAsia="ja-JP"/>
        </w:rPr>
      </w:pPr>
      <w:r w:rsidRPr="00FC43B6">
        <w:rPr>
          <w:lang w:val="sr-Cyrl-CS" w:eastAsia="ja-JP"/>
        </w:rPr>
        <w:t>Побољшање управљања јавним финансијама је нужно не само као подршка мерама фискалне стабилизације и структурним реформама, већ као процес који подиже квалитет државне управе и осигурава привлачан амбијент за инвеститоре. Нови Програм реформе управљања јавним финансијама за период од 2021–2025. године усвојен је у јуну ове године.</w:t>
      </w:r>
    </w:p>
    <w:p w14:paraId="197F059D" w14:textId="77777777" w:rsidR="00FC43B6" w:rsidRPr="00FC43B6" w:rsidRDefault="00FC43B6" w:rsidP="00063909">
      <w:pPr>
        <w:spacing w:after="60"/>
        <w:rPr>
          <w:lang w:val="sr-Cyrl-CS" w:eastAsia="ja-JP"/>
        </w:rPr>
      </w:pPr>
      <w:r w:rsidRPr="00FC43B6">
        <w:rPr>
          <w:lang w:val="sr-Cyrl-CS" w:eastAsia="ja-JP"/>
        </w:rPr>
        <w:t>Област управљања јавним финансијама којој је озбиљно посвећена пажња и на чијем се унапређењу ради је управљање јавним инвестицијама. Јачањем оквира управљања јавним инвестицијама интензивирају се нови инфраструктурни пројекти и подиже квалитет постојеће инфраструктуре. У априлу 2018. године усвојен је Закон о планском систему Републике Србије, којим је успостављен национални оквир за планирање и којим су дефинисани План развоја и Инвестициони план. Систем управљања јавним инвестицијама, који се развија уз помоћ Светске банке, укључује интегрисану базу података о инвестиционим пројектима, која је тренутно у развоју и успостављену јединствену листу приоритетних пројеката (</w:t>
      </w:r>
      <w:r w:rsidRPr="00FC43B6">
        <w:rPr>
          <w:i/>
          <w:lang w:val="sr-Cyrl-CS" w:eastAsia="ja-JP"/>
        </w:rPr>
        <w:t>Single Project Pipeline</w:t>
      </w:r>
      <w:r w:rsidRPr="00FC43B6">
        <w:rPr>
          <w:lang w:val="sr-Cyrl-CS" w:eastAsia="ja-JP"/>
        </w:rPr>
        <w:t>), како би систем почео с функционисањем почетком идуће године, а до краја године постао потпуно функционалан.</w:t>
      </w:r>
    </w:p>
    <w:p w14:paraId="39070E82" w14:textId="77777777" w:rsidR="00FC43B6" w:rsidRPr="00FC43B6" w:rsidRDefault="00FC43B6" w:rsidP="00063909">
      <w:pPr>
        <w:spacing w:after="60"/>
        <w:rPr>
          <w:spacing w:val="-2"/>
          <w:lang w:val="sr-Cyrl-CS" w:eastAsia="ja-JP"/>
        </w:rPr>
      </w:pPr>
      <w:r w:rsidRPr="00FC43B6">
        <w:rPr>
          <w:spacing w:val="-2"/>
          <w:lang w:val="sr-Cyrl-CS" w:eastAsia="ja-JP"/>
        </w:rPr>
        <w:t>Јавно-приватна партнерства (</w:t>
      </w:r>
      <w:r w:rsidRPr="00FC43B6">
        <w:rPr>
          <w:i/>
          <w:spacing w:val="-2"/>
          <w:lang w:val="sr-Cyrl-CS" w:eastAsia="ja-JP"/>
        </w:rPr>
        <w:t>Public-Private Partnerships</w:t>
      </w:r>
      <w:r w:rsidRPr="00FC43B6">
        <w:rPr>
          <w:spacing w:val="-2"/>
          <w:lang w:val="sr-Cyrl-CS" w:eastAsia="ja-JP"/>
        </w:rPr>
        <w:t xml:space="preserve"> – PPP), као специфичан вид сарадње државе и приватног сектора захтевају посебну пажњу и опрез, стога ће Министарство финансија убудуће вршити процену свих предлога с гледишта анализе трошкова и користи и поделе ризика.</w:t>
      </w:r>
    </w:p>
    <w:p w14:paraId="5EC46D16" w14:textId="24D8A9FB" w:rsidR="00FC43B6" w:rsidRPr="00FC43B6" w:rsidRDefault="00FC43B6" w:rsidP="00063909">
      <w:pPr>
        <w:spacing w:after="60"/>
        <w:rPr>
          <w:lang w:val="sr-Cyrl-CS" w:eastAsia="ja-JP"/>
        </w:rPr>
      </w:pPr>
      <w:r w:rsidRPr="00FC43B6">
        <w:rPr>
          <w:lang w:val="sr-Cyrl-CS" w:eastAsia="ja-JP"/>
        </w:rPr>
        <w:t xml:space="preserve">Нови Акциони план трансформације Пореске управе за период 2021–2025. године усвојен у мају 2021. године, дефинише стратешке смернице и временске рокове у којим ће бити спроведене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 заједно са реформом и модернизацијом инспекцијског надзора. Спроведено је организационо раздвајање основних активности од оних које се сматрају споредним, с тим да се основне активности сад обављају у мањем броју организационих јединица, односно извршена је њихова консолидација. Анализа пословних процеса и потребних ресурса, омогућиће развијање адекватне организационе структуре и менаџмента, унапређење управљања пројектима и дизајн адекватне структуре запослених. Следећа фаза реформи је усмерена на информационе системе. Уводи се нови модел фискализације (е-фискализација), који ће омогућити контролу у реалном времену, смањити трошкове, повећати ефикасност и створити боље пословно окружење. У новембру почиње процес преласка на нови систем, а прелазни период ће трајати до краја априла следеће године. Држава ће овај процес потпомоћи директним субвенцијама пореским обвезницима за набавку нових фискалних уређаја у износу од 100 евра за сваку локацију и додатних 100 евра за сваки уређај, за које су пријаве већ почеле и трајаће до краја 2022. године. Наставља се спровођење мера које за циљ имају смањење просечног времена за повраћај ПДВ, односно поштовање прописаних рокова, уз примену начела опрезности, како би се могућности превара свеле на минимум, а обвезницима с ниским ризиком повраћаји били исплаћени што раније. Центар за велике пореске обвезнике (ЦВПО) ће проширити свој делокруг, односно биће повећан број субјеката који своје пореске обавезе измирују преко овог система, а истовремено се ради и на јачању капацитета ове веома значајне организационе јединице у оквиру Пореске управе. Усвајањем Закона о утврђивању </w:t>
      </w:r>
      <w:r w:rsidRPr="00FC43B6">
        <w:rPr>
          <w:lang w:val="sr-Cyrl-CS" w:eastAsia="ja-JP"/>
        </w:rPr>
        <w:lastRenderedPageBreak/>
        <w:t xml:space="preserve">порекла имовине и посебном порезу и образовањем посебне организационе јединице Пореске управе, створили су се услови за унакрсну анализу имовине и прихода лица, како би се истражили случајеви неоснованог обогаћења и утврдиле обавезе по основу посебног пореза. Пореска управа је имала значајну улогу у спровођењу дела мера које су предузете као одговор на кризу изазвану </w:t>
      </w:r>
      <w:r w:rsidR="0063502F">
        <w:rPr>
          <w:szCs w:val="24"/>
          <w:lang w:val="sr-Cyrl-RS"/>
        </w:rPr>
        <w:t>Ковид</w:t>
      </w:r>
      <w:r w:rsidRPr="00FC43B6">
        <w:rPr>
          <w:lang w:val="sr-Cyrl-CS" w:eastAsia="ja-JP"/>
        </w:rPr>
        <w:t>-19: одлагање плаћања пореза на зараде и доприносе и њихово плаћање на 24 рате, почевши од јануара ове године, одлагање плаћања аконтације пореза на добит правних лица за други квартал 2020. године, тромесечни мораторијум на принудну наплату и смањење камате на порески дуг.</w:t>
      </w:r>
    </w:p>
    <w:p w14:paraId="3099D95B" w14:textId="72F7A314" w:rsidR="000C44D1" w:rsidRPr="00735870" w:rsidRDefault="00735870" w:rsidP="00063909">
      <w:pPr>
        <w:keepNext/>
        <w:keepLines/>
        <w:spacing w:before="120" w:line="259" w:lineRule="auto"/>
        <w:jc w:val="left"/>
        <w:outlineLvl w:val="1"/>
        <w:rPr>
          <w:rFonts w:eastAsia="Calibri" w:cs="Times New Roman"/>
          <w:b/>
          <w:szCs w:val="28"/>
          <w:lang w:val="sr-Cyrl-RS"/>
        </w:rPr>
      </w:pPr>
      <w:bookmarkStart w:id="24" w:name="_Toc89375530"/>
      <w:r w:rsidRPr="00735870">
        <w:rPr>
          <w:rFonts w:eastAsia="Calibri" w:cs="Times New Roman"/>
          <w:b/>
          <w:szCs w:val="28"/>
        </w:rPr>
        <w:t>4.</w:t>
      </w:r>
      <w:r w:rsidR="000C44D1" w:rsidRPr="00735870">
        <w:rPr>
          <w:rFonts w:eastAsia="Calibri" w:cs="Times New Roman"/>
          <w:b/>
          <w:szCs w:val="28"/>
          <w:lang w:val="sr-Cyrl-RS"/>
        </w:rPr>
        <w:t>8. ФИСКАЛНО УПРАВЉАЊЕ И БУЏЕТСКИ ОКВИРИ</w:t>
      </w:r>
      <w:bookmarkEnd w:id="24"/>
    </w:p>
    <w:p w14:paraId="19345546" w14:textId="77777777" w:rsidR="00FC43B6" w:rsidRPr="00FC43B6" w:rsidRDefault="00FC43B6" w:rsidP="00063909">
      <w:pPr>
        <w:spacing w:after="60"/>
        <w:rPr>
          <w:lang w:val="sr-Cyrl-CS" w:eastAsia="ja-JP"/>
        </w:rPr>
      </w:pPr>
      <w:r w:rsidRPr="00FC43B6">
        <w:rPr>
          <w:lang w:val="sr-Cyrl-CS" w:eastAsia="ja-JP"/>
        </w:rPr>
        <w:t>Како би се обезбедила стабилност и одрживост јавних финансија на дужи рок потребан је функционалан систем фискалних правила. Тренутно важећа фискална правила су уведена још 2010. године, али нису помогла у заустављању раста дефицита и јавног дуга. Због пандемије је одложено доношење новог сета фискалних правила. Од 2020. године поново је уведена индексација пензија, где се пензије усклађују коришћењем „швајцарске формуле”, уз поштовање лимита од 11% БДП за укупне расходе за пензије. Током идуће године очекује се усвајање фискалног правила које дефинише ниво дефицита и којим се обезбеђује да ниво јавног дуга буде постављен на силазну путању. Приликом дефинисања новог сета фискалних правила, осим Министарства финансија, активно учешће имаће ММФ и Фискални савет.</w:t>
      </w:r>
    </w:p>
    <w:p w14:paraId="07B81069" w14:textId="77777777" w:rsidR="00FC43B6" w:rsidRPr="00FC43B6" w:rsidRDefault="00FC43B6" w:rsidP="00063909">
      <w:pPr>
        <w:spacing w:after="60"/>
        <w:rPr>
          <w:lang w:val="sr-Cyrl-CS" w:eastAsia="ja-JP"/>
        </w:rPr>
      </w:pPr>
      <w:r w:rsidRPr="00FC43B6">
        <w:rPr>
          <w:lang w:val="sr-Cyrl-CS" w:eastAsia="ja-JP"/>
        </w:rPr>
        <w:t>Информациони систем извршења буџета – ИСИБ, је део система управљања јавним финансијама који обухвата процесе и поступке који се спроводе електронском комуникацијом са Управом за трезор у саставу Министарства финансија. Развој овог система ће омогућити укључивање свих индиректних корисника централног нивоа власти. У систем су укључени директни корисници јавних средстава, правосудни органи и индиректни корисници Министарства културе и информисања, Министарства за рад, запошљавање, борачка и социјална питања и Управе за извршење кривичних санкција, који нису били део претходног система (ФМИС), којег је ИСИБ заменио почетком 2018. године. Ван система се налазе индиректни корисници Министарства просвете, науке и технолошког развоја, чије се укључивање очекује у наредном периоду. Систем је оспособљен да убудуће омогући интеграцију нових корисника.</w:t>
      </w:r>
    </w:p>
    <w:p w14:paraId="3B5A458A" w14:textId="58E7B00E" w:rsidR="00DA545E" w:rsidRDefault="00FC43B6" w:rsidP="00063909">
      <w:pPr>
        <w:spacing w:after="60"/>
        <w:rPr>
          <w:lang w:val="sr-Cyrl-CS" w:eastAsia="ja-JP"/>
        </w:rPr>
      </w:pPr>
      <w:r w:rsidRPr="00FC43B6">
        <w:rPr>
          <w:lang w:val="sr-Cyrl-CS" w:eastAsia="ja-JP"/>
        </w:rPr>
        <w:t>Побољшање квалитета и транспарентности националне статистике се врши кроз унапређење свеобухватне, правовремене и аутоматске размене података између надлежних институција. У априлу 2018. године објављена је листа институција које чине сектор опште државе, као и остале секторе, у складу са Европским системом рачуна (ESA) 2010 и GFSM 2014, на основу чега је РЗС (у сарадњи са Министарством финансија и НБС) почео с достављањем података у Проширени општи систем дисеминације података (e-GDDS). Ови подаци се објављују у складу са методологијом GFSM 2014. Сектор за макроекономске и фискалне анализе и пројекције Министарства финансија у сарадњи са ММФ је први покренуо поступак конверзије података о јавним финансијама из националне методологије у методологију GFSM 2014 и израду консолидованих извештаја за ниво опште државе и по нивоима власти и њихово публиковање преко националне странице сумарних података (National Summary Data Page – NSDP), која је доступна на веб-сајту РЗС, као и у билтену ММФ о стандардима дисеминације (Dissemination St</w:t>
      </w:r>
      <w:r w:rsidR="00196F94">
        <w:rPr>
          <w:lang w:val="sr-Cyrl-CS" w:eastAsia="ja-JP"/>
        </w:rPr>
        <w:t>andards Bulletin Board – DSBB).</w:t>
      </w:r>
    </w:p>
    <w:p w14:paraId="4B59EA0B" w14:textId="6C683F7A" w:rsidR="00063909" w:rsidRDefault="00063909" w:rsidP="00063909">
      <w:pPr>
        <w:spacing w:after="60"/>
        <w:rPr>
          <w:lang w:val="sr-Cyrl-CS" w:eastAsia="ja-JP"/>
        </w:rPr>
      </w:pPr>
    </w:p>
    <w:p w14:paraId="093A3E05" w14:textId="77777777" w:rsidR="00DC7F92" w:rsidRPr="00862061" w:rsidRDefault="00DC7F92" w:rsidP="00DC7F92">
      <w:pPr>
        <w:keepNext/>
        <w:keepLines/>
        <w:spacing w:after="240"/>
        <w:outlineLvl w:val="0"/>
        <w:rPr>
          <w:rFonts w:ascii="Calibri" w:eastAsia="Calibri" w:hAnsi="Calibri" w:cs="Times New Roman"/>
          <w:sz w:val="28"/>
          <w:szCs w:val="28"/>
        </w:rPr>
      </w:pPr>
      <w:bookmarkStart w:id="25" w:name="_Toc89375531"/>
      <w:r w:rsidRPr="00862061">
        <w:rPr>
          <w:rFonts w:eastAsia="Calibri" w:cs="Times New Roman"/>
          <w:b/>
          <w:sz w:val="28"/>
          <w:szCs w:val="28"/>
        </w:rPr>
        <w:lastRenderedPageBreak/>
        <w:t>5. СТРУКТУРНЕ РЕФОРМЕ У ПЕРИОДУ 2022-2024.</w:t>
      </w:r>
      <w:bookmarkEnd w:id="25"/>
    </w:p>
    <w:p w14:paraId="1A69EE0E" w14:textId="77777777" w:rsidR="00DC7F92" w:rsidRPr="00862061" w:rsidRDefault="00DC7F92" w:rsidP="00DC7F92">
      <w:pPr>
        <w:keepNext/>
        <w:keepLines/>
        <w:spacing w:before="120"/>
        <w:outlineLvl w:val="1"/>
        <w:rPr>
          <w:rFonts w:eastAsia="Times New Roman" w:cs="Times New Roman"/>
          <w:b/>
          <w:bCs/>
          <w:szCs w:val="24"/>
        </w:rPr>
      </w:pPr>
      <w:bookmarkStart w:id="26" w:name="_Toc89375532"/>
      <w:r w:rsidRPr="00862061">
        <w:rPr>
          <w:rFonts w:eastAsia="Times New Roman" w:cs="Times New Roman"/>
          <w:b/>
          <w:bCs/>
          <w:szCs w:val="24"/>
        </w:rPr>
        <w:t>5.1. ИДЕНТИФИКАЦИЈА ТРИ КЉУЧН</w:t>
      </w:r>
      <w:r w:rsidRPr="00862061">
        <w:rPr>
          <w:rFonts w:eastAsia="Times New Roman" w:cs="Times New Roman"/>
          <w:b/>
          <w:bCs/>
          <w:szCs w:val="24"/>
          <w:lang w:val="sr-Cyrl-RS"/>
        </w:rPr>
        <w:t>А</w:t>
      </w:r>
      <w:r w:rsidRPr="00862061">
        <w:rPr>
          <w:rFonts w:eastAsia="Times New Roman" w:cs="Times New Roman"/>
          <w:b/>
          <w:bCs/>
          <w:szCs w:val="24"/>
        </w:rPr>
        <w:t xml:space="preserve"> </w:t>
      </w:r>
      <w:r w:rsidRPr="00862061">
        <w:rPr>
          <w:rFonts w:eastAsia="Times New Roman" w:cs="Times New Roman"/>
          <w:b/>
          <w:bCs/>
          <w:szCs w:val="24"/>
          <w:lang w:val="sr-Cyrl-RS"/>
        </w:rPr>
        <w:t>ИЗАЗОВА</w:t>
      </w:r>
      <w:r w:rsidRPr="00862061">
        <w:rPr>
          <w:rFonts w:eastAsia="Times New Roman" w:cs="Times New Roman"/>
          <w:b/>
          <w:bCs/>
          <w:szCs w:val="24"/>
        </w:rPr>
        <w:t xml:space="preserve"> ЗА КОНКУРЕНТНОСТ И ИНКЛУЗИВНИ РАСТ И ПОВЕЗАНЕ СТРУКТУРНЕ РЕФОРМЕ</w:t>
      </w:r>
      <w:bookmarkEnd w:id="26"/>
    </w:p>
    <w:p w14:paraId="6CDE5750" w14:textId="77777777" w:rsidR="00DC7F92" w:rsidRPr="00862061" w:rsidRDefault="00DC7F92" w:rsidP="00DC7F92">
      <w:pPr>
        <w:shd w:val="clear" w:color="auto" w:fill="D9D9D9"/>
        <w:spacing w:before="120"/>
        <w:rPr>
          <w:rFonts w:eastAsia="Calibri" w:cs="Times New Roman"/>
          <w:b/>
          <w:i/>
          <w:szCs w:val="24"/>
        </w:rPr>
      </w:pPr>
      <w:r w:rsidRPr="00862061">
        <w:rPr>
          <w:rFonts w:eastAsia="Calibri" w:cs="Times New Roman"/>
          <w:b/>
          <w:i/>
          <w:szCs w:val="24"/>
          <w:lang w:val="sr-Cyrl-RS"/>
        </w:rPr>
        <w:t>Кључни изазов број 1: Повећање запослености, посебно младих</w:t>
      </w:r>
      <w:r w:rsidRPr="00862061">
        <w:rPr>
          <w:rFonts w:eastAsia="Calibri" w:cs="Times New Roman"/>
          <w:b/>
          <w:i/>
          <w:szCs w:val="24"/>
          <w:lang w:val="sr-Latn-RS"/>
        </w:rPr>
        <w:t>,</w:t>
      </w:r>
      <w:r w:rsidRPr="00862061">
        <w:rPr>
          <w:rFonts w:eastAsia="Calibri" w:cs="Times New Roman"/>
          <w:b/>
          <w:i/>
          <w:szCs w:val="24"/>
          <w:lang w:val="sr-Cyrl-RS"/>
        </w:rPr>
        <w:t xml:space="preserve"> и</w:t>
      </w:r>
      <w:r w:rsidRPr="00862061">
        <w:rPr>
          <w:rFonts w:eastAsia="Calibri" w:cs="Times New Roman"/>
          <w:b/>
          <w:i/>
          <w:szCs w:val="24"/>
        </w:rPr>
        <w:t xml:space="preserve"> усклађ</w:t>
      </w:r>
      <w:r w:rsidRPr="00862061">
        <w:rPr>
          <w:rFonts w:eastAsia="Calibri" w:cs="Times New Roman"/>
          <w:b/>
          <w:i/>
          <w:szCs w:val="24"/>
          <w:lang w:val="sr-Cyrl-RS"/>
        </w:rPr>
        <w:t>ивање</w:t>
      </w:r>
      <w:r w:rsidRPr="00862061">
        <w:rPr>
          <w:rFonts w:eastAsia="Calibri" w:cs="Times New Roman"/>
          <w:b/>
          <w:i/>
          <w:szCs w:val="24"/>
        </w:rPr>
        <w:t xml:space="preserve"> </w:t>
      </w:r>
      <w:r w:rsidRPr="00862061">
        <w:rPr>
          <w:rFonts w:eastAsia="Calibri" w:cs="Times New Roman"/>
          <w:b/>
          <w:i/>
          <w:szCs w:val="24"/>
          <w:lang w:val="sr-Cyrl-RS"/>
        </w:rPr>
        <w:t xml:space="preserve">квалификација са </w:t>
      </w:r>
      <w:r w:rsidRPr="00862061">
        <w:rPr>
          <w:rFonts w:eastAsia="Calibri" w:cs="Times New Roman"/>
          <w:b/>
          <w:i/>
          <w:szCs w:val="24"/>
        </w:rPr>
        <w:t>потреба</w:t>
      </w:r>
      <w:r w:rsidRPr="00862061">
        <w:rPr>
          <w:rFonts w:eastAsia="Calibri" w:cs="Times New Roman"/>
          <w:b/>
          <w:i/>
          <w:szCs w:val="24"/>
          <w:lang w:val="sr-Cyrl-RS"/>
        </w:rPr>
        <w:t>ма</w:t>
      </w:r>
      <w:r w:rsidRPr="00862061">
        <w:rPr>
          <w:rFonts w:eastAsia="Calibri" w:cs="Times New Roman"/>
          <w:b/>
          <w:i/>
          <w:szCs w:val="24"/>
        </w:rPr>
        <w:t xml:space="preserve"> тржишта рада</w:t>
      </w:r>
    </w:p>
    <w:p w14:paraId="28C89C2A"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Утицај пандемије Ковид-19 на тржиште рада Србије још увек није знатније видљив</w:t>
      </w:r>
      <w:r w:rsidRPr="00862061">
        <w:rPr>
          <w:rFonts w:eastAsia="Calibri" w:cs="Times New Roman"/>
          <w:b/>
          <w:spacing w:val="1"/>
          <w:szCs w:val="24"/>
          <w:lang w:val="sr-Cyrl-RS"/>
        </w:rPr>
        <w:t xml:space="preserve"> </w:t>
      </w:r>
      <w:r w:rsidRPr="00862061">
        <w:rPr>
          <w:rFonts w:eastAsia="Calibri" w:cs="Times New Roman"/>
          <w:szCs w:val="24"/>
          <w:lang w:val="sr-Cyrl-RS"/>
        </w:rPr>
        <w:t xml:space="preserve">узимајући у обзир расположиве податке из Анкете о радној снази (АРС) у </w:t>
      </w:r>
      <w:r>
        <w:rPr>
          <w:rFonts w:eastAsia="Calibri" w:cs="Times New Roman"/>
          <w:szCs w:val="24"/>
          <w:lang w:val="sr-Latn-RS"/>
        </w:rPr>
        <w:t>Q1</w:t>
      </w:r>
      <w:r w:rsidRPr="00862061">
        <w:rPr>
          <w:rFonts w:eastAsia="Calibri" w:cs="Times New Roman"/>
          <w:szCs w:val="24"/>
          <w:lang w:val="sr-Cyrl-RS"/>
        </w:rPr>
        <w:t xml:space="preserve"> 2021. године</w:t>
      </w:r>
      <w:r w:rsidRPr="00862061">
        <w:rPr>
          <w:rFonts w:eastAsia="Calibri" w:cs="Times New Roman"/>
          <w:szCs w:val="24"/>
          <w:vertAlign w:val="superscript"/>
          <w:lang w:val="sr-Cyrl-RS"/>
        </w:rPr>
        <w:footnoteReference w:id="16"/>
      </w:r>
      <w:r w:rsidRPr="00862061">
        <w:rPr>
          <w:rFonts w:eastAsia="Calibri" w:cs="Times New Roman"/>
          <w:szCs w:val="24"/>
          <w:lang w:val="sr-Cyrl-RS"/>
        </w:rPr>
        <w:t>.</w:t>
      </w:r>
      <w:r w:rsidRPr="00862061">
        <w:rPr>
          <w:rFonts w:eastAsia="Calibri" w:cs="Times New Roman"/>
          <w:b/>
          <w:szCs w:val="24"/>
          <w:lang w:val="sr-Cyrl-RS"/>
        </w:rPr>
        <w:t xml:space="preserve"> Стопа</w:t>
      </w:r>
      <w:r w:rsidRPr="00862061">
        <w:rPr>
          <w:rFonts w:eastAsia="Calibri" w:cs="Times New Roman"/>
          <w:b/>
          <w:spacing w:val="1"/>
          <w:szCs w:val="24"/>
          <w:lang w:val="sr-Cyrl-RS"/>
        </w:rPr>
        <w:t xml:space="preserve"> </w:t>
      </w:r>
      <w:r w:rsidRPr="00862061">
        <w:rPr>
          <w:rFonts w:eastAsia="Calibri" w:cs="Times New Roman"/>
          <w:b/>
          <w:szCs w:val="24"/>
          <w:lang w:val="sr-Cyrl-RS"/>
        </w:rPr>
        <w:t xml:space="preserve">запослености </w:t>
      </w:r>
      <w:r w:rsidRPr="00862061">
        <w:rPr>
          <w:rFonts w:eastAsia="Calibri" w:cs="Times New Roman"/>
          <w:szCs w:val="24"/>
          <w:lang w:val="sr-Cyrl-RS"/>
        </w:rPr>
        <w:t xml:space="preserve">(15+) која износи </w:t>
      </w:r>
      <w:r w:rsidRPr="00862061">
        <w:rPr>
          <w:rFonts w:eastAsia="Calibri" w:cs="Times New Roman"/>
          <w:b/>
          <w:szCs w:val="24"/>
          <w:lang w:val="sr-Cyrl-RS"/>
        </w:rPr>
        <w:t xml:space="preserve">46,3% </w:t>
      </w:r>
      <w:r w:rsidRPr="00862061">
        <w:rPr>
          <w:rFonts w:eastAsia="Calibri" w:cs="Times New Roman"/>
          <w:szCs w:val="24"/>
          <w:lang w:val="sr-Cyrl-RS"/>
        </w:rPr>
        <w:t>у Q1 2021. (ЕУ-27: 5</w:t>
      </w:r>
      <w:r w:rsidRPr="00862061">
        <w:rPr>
          <w:rFonts w:eastAsia="Calibri" w:cs="Times New Roman"/>
          <w:szCs w:val="24"/>
        </w:rPr>
        <w:t>2</w:t>
      </w:r>
      <w:r w:rsidRPr="00862061">
        <w:rPr>
          <w:rFonts w:eastAsia="Calibri" w:cs="Times New Roman"/>
          <w:szCs w:val="24"/>
          <w:lang w:val="sr-Cyrl-RS"/>
        </w:rPr>
        <w:t>,</w:t>
      </w:r>
      <w:r w:rsidRPr="00862061">
        <w:rPr>
          <w:rFonts w:eastAsia="Calibri" w:cs="Times New Roman"/>
          <w:szCs w:val="24"/>
        </w:rPr>
        <w:t>1</w:t>
      </w:r>
      <w:r w:rsidRPr="00862061">
        <w:rPr>
          <w:rFonts w:eastAsia="Calibri" w:cs="Times New Roman"/>
          <w:szCs w:val="24"/>
          <w:lang w:val="sr-Cyrl-RS"/>
        </w:rPr>
        <w:t>% за становништво 15+, Q1 2021, Eurostat) бележи</w:t>
      </w:r>
      <w:r w:rsidRPr="00862061">
        <w:rPr>
          <w:rFonts w:eastAsia="Calibri" w:cs="Times New Roman"/>
          <w:spacing w:val="1"/>
          <w:szCs w:val="24"/>
          <w:lang w:val="sr-Cyrl-RS"/>
        </w:rPr>
        <w:t xml:space="preserve"> </w:t>
      </w:r>
      <w:r w:rsidRPr="00862061">
        <w:rPr>
          <w:rFonts w:eastAsia="Calibri" w:cs="Times New Roman"/>
          <w:b/>
          <w:szCs w:val="24"/>
          <w:lang w:val="sr-Cyrl-RS"/>
        </w:rPr>
        <w:t>смањење</w:t>
      </w:r>
      <w:r w:rsidRPr="00862061">
        <w:rPr>
          <w:rFonts w:eastAsia="Calibri" w:cs="Times New Roman"/>
          <w:b/>
          <w:szCs w:val="24"/>
        </w:rPr>
        <w:t xml:space="preserve"> </w:t>
      </w:r>
      <w:r w:rsidRPr="00862061">
        <w:rPr>
          <w:rFonts w:eastAsia="Calibri" w:cs="Times New Roman"/>
          <w:b/>
          <w:szCs w:val="24"/>
          <w:lang w:val="sr-Cyrl-RS"/>
        </w:rPr>
        <w:t xml:space="preserve">од 0,4 п.п. </w:t>
      </w:r>
      <w:r w:rsidRPr="00862061">
        <w:rPr>
          <w:rFonts w:eastAsia="Calibri" w:cs="Times New Roman"/>
          <w:szCs w:val="24"/>
          <w:lang w:val="sr-Cyrl-RS"/>
        </w:rPr>
        <w:t>у односу на исти квартал претходне године (ревидирани подаци</w:t>
      </w:r>
      <w:r w:rsidRPr="00862061">
        <w:rPr>
          <w:rFonts w:eastAsia="Calibri" w:cs="Times New Roman"/>
          <w:szCs w:val="24"/>
          <w:vertAlign w:val="superscript"/>
          <w:lang w:val="sr-Cyrl-RS"/>
        </w:rPr>
        <w:footnoteReference w:id="17"/>
      </w:r>
      <w:r w:rsidRPr="00862061">
        <w:rPr>
          <w:rFonts w:eastAsia="Calibri" w:cs="Times New Roman"/>
          <w:szCs w:val="24"/>
          <w:lang w:val="sr-Cyrl-RS"/>
        </w:rPr>
        <w:t xml:space="preserve">), док </w:t>
      </w:r>
      <w:r w:rsidRPr="00862061">
        <w:rPr>
          <w:rFonts w:eastAsia="Calibri" w:cs="Times New Roman"/>
          <w:b/>
          <w:szCs w:val="24"/>
          <w:lang w:val="sr-Cyrl-RS"/>
        </w:rPr>
        <w:t xml:space="preserve">број запослених </w:t>
      </w:r>
      <w:r w:rsidRPr="00862061">
        <w:rPr>
          <w:rFonts w:eastAsia="Calibri" w:cs="Times New Roman"/>
          <w:szCs w:val="24"/>
          <w:lang w:val="sr-Cyrl-RS"/>
        </w:rPr>
        <w:t>износи</w:t>
      </w:r>
      <w:r w:rsidRPr="00862061">
        <w:rPr>
          <w:rFonts w:eastAsia="Calibri" w:cs="Times New Roman"/>
          <w:spacing w:val="1"/>
          <w:szCs w:val="24"/>
          <w:lang w:val="sr-Cyrl-RS"/>
        </w:rPr>
        <w:t xml:space="preserve"> </w:t>
      </w:r>
      <w:r w:rsidRPr="00862061">
        <w:rPr>
          <w:rFonts w:eastAsia="Calibri" w:cs="Times New Roman"/>
          <w:b/>
          <w:spacing w:val="-1"/>
          <w:szCs w:val="24"/>
          <w:lang w:val="sr-Cyrl-RS"/>
        </w:rPr>
        <w:t>2,72 милиона</w:t>
      </w:r>
      <w:r w:rsidRPr="00862061">
        <w:rPr>
          <w:rFonts w:eastAsia="Calibri" w:cs="Times New Roman"/>
          <w:b/>
          <w:spacing w:val="-10"/>
          <w:szCs w:val="24"/>
          <w:lang w:val="sr-Cyrl-RS"/>
        </w:rPr>
        <w:t xml:space="preserve"> </w:t>
      </w:r>
      <w:r w:rsidRPr="00862061">
        <w:rPr>
          <w:rFonts w:eastAsia="Calibri" w:cs="Times New Roman"/>
          <w:spacing w:val="-1"/>
          <w:szCs w:val="24"/>
          <w:lang w:val="sr-Cyrl-RS"/>
        </w:rPr>
        <w:t>(смањење</w:t>
      </w:r>
      <w:r w:rsidRPr="00862061">
        <w:rPr>
          <w:rFonts w:eastAsia="Calibri" w:cs="Times New Roman"/>
          <w:spacing w:val="-11"/>
          <w:szCs w:val="24"/>
          <w:lang w:val="sr-Cyrl-RS"/>
        </w:rPr>
        <w:t xml:space="preserve"> </w:t>
      </w:r>
      <w:r w:rsidRPr="00862061">
        <w:rPr>
          <w:rFonts w:eastAsia="Calibri" w:cs="Times New Roman"/>
          <w:szCs w:val="24"/>
          <w:lang w:val="sr-Cyrl-RS"/>
        </w:rPr>
        <w:t>од</w:t>
      </w:r>
      <w:r w:rsidRPr="00862061">
        <w:rPr>
          <w:rFonts w:eastAsia="Calibri" w:cs="Times New Roman"/>
          <w:spacing w:val="-8"/>
          <w:szCs w:val="24"/>
          <w:lang w:val="sr-Cyrl-RS"/>
        </w:rPr>
        <w:t xml:space="preserve"> </w:t>
      </w:r>
      <w:r w:rsidRPr="00862061">
        <w:rPr>
          <w:rFonts w:eastAsia="Calibri" w:cs="Times New Roman"/>
          <w:szCs w:val="24"/>
          <w:lang w:val="sr-Cyrl-RS"/>
        </w:rPr>
        <w:t xml:space="preserve">37,8 хиљада међугодишње). </w:t>
      </w:r>
      <w:r w:rsidRPr="00862061">
        <w:rPr>
          <w:rFonts w:eastAsia="Calibri" w:cs="Times New Roman"/>
          <w:b/>
          <w:szCs w:val="24"/>
          <w:lang w:val="sr-Cyrl-RS"/>
        </w:rPr>
        <w:t>Значајније осцилације у показатељима запослености спречене су сетом мера Владе РС за очување ликвидности привредних субјеката и одржање привредне активности и запослености</w:t>
      </w:r>
      <w:r w:rsidRPr="00862061">
        <w:rPr>
          <w:rFonts w:eastAsia="Calibri" w:cs="Times New Roman"/>
          <w:szCs w:val="24"/>
          <w:lang w:val="sr-Cyrl-RS"/>
        </w:rPr>
        <w:t>, укључујући субвенције плата за све секторе.</w:t>
      </w:r>
    </w:p>
    <w:p w14:paraId="331BB3BA" w14:textId="77777777" w:rsidR="00DC7F92" w:rsidRPr="00862061" w:rsidRDefault="00DC7F92" w:rsidP="00DC7F92">
      <w:pPr>
        <w:spacing w:after="60"/>
        <w:rPr>
          <w:rFonts w:eastAsia="Calibri" w:cs="Times New Roman"/>
          <w:b/>
          <w:szCs w:val="24"/>
          <w:lang w:val="sr-Cyrl-RS"/>
        </w:rPr>
      </w:pPr>
      <w:r w:rsidRPr="00862061">
        <w:rPr>
          <w:rFonts w:eastAsia="Calibri" w:cs="Times New Roman"/>
          <w:b/>
          <w:szCs w:val="24"/>
          <w:lang w:val="sr-Cyrl-RS"/>
        </w:rPr>
        <w:t>Разлика</w:t>
      </w:r>
      <w:r w:rsidRPr="00862061">
        <w:rPr>
          <w:rFonts w:eastAsia="Calibri" w:cs="Times New Roman"/>
          <w:b/>
          <w:spacing w:val="-3"/>
          <w:szCs w:val="24"/>
          <w:lang w:val="sr-Cyrl-RS"/>
        </w:rPr>
        <w:t xml:space="preserve"> </w:t>
      </w:r>
      <w:r w:rsidRPr="00862061">
        <w:rPr>
          <w:rFonts w:eastAsia="Calibri" w:cs="Times New Roman"/>
          <w:b/>
          <w:szCs w:val="24"/>
          <w:lang w:val="sr-Cyrl-RS"/>
        </w:rPr>
        <w:t>у</w:t>
      </w:r>
      <w:r w:rsidRPr="00862061">
        <w:rPr>
          <w:rFonts w:eastAsia="Calibri" w:cs="Times New Roman"/>
          <w:b/>
          <w:spacing w:val="-9"/>
          <w:szCs w:val="24"/>
          <w:lang w:val="sr-Cyrl-RS"/>
        </w:rPr>
        <w:t xml:space="preserve"> </w:t>
      </w:r>
      <w:r w:rsidRPr="00862061">
        <w:rPr>
          <w:rFonts w:eastAsia="Calibri" w:cs="Times New Roman"/>
          <w:b/>
          <w:szCs w:val="24"/>
          <w:lang w:val="sr-Cyrl-RS"/>
        </w:rPr>
        <w:t>стопама</w:t>
      </w:r>
      <w:r w:rsidRPr="00862061">
        <w:rPr>
          <w:rFonts w:eastAsia="Calibri" w:cs="Times New Roman"/>
          <w:b/>
          <w:spacing w:val="-6"/>
          <w:szCs w:val="24"/>
          <w:lang w:val="sr-Cyrl-RS"/>
        </w:rPr>
        <w:t xml:space="preserve"> </w:t>
      </w:r>
      <w:r w:rsidRPr="00862061">
        <w:rPr>
          <w:rFonts w:eastAsia="Calibri" w:cs="Times New Roman"/>
          <w:b/>
          <w:szCs w:val="24"/>
          <w:lang w:val="sr-Cyrl-RS"/>
        </w:rPr>
        <w:t>запослености</w:t>
      </w:r>
      <w:r w:rsidRPr="00862061">
        <w:rPr>
          <w:rFonts w:eastAsia="Calibri" w:cs="Times New Roman"/>
          <w:b/>
          <w:spacing w:val="-6"/>
          <w:szCs w:val="24"/>
          <w:lang w:val="sr-Cyrl-RS"/>
        </w:rPr>
        <w:t xml:space="preserve"> </w:t>
      </w:r>
      <w:r w:rsidRPr="00862061">
        <w:rPr>
          <w:rFonts w:eastAsia="Calibri" w:cs="Times New Roman"/>
          <w:b/>
          <w:szCs w:val="24"/>
          <w:lang w:val="sr-Cyrl-RS"/>
        </w:rPr>
        <w:t>мушкараца</w:t>
      </w:r>
      <w:r w:rsidRPr="00862061">
        <w:rPr>
          <w:rFonts w:eastAsia="Calibri" w:cs="Times New Roman"/>
          <w:b/>
          <w:spacing w:val="-5"/>
          <w:szCs w:val="24"/>
          <w:lang w:val="sr-Cyrl-RS"/>
        </w:rPr>
        <w:t xml:space="preserve"> </w:t>
      </w:r>
      <w:r w:rsidRPr="00862061">
        <w:rPr>
          <w:rFonts w:eastAsia="Calibri" w:cs="Times New Roman"/>
          <w:b/>
          <w:szCs w:val="24"/>
          <w:lang w:val="sr-Cyrl-RS"/>
        </w:rPr>
        <w:t>и</w:t>
      </w:r>
      <w:r w:rsidRPr="00862061">
        <w:rPr>
          <w:rFonts w:eastAsia="Calibri" w:cs="Times New Roman"/>
          <w:b/>
          <w:spacing w:val="-4"/>
          <w:szCs w:val="24"/>
          <w:lang w:val="sr-Cyrl-RS"/>
        </w:rPr>
        <w:t xml:space="preserve"> </w:t>
      </w:r>
      <w:r w:rsidRPr="00862061">
        <w:rPr>
          <w:rFonts w:eastAsia="Calibri" w:cs="Times New Roman"/>
          <w:b/>
          <w:szCs w:val="24"/>
          <w:lang w:val="sr-Cyrl-RS"/>
        </w:rPr>
        <w:t>жена је</w:t>
      </w:r>
      <w:r w:rsidRPr="00862061">
        <w:rPr>
          <w:rFonts w:eastAsia="Calibri" w:cs="Times New Roman"/>
          <w:b/>
          <w:spacing w:val="-4"/>
          <w:szCs w:val="24"/>
          <w:lang w:val="sr-Cyrl-RS"/>
        </w:rPr>
        <w:t xml:space="preserve"> </w:t>
      </w:r>
      <w:r w:rsidRPr="00862061">
        <w:rPr>
          <w:rFonts w:eastAsia="Calibri" w:cs="Times New Roman"/>
          <w:b/>
          <w:szCs w:val="24"/>
          <w:lang w:val="sr-Cyrl-RS"/>
        </w:rPr>
        <w:t>висока</w:t>
      </w:r>
      <w:r w:rsidRPr="00862061">
        <w:rPr>
          <w:rFonts w:eastAsia="Calibri" w:cs="Times New Roman"/>
          <w:b/>
          <w:spacing w:val="-6"/>
          <w:szCs w:val="24"/>
          <w:lang w:val="sr-Cyrl-RS"/>
        </w:rPr>
        <w:t xml:space="preserve"> </w:t>
      </w:r>
      <w:r w:rsidRPr="00862061">
        <w:rPr>
          <w:rFonts w:eastAsia="Calibri" w:cs="Times New Roman"/>
          <w:szCs w:val="24"/>
          <w:lang w:val="sr-Cyrl-RS"/>
        </w:rPr>
        <w:t>и</w:t>
      </w:r>
      <w:r w:rsidRPr="00862061">
        <w:rPr>
          <w:rFonts w:eastAsia="Calibri" w:cs="Times New Roman"/>
          <w:spacing w:val="-3"/>
          <w:szCs w:val="24"/>
          <w:lang w:val="sr-Cyrl-RS"/>
        </w:rPr>
        <w:t xml:space="preserve"> </w:t>
      </w:r>
      <w:r w:rsidRPr="00862061">
        <w:rPr>
          <w:rFonts w:eastAsia="Calibri" w:cs="Times New Roman"/>
          <w:szCs w:val="24"/>
          <w:lang w:val="sr-Cyrl-RS"/>
        </w:rPr>
        <w:t>износи</w:t>
      </w:r>
      <w:r w:rsidRPr="00862061">
        <w:rPr>
          <w:rFonts w:eastAsia="Calibri" w:cs="Times New Roman"/>
          <w:spacing w:val="-4"/>
          <w:szCs w:val="24"/>
          <w:lang w:val="sr-Cyrl-RS"/>
        </w:rPr>
        <w:t xml:space="preserve"> </w:t>
      </w:r>
      <w:r w:rsidRPr="00862061">
        <w:rPr>
          <w:rFonts w:eastAsia="Calibri" w:cs="Times New Roman"/>
          <w:b/>
          <w:szCs w:val="24"/>
          <w:lang w:val="sr-Cyrl-RS"/>
        </w:rPr>
        <w:t>14,4</w:t>
      </w:r>
      <w:r w:rsidRPr="00862061">
        <w:rPr>
          <w:rFonts w:eastAsia="Calibri" w:cs="Times New Roman"/>
          <w:b/>
          <w:spacing w:val="-7"/>
          <w:szCs w:val="24"/>
          <w:lang w:val="sr-Cyrl-RS"/>
        </w:rPr>
        <w:t xml:space="preserve"> </w:t>
      </w:r>
      <w:r w:rsidRPr="00862061">
        <w:rPr>
          <w:rFonts w:eastAsia="Calibri" w:cs="Times New Roman"/>
          <w:b/>
          <w:szCs w:val="24"/>
          <w:lang w:val="sr-Cyrl-RS"/>
        </w:rPr>
        <w:t>п.п.</w:t>
      </w:r>
      <w:r w:rsidRPr="00862061">
        <w:rPr>
          <w:rFonts w:eastAsia="Calibri" w:cs="Times New Roman"/>
          <w:spacing w:val="-2"/>
          <w:szCs w:val="24"/>
          <w:lang w:val="sr-Cyrl-RS"/>
        </w:rPr>
        <w:t xml:space="preserve"> </w:t>
      </w:r>
      <w:r w:rsidRPr="00862061">
        <w:rPr>
          <w:rFonts w:eastAsia="Calibri" w:cs="Times New Roman"/>
          <w:szCs w:val="24"/>
          <w:lang w:val="sr-Cyrl-RS"/>
        </w:rPr>
        <w:t xml:space="preserve">у корист мушкараца у Q1 2021. (53,8% мушкарци и 39,4% жене) (ЕУ-27: разлика 11,7 п.п. - </w:t>
      </w:r>
      <w:r w:rsidRPr="00862061">
        <w:rPr>
          <w:rFonts w:eastAsia="Calibri" w:cs="Times New Roman"/>
          <w:szCs w:val="24"/>
        </w:rPr>
        <w:t>58,1%</w:t>
      </w:r>
      <w:r w:rsidRPr="00862061">
        <w:rPr>
          <w:rFonts w:eastAsia="Calibri" w:cs="Times New Roman"/>
          <w:szCs w:val="24"/>
          <w:lang w:val="sr-Cyrl-RS"/>
        </w:rPr>
        <w:t xml:space="preserve"> и 46,4% респективно, Q1 2021, Eurostat). Жене старије од 50 година које остају без посла су обесхрабрене у покушају да се поново запосле, док су младе жене на тржишту рада често суочене са проблемом усклађивања радног и породичног живота.</w:t>
      </w:r>
    </w:p>
    <w:p w14:paraId="48CAB073" w14:textId="77777777" w:rsidR="00DC7F92" w:rsidRPr="00862061" w:rsidRDefault="00DC7F92" w:rsidP="00DC7F92">
      <w:pPr>
        <w:spacing w:after="60"/>
        <w:rPr>
          <w:rFonts w:eastAsia="Calibri" w:cs="Times New Roman"/>
          <w:szCs w:val="24"/>
          <w:lang w:val="sr-Cyrl-RS"/>
        </w:rPr>
      </w:pPr>
      <w:r w:rsidRPr="00862061">
        <w:rPr>
          <w:rFonts w:eastAsia="Calibri" w:cs="Times New Roman"/>
          <w:b/>
          <w:spacing w:val="-1"/>
          <w:szCs w:val="24"/>
          <w:lang w:val="sr-Cyrl-RS"/>
        </w:rPr>
        <w:t>Стопа</w:t>
      </w:r>
      <w:r w:rsidRPr="00862061">
        <w:rPr>
          <w:rFonts w:eastAsia="Calibri" w:cs="Times New Roman"/>
          <w:b/>
          <w:spacing w:val="-12"/>
          <w:szCs w:val="24"/>
          <w:lang w:val="sr-Cyrl-RS"/>
        </w:rPr>
        <w:t xml:space="preserve"> </w:t>
      </w:r>
      <w:r w:rsidRPr="00862061">
        <w:rPr>
          <w:rFonts w:eastAsia="Calibri" w:cs="Times New Roman"/>
          <w:b/>
          <w:spacing w:val="-1"/>
          <w:szCs w:val="24"/>
          <w:lang w:val="sr-Cyrl-RS"/>
        </w:rPr>
        <w:t>незапослености</w:t>
      </w:r>
      <w:r w:rsidRPr="00862061">
        <w:rPr>
          <w:rFonts w:eastAsia="Calibri" w:cs="Times New Roman"/>
          <w:b/>
          <w:spacing w:val="-12"/>
          <w:szCs w:val="24"/>
          <w:lang w:val="sr-Cyrl-RS"/>
        </w:rPr>
        <w:t xml:space="preserve"> </w:t>
      </w:r>
      <w:r w:rsidRPr="00862061">
        <w:rPr>
          <w:rFonts w:eastAsia="Calibri" w:cs="Times New Roman"/>
          <w:b/>
          <w:szCs w:val="24"/>
          <w:lang w:val="sr-Cyrl-RS"/>
        </w:rPr>
        <w:t>(15-74)</w:t>
      </w:r>
      <w:r w:rsidRPr="00862061">
        <w:rPr>
          <w:rFonts w:eastAsia="Calibri" w:cs="Times New Roman"/>
          <w:spacing w:val="-11"/>
          <w:szCs w:val="24"/>
          <w:lang w:val="sr-Cyrl-RS"/>
        </w:rPr>
        <w:t xml:space="preserve"> </w:t>
      </w:r>
      <w:r w:rsidRPr="00862061">
        <w:rPr>
          <w:rFonts w:eastAsia="Calibri" w:cs="Times New Roman"/>
          <w:szCs w:val="24"/>
          <w:lang w:val="sr-Cyrl-RS"/>
        </w:rPr>
        <w:t xml:space="preserve">износи </w:t>
      </w:r>
      <w:r w:rsidRPr="00862061">
        <w:rPr>
          <w:rFonts w:eastAsia="Calibri" w:cs="Times New Roman"/>
          <w:b/>
          <w:szCs w:val="24"/>
          <w:lang w:val="sr-Cyrl-RS"/>
        </w:rPr>
        <w:t>12,8% у</w:t>
      </w:r>
      <w:r w:rsidRPr="00862061">
        <w:rPr>
          <w:rFonts w:eastAsia="Calibri" w:cs="Times New Roman"/>
          <w:b/>
          <w:spacing w:val="-17"/>
          <w:szCs w:val="24"/>
          <w:lang w:val="sr-Cyrl-RS"/>
        </w:rPr>
        <w:t xml:space="preserve"> </w:t>
      </w:r>
      <w:r w:rsidRPr="00862061">
        <w:rPr>
          <w:rFonts w:eastAsia="Calibri" w:cs="Times New Roman"/>
          <w:b/>
          <w:szCs w:val="24"/>
          <w:lang w:val="sr-Cyrl-RS"/>
        </w:rPr>
        <w:t>Q1 2021.</w:t>
      </w:r>
      <w:r w:rsidRPr="00862061">
        <w:rPr>
          <w:rFonts w:eastAsia="Calibri" w:cs="Times New Roman"/>
          <w:spacing w:val="-10"/>
          <w:szCs w:val="24"/>
          <w:lang w:val="sr-Cyrl-RS"/>
        </w:rPr>
        <w:t xml:space="preserve"> </w:t>
      </w:r>
      <w:r w:rsidRPr="00862061">
        <w:rPr>
          <w:rFonts w:eastAsia="Calibri" w:cs="Times New Roman"/>
          <w:szCs w:val="24"/>
          <w:lang w:val="sr-Cyrl-RS"/>
        </w:rPr>
        <w:t xml:space="preserve">(ЕУ-27: 7,8% за становништво 15-74, Q1 2021, Eurostat) што представља </w:t>
      </w:r>
      <w:r w:rsidRPr="00862061">
        <w:rPr>
          <w:rFonts w:eastAsia="Calibri" w:cs="Times New Roman"/>
          <w:b/>
          <w:szCs w:val="24"/>
          <w:lang w:val="sr-Cyrl-RS"/>
        </w:rPr>
        <w:t>раст од 2,3 п.п.</w:t>
      </w:r>
      <w:r w:rsidRPr="00862061">
        <w:rPr>
          <w:rFonts w:eastAsia="Calibri" w:cs="Times New Roman"/>
          <w:szCs w:val="24"/>
          <w:lang w:val="sr-Cyrl-RS"/>
        </w:rPr>
        <w:t xml:space="preserve"> у</w:t>
      </w:r>
      <w:r w:rsidRPr="00862061">
        <w:rPr>
          <w:rFonts w:eastAsia="Calibri" w:cs="Times New Roman"/>
          <w:spacing w:val="1"/>
          <w:szCs w:val="24"/>
          <w:lang w:val="sr-Cyrl-RS"/>
        </w:rPr>
        <w:t xml:space="preserve"> </w:t>
      </w:r>
      <w:r w:rsidRPr="00862061">
        <w:rPr>
          <w:rFonts w:eastAsia="Calibri" w:cs="Times New Roman"/>
          <w:szCs w:val="24"/>
          <w:lang w:val="sr-Cyrl-RS"/>
        </w:rPr>
        <w:t>односу на исти квартал претходне године</w:t>
      </w:r>
      <w:r w:rsidRPr="00862061">
        <w:rPr>
          <w:rFonts w:eastAsia="Calibri" w:cs="Times New Roman"/>
          <w:szCs w:val="24"/>
        </w:rPr>
        <w:t xml:space="preserve"> </w:t>
      </w:r>
      <w:r w:rsidRPr="00862061">
        <w:rPr>
          <w:rFonts w:eastAsia="Calibri" w:cs="Times New Roman"/>
          <w:szCs w:val="24"/>
          <w:lang w:val="sr-Cyrl-RS"/>
        </w:rPr>
        <w:t xml:space="preserve">(ревидирани подаци), док је </w:t>
      </w:r>
      <w:r w:rsidRPr="00862061">
        <w:rPr>
          <w:rFonts w:eastAsia="Calibri" w:cs="Times New Roman"/>
          <w:b/>
          <w:szCs w:val="24"/>
          <w:lang w:val="sr-Cyrl-RS"/>
        </w:rPr>
        <w:t>број незапослених 399,4 хиљаде</w:t>
      </w:r>
      <w:r w:rsidRPr="00862061">
        <w:rPr>
          <w:rFonts w:eastAsia="Calibri" w:cs="Times New Roman"/>
          <w:szCs w:val="24"/>
          <w:lang w:val="sr-Cyrl-RS"/>
        </w:rPr>
        <w:t xml:space="preserve"> (повећање од 75,4 хиљад</w:t>
      </w:r>
      <w:r>
        <w:rPr>
          <w:rFonts w:eastAsia="Calibri" w:cs="Times New Roman"/>
          <w:szCs w:val="24"/>
          <w:lang w:val="sr-Cyrl-RS"/>
        </w:rPr>
        <w:t>е</w:t>
      </w:r>
      <w:r w:rsidRPr="00862061">
        <w:rPr>
          <w:rFonts w:eastAsia="Calibri" w:cs="Times New Roman"/>
          <w:szCs w:val="24"/>
          <w:lang w:val="sr-Cyrl-RS"/>
        </w:rPr>
        <w:t xml:space="preserve"> међугодишње). Пандемија вируса корона</w:t>
      </w:r>
      <w:r>
        <w:rPr>
          <w:rFonts w:eastAsia="Calibri" w:cs="Times New Roman"/>
          <w:szCs w:val="24"/>
          <w:lang w:val="sr-Cyrl-RS"/>
        </w:rPr>
        <w:t xml:space="preserve"> </w:t>
      </w:r>
      <w:r w:rsidRPr="00862061">
        <w:rPr>
          <w:rFonts w:eastAsia="Calibri" w:cs="Times New Roman"/>
          <w:szCs w:val="24"/>
          <w:lang w:val="sr-Cyrl-RS"/>
        </w:rPr>
        <w:t>допринела је повећању незапослености односно до пораста броја незапослених дошло је услед „враћања“ лица из контингента неактивних (појединци нису могли да траже посао или нису били у могућности да почну да раде због мера спречавања ширења вируса</w:t>
      </w:r>
      <w:r>
        <w:rPr>
          <w:rFonts w:eastAsia="Calibri" w:cs="Times New Roman"/>
          <w:szCs w:val="24"/>
          <w:lang w:val="sr-Cyrl-RS"/>
        </w:rPr>
        <w:t xml:space="preserve"> </w:t>
      </w:r>
      <w:r w:rsidRPr="00862061">
        <w:rPr>
          <w:rFonts w:eastAsia="Calibri" w:cs="Times New Roman"/>
          <w:szCs w:val="24"/>
          <w:lang w:val="sr-Cyrl-RS"/>
        </w:rPr>
        <w:t xml:space="preserve">корона) у контингент незапослених (тренд започет у </w:t>
      </w:r>
      <w:r>
        <w:rPr>
          <w:rFonts w:eastAsia="Calibri" w:cs="Times New Roman"/>
          <w:szCs w:val="24"/>
          <w:lang w:val="sr-Latn-RS"/>
        </w:rPr>
        <w:t>Q3</w:t>
      </w:r>
      <w:r w:rsidRPr="00862061">
        <w:rPr>
          <w:rFonts w:eastAsia="Calibri" w:cs="Times New Roman"/>
          <w:szCs w:val="24"/>
          <w:lang w:val="sr-Cyrl-RS"/>
        </w:rPr>
        <w:t xml:space="preserve"> 2020.) и, мањим делом, услед смањења запослености.</w:t>
      </w:r>
    </w:p>
    <w:p w14:paraId="22E0095D" w14:textId="6B226729"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Положај младих (15-24) на тржишту рада у Србији неповољнији је у односу на општу популацију (15 и више година), али и у односу на положај младих у ЕУ.</w:t>
      </w:r>
      <w:r w:rsidRPr="00862061">
        <w:rPr>
          <w:rFonts w:eastAsia="Calibri" w:cs="Times New Roman"/>
          <w:szCs w:val="24"/>
        </w:rPr>
        <w:t xml:space="preserve"> </w:t>
      </w:r>
      <w:r w:rsidRPr="00862061">
        <w:rPr>
          <w:rFonts w:eastAsia="Calibri" w:cs="Times New Roman"/>
          <w:szCs w:val="24"/>
          <w:lang w:val="sr-Cyrl-RS"/>
        </w:rPr>
        <w:t xml:space="preserve">Учешће младих у радној снази веома је ниско по европским стандардима - стопа активности младих (15-24) износи 31,9% у Q1 2021. што је за </w:t>
      </w:r>
      <w:r w:rsidRPr="00862061">
        <w:rPr>
          <w:rFonts w:eastAsia="Calibri" w:cs="Times New Roman"/>
          <w:szCs w:val="24"/>
        </w:rPr>
        <w:t xml:space="preserve">5,7 </w:t>
      </w:r>
      <w:r w:rsidRPr="00862061">
        <w:rPr>
          <w:rFonts w:eastAsia="Calibri" w:cs="Times New Roman"/>
          <w:szCs w:val="24"/>
          <w:lang w:val="sr-Cyrl-RS"/>
        </w:rPr>
        <w:t>п.п. ниже у односу на просек у ЕУ (ЕУ-27: 37,6%, Q1 2021, Eurostat).</w:t>
      </w:r>
      <w:r w:rsidRPr="00862061">
        <w:rPr>
          <w:rFonts w:eastAsia="Calibri" w:cs="Times New Roman"/>
          <w:szCs w:val="24"/>
        </w:rPr>
        <w:t xml:space="preserve"> </w:t>
      </w:r>
      <w:r w:rsidRPr="00862061">
        <w:rPr>
          <w:rFonts w:eastAsia="Calibri" w:cs="Times New Roman"/>
          <w:szCs w:val="24"/>
          <w:lang w:val="sr-Cyrl-RS"/>
        </w:rPr>
        <w:t xml:space="preserve">Стопа запослености младих (15-24) је 21,6% у Q1 2021. што је за 9 п.п. ниже у односу на просек у ЕУ (ЕУ-27: 30,6%, Q1 2021, Eurostat). </w:t>
      </w:r>
      <w:r w:rsidRPr="00862061">
        <w:rPr>
          <w:rFonts w:eastAsia="Calibri" w:cs="Times New Roman"/>
          <w:b/>
          <w:szCs w:val="24"/>
          <w:lang w:val="sr-Cyrl-RS"/>
        </w:rPr>
        <w:t>Један од највећих изазова за младе у Србији који желе да се осамостале јесте како пронаћи и задржати стабилан посао</w:t>
      </w:r>
      <w:r w:rsidRPr="00862061">
        <w:rPr>
          <w:rFonts w:eastAsia="Calibri" w:cs="Times New Roman"/>
          <w:szCs w:val="24"/>
          <w:lang w:val="sr-Cyrl-RS"/>
        </w:rPr>
        <w:t xml:space="preserve">. </w:t>
      </w:r>
      <w:r w:rsidRPr="00862061">
        <w:rPr>
          <w:rFonts w:eastAsia="Calibri" w:cs="Times New Roman"/>
          <w:color w:val="000000"/>
          <w:szCs w:val="24"/>
          <w:lang w:val="sr-Cyrl-RS"/>
        </w:rPr>
        <w:t xml:space="preserve">Са тешкоћама проналажења првог запослења суочавају се млади и са средњим и са високим образовањем. </w:t>
      </w:r>
      <w:r w:rsidRPr="00862061">
        <w:rPr>
          <w:rFonts w:eastAsia="Calibri" w:cs="Times New Roman"/>
          <w:b/>
          <w:color w:val="000000"/>
          <w:szCs w:val="24"/>
          <w:lang w:val="sr-Cyrl-RS"/>
        </w:rPr>
        <w:t>Период транзиције из света образовања до проналажења првог запослења у Србији износи скоро две године</w:t>
      </w:r>
      <w:r w:rsidRPr="00862061">
        <w:rPr>
          <w:rFonts w:eastAsia="Calibri" w:cs="Times New Roman"/>
          <w:color w:val="000000"/>
          <w:szCs w:val="24"/>
          <w:lang w:val="sr-Cyrl-RS"/>
        </w:rPr>
        <w:t xml:space="preserve"> (23,4 месеца) према истраживању Међународне организације рада</w:t>
      </w:r>
      <w:r w:rsidRPr="00862061">
        <w:rPr>
          <w:rFonts w:eastAsia="Calibri" w:cs="Times New Roman"/>
          <w:color w:val="000000"/>
          <w:szCs w:val="24"/>
          <w:vertAlign w:val="superscript"/>
          <w:lang w:val="sr-Cyrl-RS"/>
        </w:rPr>
        <w:footnoteReference w:id="18"/>
      </w:r>
      <w:r>
        <w:rPr>
          <w:rFonts w:eastAsia="Calibri" w:cs="Times New Roman"/>
          <w:color w:val="000000"/>
          <w:szCs w:val="24"/>
          <w:lang w:val="sr-Cyrl-RS"/>
        </w:rPr>
        <w:t xml:space="preserve"> </w:t>
      </w:r>
      <w:r>
        <w:rPr>
          <w:rFonts w:eastAsia="Calibri" w:cs="Times New Roman"/>
          <w:color w:val="000000"/>
          <w:szCs w:val="24"/>
          <w:lang w:val="sr-Cyrl-RS"/>
        </w:rPr>
        <w:lastRenderedPageBreak/>
        <w:t>што</w:t>
      </w:r>
      <w:r w:rsidRPr="00862061">
        <w:rPr>
          <w:rFonts w:eastAsia="Calibri" w:cs="Times New Roman"/>
          <w:color w:val="000000"/>
          <w:szCs w:val="24"/>
          <w:lang w:val="sr-Cyrl-RS"/>
        </w:rPr>
        <w:t xml:space="preserve"> је много дуже од 6,5 </w:t>
      </w:r>
      <w:r w:rsidRPr="007B7740">
        <w:rPr>
          <w:rFonts w:eastAsia="Calibri" w:cs="Times New Roman"/>
          <w:color w:val="000000"/>
          <w:szCs w:val="24"/>
          <w:lang w:val="sr-Cyrl-RS"/>
        </w:rPr>
        <w:t>месеци</w:t>
      </w:r>
      <w:r>
        <w:rPr>
          <w:rFonts w:eastAsia="Calibri" w:cs="Times New Roman"/>
          <w:color w:val="000000"/>
          <w:szCs w:val="24"/>
          <w:lang w:val="sr-Latn-RS"/>
        </w:rPr>
        <w:t xml:space="preserve"> (Eurostat, 2009)</w:t>
      </w:r>
      <w:r w:rsidRPr="00862061">
        <w:rPr>
          <w:rFonts w:eastAsia="Calibri" w:cs="Times New Roman"/>
          <w:color w:val="000000"/>
          <w:szCs w:val="24"/>
          <w:lang w:val="sr-Cyrl-RS"/>
        </w:rPr>
        <w:t xml:space="preserve">, што је просечно време за које млада особа нађе први посао након завршетка образовања у ЕУ. Поред тога што нису запослени, значајан број младих истовремено је и ван процеса образовања и обуке - у Србији </w:t>
      </w:r>
      <w:r w:rsidRPr="00862061">
        <w:rPr>
          <w:rFonts w:eastAsia="Calibri" w:cs="Times New Roman"/>
          <w:i/>
          <w:spacing w:val="-3"/>
          <w:szCs w:val="24"/>
          <w:lang w:val="sr-Cyrl-RS"/>
        </w:rPr>
        <w:t>NEET</w:t>
      </w:r>
      <w:r w:rsidRPr="00862061">
        <w:rPr>
          <w:rFonts w:eastAsia="Calibri" w:cs="Times New Roman"/>
          <w:spacing w:val="-3"/>
          <w:szCs w:val="24"/>
          <w:vertAlign w:val="superscript"/>
          <w:lang w:val="sr-Cyrl-RS"/>
        </w:rPr>
        <w:footnoteReference w:id="19"/>
      </w:r>
      <w:r w:rsidRPr="00862061">
        <w:rPr>
          <w:rFonts w:eastAsia="Calibri" w:cs="Times New Roman"/>
          <w:szCs w:val="24"/>
          <w:lang w:val="sr-Cyrl-RS"/>
        </w:rPr>
        <w:t xml:space="preserve"> стопа</w:t>
      </w:r>
      <w:r w:rsidRPr="00862061">
        <w:rPr>
          <w:rFonts w:eastAsia="Calibri" w:cs="Times New Roman"/>
          <w:spacing w:val="-10"/>
          <w:szCs w:val="24"/>
          <w:lang w:val="sr-Cyrl-RS"/>
        </w:rPr>
        <w:t xml:space="preserve"> </w:t>
      </w:r>
      <w:r w:rsidRPr="00862061">
        <w:rPr>
          <w:rFonts w:eastAsia="Calibri" w:cs="Times New Roman"/>
          <w:szCs w:val="24"/>
          <w:lang w:val="sr-Cyrl-RS"/>
        </w:rPr>
        <w:t>младих</w:t>
      </w:r>
      <w:r w:rsidRPr="00862061">
        <w:rPr>
          <w:rFonts w:eastAsia="Calibri" w:cs="Times New Roman"/>
          <w:spacing w:val="-3"/>
          <w:szCs w:val="24"/>
          <w:lang w:val="sr-Cyrl-RS"/>
        </w:rPr>
        <w:t xml:space="preserve"> </w:t>
      </w:r>
      <w:r w:rsidRPr="00862061">
        <w:rPr>
          <w:rFonts w:eastAsia="Calibri" w:cs="Times New Roman"/>
          <w:szCs w:val="24"/>
          <w:lang w:val="sr-Cyrl-RS"/>
        </w:rPr>
        <w:t>(15-24) износи</w:t>
      </w:r>
      <w:r w:rsidRPr="00862061">
        <w:rPr>
          <w:rFonts w:eastAsia="Calibri" w:cs="Times New Roman"/>
          <w:spacing w:val="-8"/>
          <w:szCs w:val="24"/>
          <w:lang w:val="sr-Cyrl-RS"/>
        </w:rPr>
        <w:t xml:space="preserve"> </w:t>
      </w:r>
      <w:r w:rsidRPr="00862061">
        <w:rPr>
          <w:rFonts w:eastAsia="Calibri" w:cs="Times New Roman"/>
          <w:szCs w:val="24"/>
          <w:lang w:val="sr-Cyrl-RS"/>
        </w:rPr>
        <w:t>17,7%</w:t>
      </w:r>
      <w:r w:rsidRPr="00862061">
        <w:rPr>
          <w:rFonts w:eastAsia="Calibri" w:cs="Times New Roman"/>
          <w:spacing w:val="-5"/>
          <w:szCs w:val="24"/>
          <w:lang w:val="sr-Cyrl-RS"/>
        </w:rPr>
        <w:t xml:space="preserve"> </w:t>
      </w:r>
      <w:r w:rsidRPr="00862061">
        <w:rPr>
          <w:rFonts w:eastAsia="Calibri" w:cs="Times New Roman"/>
          <w:szCs w:val="24"/>
          <w:lang w:val="sr-Cyrl-RS"/>
        </w:rPr>
        <w:t>у</w:t>
      </w:r>
      <w:r w:rsidRPr="00862061">
        <w:rPr>
          <w:rFonts w:eastAsia="Calibri" w:cs="Times New Roman"/>
          <w:spacing w:val="-12"/>
          <w:szCs w:val="24"/>
          <w:lang w:val="sr-Cyrl-RS"/>
        </w:rPr>
        <w:t xml:space="preserve"> </w:t>
      </w:r>
      <w:r w:rsidRPr="00862061">
        <w:rPr>
          <w:rFonts w:eastAsia="Calibri" w:cs="Times New Roman"/>
          <w:szCs w:val="24"/>
          <w:lang w:val="sr-Cyrl-RS"/>
        </w:rPr>
        <w:t>Q1 2021. што је више од просека у ЕУ (ЕУ-27: 11,1%, 2020, Eurostat). Стопа незапослености младих</w:t>
      </w:r>
      <w:r w:rsidRPr="00862061">
        <w:rPr>
          <w:rFonts w:eastAsia="Calibri" w:cs="Times New Roman"/>
          <w:b/>
          <w:szCs w:val="24"/>
          <w:lang w:val="sr-Cyrl-RS"/>
        </w:rPr>
        <w:t xml:space="preserve"> </w:t>
      </w:r>
      <w:r w:rsidRPr="00862061">
        <w:rPr>
          <w:rFonts w:eastAsia="Calibri" w:cs="Times New Roman"/>
          <w:szCs w:val="24"/>
          <w:lang w:val="sr-Cyrl-RS"/>
        </w:rPr>
        <w:t>(15–24), која износи 32,2%</w:t>
      </w:r>
      <w:r w:rsidRPr="00862061">
        <w:rPr>
          <w:rFonts w:eastAsia="Calibri" w:cs="Times New Roman"/>
          <w:b/>
          <w:szCs w:val="24"/>
          <w:lang w:val="sr-Cyrl-RS"/>
        </w:rPr>
        <w:t xml:space="preserve"> </w:t>
      </w:r>
      <w:r w:rsidRPr="00862061">
        <w:rPr>
          <w:rFonts w:eastAsia="Calibri" w:cs="Times New Roman"/>
          <w:szCs w:val="24"/>
          <w:lang w:val="sr-Cyrl-RS"/>
        </w:rPr>
        <w:t>у Q1 2021. године, је показатељ по коме се млади у Србији налазе у најнеповољнијем положају у односу на младе у ЕУ, односно ова стопа је виша за 13,5 п.п. од стопе незапослености младих у ЕУ (ЕУ-27: 18,7%, Q1 2021, Eurostat).</w:t>
      </w:r>
    </w:p>
    <w:p w14:paraId="07D4099C"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Имајући у виду све ове податке, </w:t>
      </w:r>
      <w:r w:rsidRPr="00862061">
        <w:rPr>
          <w:rFonts w:eastAsia="Calibri" w:cs="Times New Roman"/>
          <w:b/>
          <w:szCs w:val="24"/>
          <w:lang w:val="sr-Cyrl-RS"/>
        </w:rPr>
        <w:t>потребно је појачати политику запошљавања младих</w:t>
      </w:r>
      <w:r w:rsidRPr="00862061">
        <w:rPr>
          <w:rFonts w:eastAsia="Calibri" w:cs="Times New Roman"/>
          <w:szCs w:val="24"/>
          <w:lang w:val="sr-Cyrl-RS"/>
        </w:rPr>
        <w:t xml:space="preserve"> односно </w:t>
      </w:r>
      <w:r>
        <w:rPr>
          <w:rFonts w:eastAsia="Calibri" w:cs="Times New Roman"/>
          <w:b/>
          <w:szCs w:val="24"/>
          <w:lang w:val="sr-Cyrl-RS"/>
        </w:rPr>
        <w:t>радити на постепеном увођењу Г</w:t>
      </w:r>
      <w:r w:rsidRPr="00862061">
        <w:rPr>
          <w:rFonts w:eastAsia="Calibri" w:cs="Times New Roman"/>
          <w:b/>
          <w:szCs w:val="24"/>
          <w:lang w:val="sr-Cyrl-RS"/>
        </w:rPr>
        <w:t>аранциј</w:t>
      </w:r>
      <w:r>
        <w:rPr>
          <w:rFonts w:eastAsia="Calibri" w:cs="Times New Roman"/>
          <w:b/>
          <w:szCs w:val="24"/>
          <w:lang w:val="sr-Cyrl-RS"/>
        </w:rPr>
        <w:t>е</w:t>
      </w:r>
      <w:r w:rsidRPr="00862061">
        <w:rPr>
          <w:rFonts w:eastAsia="Calibri" w:cs="Times New Roman"/>
          <w:b/>
          <w:szCs w:val="24"/>
          <w:lang w:val="sr-Cyrl-RS"/>
        </w:rPr>
        <w:t xml:space="preserve"> за младе</w:t>
      </w:r>
      <w:r w:rsidRPr="00862061">
        <w:rPr>
          <w:rFonts w:eastAsia="Calibri" w:cs="Times New Roman"/>
          <w:b/>
          <w:szCs w:val="24"/>
          <w:vertAlign w:val="superscript"/>
          <w:lang w:val="sr-Cyrl-RS"/>
        </w:rPr>
        <w:footnoteReference w:id="20"/>
      </w:r>
      <w:r w:rsidRPr="00862061">
        <w:rPr>
          <w:rFonts w:eastAsia="Calibri" w:cs="Times New Roman"/>
          <w:szCs w:val="24"/>
          <w:lang w:val="sr-Cyrl-RS"/>
        </w:rPr>
        <w:t xml:space="preserve"> у сарадњи са свим релевантним министарствима, социјалним партнерима и осталим заинтересованим странама</w:t>
      </w:r>
      <w:r>
        <w:rPr>
          <w:rFonts w:eastAsia="Calibri" w:cs="Times New Roman"/>
          <w:szCs w:val="24"/>
          <w:lang w:val="sr-Cyrl-RS"/>
        </w:rPr>
        <w:t>, у складу са потврђеном Декларацијом</w:t>
      </w:r>
      <w:r w:rsidRPr="00862061">
        <w:rPr>
          <w:rFonts w:eastAsia="Calibri" w:cs="Times New Roman"/>
          <w:szCs w:val="24"/>
          <w:lang w:val="sr-Cyrl-RS"/>
        </w:rPr>
        <w:t xml:space="preserve"> Западног Балкана о одрживој интеграцији младих на тржиште рада</w:t>
      </w:r>
      <w:r w:rsidRPr="00862061">
        <w:rPr>
          <w:rFonts w:eastAsia="Calibri" w:cs="Times New Roman"/>
          <w:szCs w:val="24"/>
          <w:vertAlign w:val="superscript"/>
          <w:lang w:val="sr-Cyrl-RS"/>
        </w:rPr>
        <w:footnoteReference w:id="21"/>
      </w:r>
      <w:r>
        <w:rPr>
          <w:rFonts w:eastAsia="Calibri" w:cs="Times New Roman"/>
          <w:szCs w:val="24"/>
          <w:lang w:val="sr-Cyrl-RS"/>
        </w:rPr>
        <w:t>.</w:t>
      </w:r>
    </w:p>
    <w:p w14:paraId="6C814A76"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Како би се остварио </w:t>
      </w:r>
      <w:r w:rsidRPr="00862061">
        <w:rPr>
          <w:rFonts w:eastAsia="Calibri" w:cs="Times New Roman"/>
          <w:b/>
          <w:szCs w:val="24"/>
          <w:lang w:val="sr-Cyrl-RS"/>
        </w:rPr>
        <w:t>континуитет у спровођењу политике запошљавања</w:t>
      </w:r>
      <w:r w:rsidRPr="00862061">
        <w:rPr>
          <w:rFonts w:eastAsia="Calibri" w:cs="Times New Roman"/>
          <w:szCs w:val="24"/>
          <w:lang w:val="sr-Cyrl-RS"/>
        </w:rPr>
        <w:t xml:space="preserve">, али и </w:t>
      </w:r>
      <w:r w:rsidRPr="00862061">
        <w:rPr>
          <w:rFonts w:eastAsia="Calibri" w:cs="Times New Roman"/>
          <w:b/>
          <w:szCs w:val="24"/>
          <w:lang w:val="sr-Cyrl-RS"/>
        </w:rPr>
        <w:t>даљи развој у складу са потребама националног тржишта рада и наставак усаглашавања са стандардима</w:t>
      </w:r>
      <w:r w:rsidRPr="00862061">
        <w:rPr>
          <w:rFonts w:eastAsia="Calibri" w:cs="Times New Roman"/>
          <w:szCs w:val="24"/>
          <w:lang w:val="sr-Cyrl-RS"/>
        </w:rPr>
        <w:t xml:space="preserve"> у овој области који важе за државе чланице Европске уније, донета је</w:t>
      </w:r>
      <w:r w:rsidRPr="00862061">
        <w:rPr>
          <w:rFonts w:eastAsia="Calibri" w:cs="Times New Roman"/>
          <w:b/>
          <w:i/>
          <w:szCs w:val="24"/>
        </w:rPr>
        <w:t xml:space="preserve"> </w:t>
      </w:r>
      <w:r w:rsidRPr="00862061">
        <w:rPr>
          <w:rFonts w:eastAsia="Calibri" w:cs="Times New Roman"/>
          <w:b/>
          <w:i/>
          <w:szCs w:val="24"/>
          <w:lang w:val="sr-Cyrl-RS"/>
        </w:rPr>
        <w:t>Стратегија запошљавања у Републици Србији за период од 2021. до 2026. године</w:t>
      </w:r>
      <w:r w:rsidRPr="00862061">
        <w:rPr>
          <w:rFonts w:eastAsia="Calibri" w:cs="Times New Roman"/>
          <w:b/>
          <w:i/>
          <w:szCs w:val="24"/>
          <w:vertAlign w:val="superscript"/>
          <w:lang w:val="sr-Cyrl-RS"/>
        </w:rPr>
        <w:footnoteReference w:id="22"/>
      </w:r>
      <w:r w:rsidRPr="00862061">
        <w:rPr>
          <w:rFonts w:eastAsia="Calibri" w:cs="Times New Roman"/>
          <w:szCs w:val="24"/>
          <w:lang w:val="sr-Cyrl-RS"/>
        </w:rPr>
        <w:t xml:space="preserve"> и </w:t>
      </w:r>
      <w:r w:rsidRPr="00862061">
        <w:rPr>
          <w:rFonts w:eastAsia="Calibri" w:cs="Times New Roman"/>
          <w:b/>
          <w:i/>
          <w:szCs w:val="24"/>
          <w:lang w:val="sr-Cyrl-RS"/>
        </w:rPr>
        <w:t>Акциони план за период од 2021. до 2023. године</w:t>
      </w:r>
      <w:r w:rsidRPr="00862061">
        <w:rPr>
          <w:rFonts w:eastAsia="Calibri" w:cs="Times New Roman"/>
          <w:b/>
          <w:i/>
          <w:szCs w:val="24"/>
          <w:vertAlign w:val="superscript"/>
          <w:lang w:val="sr-Cyrl-RS"/>
        </w:rPr>
        <w:footnoteReference w:id="23"/>
      </w:r>
      <w:r w:rsidRPr="00862061">
        <w:rPr>
          <w:rFonts w:eastAsia="Calibri" w:cs="Times New Roman"/>
          <w:szCs w:val="24"/>
          <w:lang w:val="sr-Cyrl-RS"/>
        </w:rPr>
        <w:t xml:space="preserve"> за њено сповођење. Општи циљ Стратегије запошљавања је успостављање </w:t>
      </w:r>
      <w:r w:rsidRPr="00862061">
        <w:rPr>
          <w:rFonts w:eastAsia="Calibri" w:cs="Times New Roman"/>
          <w:b/>
          <w:szCs w:val="24"/>
          <w:lang w:val="sr-Cyrl-RS"/>
        </w:rPr>
        <w:t>стабилног и одрживог раста запослености заснованог на знању и достојанственом раду</w:t>
      </w:r>
      <w:r w:rsidRPr="00862061">
        <w:rPr>
          <w:rFonts w:eastAsia="Calibri" w:cs="Times New Roman"/>
          <w:szCs w:val="24"/>
          <w:lang w:val="sr-Cyrl-RS"/>
        </w:rPr>
        <w:t xml:space="preserve">. Предвиђене су </w:t>
      </w:r>
      <w:r w:rsidRPr="00862061">
        <w:rPr>
          <w:rFonts w:eastAsia="Calibri" w:cs="Times New Roman"/>
          <w:b/>
          <w:szCs w:val="24"/>
          <w:lang w:val="sr-Cyrl-RS"/>
        </w:rPr>
        <w:t>међусекторске мере</w:t>
      </w:r>
      <w:r w:rsidRPr="00862061">
        <w:rPr>
          <w:rFonts w:eastAsia="Calibri" w:cs="Times New Roman"/>
          <w:szCs w:val="24"/>
          <w:lang w:val="sr-Cyrl-RS"/>
        </w:rPr>
        <w:t xml:space="preserve"> које ће се реализовати у сарадњи са секторима образовања, привреде, финансија и социјалне заштите, док се са јединицама локалне самоуправе планира даљи развој локалне политике запошљавања. Ове међусекторске мере су усмерене на </w:t>
      </w:r>
      <w:r w:rsidRPr="00862061">
        <w:rPr>
          <w:rFonts w:eastAsia="Calibri" w:cs="Times New Roman"/>
          <w:b/>
          <w:szCs w:val="24"/>
          <w:lang w:val="sr-Cyrl-RS"/>
        </w:rPr>
        <w:t>унапређење понуде рада и тражње за радом</w:t>
      </w:r>
      <w:r w:rsidRPr="00862061">
        <w:rPr>
          <w:rFonts w:eastAsia="Calibri" w:cs="Times New Roman"/>
          <w:szCs w:val="24"/>
          <w:lang w:val="sr-Cyrl-RS"/>
        </w:rPr>
        <w:t xml:space="preserve"> и треба да доведу до раста квалитетне запослености. Ради унапређења положаја незапослених лица на тржишту рада, мере предвиђене у Стратегији запошљавања односе се на реализацију мера активне политике запошљавања (АПЗ), на унапређење њиховог спровођења, на креирање нових мера АПЗ, као и на унапређење праћења стања и кретања на тржишту рада и исхода и утицаја мера АПЗ. Посебне мере предвиђене су за </w:t>
      </w:r>
      <w:r w:rsidRPr="00862061">
        <w:rPr>
          <w:rFonts w:eastAsia="Calibri" w:cs="Times New Roman"/>
          <w:b/>
          <w:szCs w:val="24"/>
          <w:lang w:val="sr-Cyrl-RS"/>
        </w:rPr>
        <w:t xml:space="preserve">унапређење положаја жена, младих, особа са инвалидитетом, корисника новчане социјалне помоћи, </w:t>
      </w:r>
      <w:r w:rsidRPr="00862061">
        <w:rPr>
          <w:rFonts w:eastAsia="Calibri" w:cs="Times New Roman"/>
          <w:szCs w:val="24"/>
          <w:lang w:val="sr-Cyrl-RS"/>
        </w:rPr>
        <w:t>као и</w:t>
      </w:r>
      <w:r w:rsidRPr="00862061">
        <w:rPr>
          <w:rFonts w:eastAsia="Calibri" w:cs="Times New Roman"/>
          <w:b/>
          <w:szCs w:val="24"/>
          <w:lang w:val="sr-Cyrl-RS"/>
        </w:rPr>
        <w:t xml:space="preserve"> Рома и Ромкиња</w:t>
      </w:r>
      <w:r w:rsidRPr="00862061">
        <w:rPr>
          <w:rFonts w:eastAsia="Calibri" w:cs="Times New Roman"/>
          <w:szCs w:val="24"/>
          <w:lang w:val="sr-Cyrl-RS"/>
        </w:rPr>
        <w:t>, имајући у виду њихову заступљеност и друге карактеристике које указују на неповољан положај на тржишту рада, али ће фокус бити и на другим рањивим категоријама незапослених који без додатне и интензивне подршке у тражењу посла не могу самостално да поправе свој положај на тржишту рада.</w:t>
      </w:r>
    </w:p>
    <w:p w14:paraId="371271D3" w14:textId="77777777" w:rsidR="00DC7F92" w:rsidRPr="00862061" w:rsidRDefault="00DC7F92" w:rsidP="00DC7F92">
      <w:pPr>
        <w:spacing w:after="60"/>
        <w:rPr>
          <w:rFonts w:eastAsia="Calibri" w:cs="Times New Roman"/>
          <w:strike/>
          <w:szCs w:val="24"/>
          <w:lang w:val="sr-Cyrl-RS"/>
        </w:rPr>
      </w:pPr>
      <w:r w:rsidRPr="00862061">
        <w:rPr>
          <w:rFonts w:eastAsia="Calibri" w:cs="Times New Roman"/>
          <w:b/>
          <w:szCs w:val="24"/>
          <w:lang w:val="sr-Cyrl-RS"/>
        </w:rPr>
        <w:t>Издвајања за активну политику запошљавања</w:t>
      </w:r>
      <w:r w:rsidRPr="00862061">
        <w:rPr>
          <w:rFonts w:eastAsia="Calibri" w:cs="Times New Roman"/>
          <w:b/>
          <w:szCs w:val="24"/>
        </w:rPr>
        <w:t xml:space="preserve">, </w:t>
      </w:r>
      <w:r w:rsidRPr="00862061">
        <w:rPr>
          <w:rFonts w:eastAsia="Calibri" w:cs="Times New Roman"/>
          <w:b/>
          <w:szCs w:val="24"/>
          <w:lang w:val="sr-Cyrl-RS"/>
        </w:rPr>
        <w:t>иако недовољна за већи обухват незапослених лица, се последњих година повећавају</w:t>
      </w:r>
      <w:r>
        <w:rPr>
          <w:rFonts w:eastAsia="Calibri" w:cs="Times New Roman"/>
          <w:szCs w:val="24"/>
          <w:lang w:val="sr-Cyrl-RS"/>
        </w:rPr>
        <w:t>. За реализацију планираних</w:t>
      </w:r>
      <w:r w:rsidRPr="00862061">
        <w:rPr>
          <w:rFonts w:eastAsia="Calibri" w:cs="Times New Roman"/>
          <w:szCs w:val="24"/>
          <w:lang w:val="sr-Cyrl-RS"/>
        </w:rPr>
        <w:t xml:space="preserve"> мера активне политике запошљавања обезбеђено је 43,3 мил</w:t>
      </w:r>
      <w:r>
        <w:rPr>
          <w:rFonts w:eastAsia="Calibri" w:cs="Times New Roman"/>
          <w:szCs w:val="24"/>
          <w:lang w:val="sr-Cyrl-RS"/>
        </w:rPr>
        <w:t xml:space="preserve">иона евра </w:t>
      </w:r>
      <w:r w:rsidRPr="00862061">
        <w:rPr>
          <w:rFonts w:eastAsia="Calibri" w:cs="Times New Roman"/>
          <w:szCs w:val="24"/>
          <w:lang w:val="sr-Cyrl-RS"/>
        </w:rPr>
        <w:t xml:space="preserve">(5,2 </w:t>
      </w:r>
      <w:r>
        <w:rPr>
          <w:rFonts w:eastAsia="Calibri" w:cs="Times New Roman"/>
          <w:szCs w:val="24"/>
          <w:lang w:val="sr-Cyrl-RS"/>
        </w:rPr>
        <w:t>милијарде динара</w:t>
      </w:r>
      <w:r w:rsidRPr="00862061">
        <w:rPr>
          <w:rFonts w:eastAsia="Calibri" w:cs="Times New Roman"/>
          <w:szCs w:val="24"/>
          <w:vertAlign w:val="superscript"/>
          <w:lang w:val="sr-Cyrl-RS"/>
        </w:rPr>
        <w:footnoteReference w:id="24"/>
      </w:r>
      <w:r w:rsidRPr="00862061">
        <w:rPr>
          <w:rFonts w:eastAsia="Calibri" w:cs="Times New Roman"/>
          <w:szCs w:val="24"/>
          <w:lang w:val="sr-Cyrl-RS"/>
        </w:rPr>
        <w:t xml:space="preserve">) у 2021. години, што је повећање од 40% у односу на 2020. годину (3,7 </w:t>
      </w:r>
      <w:r>
        <w:rPr>
          <w:rFonts w:eastAsia="Calibri" w:cs="Times New Roman"/>
          <w:szCs w:val="24"/>
          <w:lang w:val="sr-Cyrl-RS"/>
        </w:rPr>
        <w:t>милијарди динара</w:t>
      </w:r>
      <w:r w:rsidRPr="00862061">
        <w:rPr>
          <w:rFonts w:eastAsia="Calibri" w:cs="Times New Roman"/>
          <w:szCs w:val="24"/>
          <w:lang w:val="sr-Cyrl-RS"/>
        </w:rPr>
        <w:t xml:space="preserve"> или 30,8 мил</w:t>
      </w:r>
      <w:r>
        <w:rPr>
          <w:rFonts w:eastAsia="Calibri" w:cs="Times New Roman"/>
          <w:szCs w:val="24"/>
          <w:lang w:val="sr-Cyrl-RS"/>
        </w:rPr>
        <w:t>иона евра</w:t>
      </w:r>
      <w:r w:rsidRPr="00862061">
        <w:rPr>
          <w:rFonts w:eastAsia="Calibri" w:cs="Times New Roman"/>
          <w:szCs w:val="24"/>
          <w:lang w:val="sr-Cyrl-RS"/>
        </w:rPr>
        <w:t>)</w:t>
      </w:r>
      <w:r>
        <w:rPr>
          <w:rFonts w:eastAsia="Calibri" w:cs="Times New Roman"/>
          <w:szCs w:val="24"/>
          <w:lang w:val="sr-Cyrl-RS"/>
        </w:rPr>
        <w:t xml:space="preserve"> </w:t>
      </w:r>
      <w:r>
        <w:rPr>
          <w:rFonts w:cs="Times New Roman"/>
          <w:szCs w:val="24"/>
          <w:lang w:val="sr-Cyrl-RS"/>
        </w:rPr>
        <w:t>које је условљено увођењем Програма за подстицање запошљавања младих „Моја прва плата</w:t>
      </w:r>
      <w:r>
        <w:rPr>
          <w:rFonts w:cs="Times New Roman"/>
          <w:szCs w:val="24"/>
          <w:lang w:val="sr-Latn-RS"/>
        </w:rPr>
        <w:t>“</w:t>
      </w:r>
      <w:r w:rsidRPr="00862061">
        <w:rPr>
          <w:rFonts w:eastAsia="Calibri" w:cs="Times New Roman"/>
          <w:szCs w:val="24"/>
          <w:lang w:val="sr-Cyrl-RS"/>
        </w:rPr>
        <w:t>.</w:t>
      </w:r>
    </w:p>
    <w:p w14:paraId="59A5874A" w14:textId="77777777" w:rsidR="00DC7F92" w:rsidRPr="00862061" w:rsidRDefault="00DC7F92" w:rsidP="00DC7F92">
      <w:pPr>
        <w:widowControl w:val="0"/>
        <w:spacing w:after="60"/>
        <w:rPr>
          <w:rFonts w:eastAsia="Calibri" w:cs="Times New Roman"/>
          <w:color w:val="000000"/>
          <w:szCs w:val="24"/>
          <w:lang w:val="sr-Cyrl-RS"/>
        </w:rPr>
      </w:pPr>
      <w:r w:rsidRPr="00862061">
        <w:rPr>
          <w:rFonts w:eastAsia="Calibri" w:cs="Times New Roman"/>
          <w:b/>
          <w:szCs w:val="24"/>
          <w:lang w:val="sr-Cyrl-RS"/>
        </w:rPr>
        <w:t>Ученици не располажу практичним и примењивим знањима и вештинама потребним за рад у реалном радном окружењу по завршетку средње стручне школе.</w:t>
      </w:r>
      <w:r w:rsidRPr="00862061">
        <w:rPr>
          <w:rFonts w:eastAsia="Calibri" w:cs="Times New Roman"/>
          <w:szCs w:val="24"/>
          <w:lang w:val="sr-Cyrl-RS"/>
        </w:rPr>
        <w:t xml:space="preserve"> </w:t>
      </w:r>
      <w:r w:rsidRPr="00862061">
        <w:rPr>
          <w:rFonts w:eastAsia="Calibri" w:cs="Times New Roman"/>
          <w:szCs w:val="24"/>
          <w:lang w:val="sr-Cyrl-RS"/>
        </w:rPr>
        <w:lastRenderedPageBreak/>
        <w:t xml:space="preserve">Такође, </w:t>
      </w:r>
      <w:r w:rsidRPr="00862061">
        <w:rPr>
          <w:rFonts w:eastAsia="Calibri" w:cs="Times New Roman"/>
          <w:b/>
          <w:szCs w:val="24"/>
          <w:lang w:val="sr-Cyrl-RS"/>
        </w:rPr>
        <w:t>недостатак радног искуства, једна је од најчешћих препрека за запошљавање младих</w:t>
      </w:r>
      <w:r w:rsidRPr="00862061">
        <w:rPr>
          <w:rFonts w:eastAsia="Calibri" w:cs="Times New Roman"/>
          <w:szCs w:val="24"/>
          <w:lang w:val="sr-Cyrl-RS"/>
        </w:rPr>
        <w:t xml:space="preserve">, тако да је младима неопходно омогућити да још </w:t>
      </w:r>
      <w:r w:rsidRPr="00862061">
        <w:rPr>
          <w:rFonts w:eastAsia="Calibri" w:cs="Times New Roman"/>
          <w:b/>
          <w:szCs w:val="24"/>
          <w:lang w:val="sr-Cyrl-RS"/>
        </w:rPr>
        <w:t>током процеса формалног образовања остваре одређени контакт са тржиштем рада</w:t>
      </w:r>
      <w:r w:rsidRPr="00862061">
        <w:rPr>
          <w:rFonts w:eastAsia="Calibri" w:cs="Times New Roman"/>
          <w:szCs w:val="24"/>
          <w:lang w:val="sr-Cyrl-RS"/>
        </w:rPr>
        <w:t xml:space="preserve">. </w:t>
      </w:r>
      <w:r w:rsidRPr="00862061">
        <w:rPr>
          <w:rFonts w:eastAsia="Calibri" w:cs="Times New Roman"/>
          <w:bCs/>
          <w:color w:val="000000"/>
          <w:szCs w:val="24"/>
          <w:lang w:val="sr-Cyrl-RS"/>
        </w:rPr>
        <w:t>С</w:t>
      </w:r>
      <w:r w:rsidRPr="00862061">
        <w:rPr>
          <w:rFonts w:eastAsia="Calibri" w:cs="Times New Roman"/>
          <w:color w:val="000000"/>
          <w:szCs w:val="24"/>
          <w:lang w:val="sr-Cyrl-RS"/>
        </w:rPr>
        <w:t xml:space="preserve">тицање, усавршавање и развој компетенција у складу са потребама тржишта рада </w:t>
      </w:r>
      <w:r w:rsidRPr="00862061">
        <w:rPr>
          <w:rFonts w:eastAsia="Calibri" w:cs="Times New Roman"/>
          <w:szCs w:val="24"/>
          <w:lang w:val="sr-Cyrl-RS"/>
        </w:rPr>
        <w:t xml:space="preserve">обезбеђени су и </w:t>
      </w:r>
      <w:r w:rsidRPr="00862061">
        <w:rPr>
          <w:rFonts w:eastAsia="Calibri" w:cs="Times New Roman"/>
          <w:b/>
          <w:szCs w:val="24"/>
          <w:lang w:val="sr-Cyrl-RS"/>
        </w:rPr>
        <w:t>дуалним образовањем</w:t>
      </w:r>
      <w:r w:rsidRPr="00862061">
        <w:rPr>
          <w:rFonts w:eastAsia="Calibri" w:cs="Times New Roman"/>
          <w:bCs/>
          <w:szCs w:val="24"/>
          <w:lang w:val="sr-Cyrl-RS"/>
        </w:rPr>
        <w:t>, моделом средњег стручног образовања у оквиру кога се теоријска настава и вежбе реализују у школи, а учење кроз рад у компанијама</w:t>
      </w:r>
      <w:r w:rsidRPr="00862061">
        <w:rPr>
          <w:rFonts w:eastAsia="Calibri" w:cs="Times New Roman"/>
          <w:bCs/>
          <w:szCs w:val="24"/>
          <w:shd w:val="clear" w:color="auto" w:fill="FFFFFF"/>
          <w:lang w:val="sr-Cyrl-RS"/>
        </w:rPr>
        <w:t>. Системом дуалног образовања обухваћено је преко 10.000 ученика. Број дуалних образовних профила, који се реализују у преко 150 средњих стручних школа, нарастао је на 54</w:t>
      </w:r>
      <w:r w:rsidRPr="00862061">
        <w:rPr>
          <w:rFonts w:eastAsia="Calibri" w:cs="Times New Roman"/>
          <w:bCs/>
          <w:szCs w:val="24"/>
          <w:shd w:val="clear" w:color="auto" w:fill="FFFFFF"/>
        </w:rPr>
        <w:t>.</w:t>
      </w:r>
      <w:r w:rsidRPr="00862061">
        <w:rPr>
          <w:rFonts w:eastAsia="Calibri" w:cs="Times New Roman"/>
          <w:szCs w:val="24"/>
          <w:lang w:val="sr-Cyrl-RS"/>
        </w:rPr>
        <w:t xml:space="preserve"> </w:t>
      </w:r>
      <w:r w:rsidRPr="00862061">
        <w:rPr>
          <w:rFonts w:eastAsia="Times New Roman" w:cs="Times New Roman"/>
          <w:szCs w:val="24"/>
          <w:lang w:val="sr-Cyrl-RS" w:eastAsia="sr-Cyrl-CS" w:bidi="sr-Cyrl-CS"/>
        </w:rPr>
        <w:t>Од укупног броја активних образовних профила у средњем стручном образовању школске 202</w:t>
      </w:r>
      <w:r w:rsidRPr="00862061">
        <w:rPr>
          <w:rFonts w:eastAsia="Times New Roman" w:cs="Times New Roman"/>
          <w:szCs w:val="24"/>
          <w:lang w:eastAsia="sr-Cyrl-CS" w:bidi="sr-Cyrl-CS"/>
        </w:rPr>
        <w:t>1</w:t>
      </w:r>
      <w:r w:rsidRPr="00862061">
        <w:rPr>
          <w:rFonts w:eastAsia="Times New Roman" w:cs="Times New Roman"/>
          <w:szCs w:val="24"/>
          <w:lang w:val="sr-Cyrl-RS" w:eastAsia="sr-Cyrl-CS" w:bidi="sr-Cyrl-CS"/>
        </w:rPr>
        <w:t>/202</w:t>
      </w:r>
      <w:r w:rsidRPr="00862061">
        <w:rPr>
          <w:rFonts w:eastAsia="Times New Roman" w:cs="Times New Roman"/>
          <w:szCs w:val="24"/>
          <w:lang w:eastAsia="sr-Cyrl-CS" w:bidi="sr-Cyrl-CS"/>
        </w:rPr>
        <w:t>2</w:t>
      </w:r>
      <w:r w:rsidRPr="00862061">
        <w:rPr>
          <w:rFonts w:eastAsia="Times New Roman" w:cs="Times New Roman"/>
          <w:szCs w:val="24"/>
          <w:lang w:val="sr-Cyrl-RS" w:eastAsia="sr-Cyrl-CS" w:bidi="sr-Cyrl-CS"/>
        </w:rPr>
        <w:t xml:space="preserve"> године, њих око 22% чине дуални образовни профили.</w:t>
      </w:r>
      <w:r w:rsidRPr="00862061">
        <w:rPr>
          <w:rFonts w:eastAsia="Calibri" w:cs="Times New Roman"/>
          <w:color w:val="000000"/>
          <w:szCs w:val="24"/>
          <w:lang w:val="sr-Cyrl-RS"/>
        </w:rPr>
        <w:t xml:space="preserve"> Од укупног броја ученика првог разреда средње стручне школе у школској 202</w:t>
      </w:r>
      <w:r w:rsidRPr="00862061">
        <w:rPr>
          <w:rFonts w:eastAsia="Calibri" w:cs="Times New Roman"/>
          <w:color w:val="000000"/>
          <w:szCs w:val="24"/>
        </w:rPr>
        <w:t>1</w:t>
      </w:r>
      <w:r w:rsidRPr="00862061">
        <w:rPr>
          <w:rFonts w:eastAsia="Calibri" w:cs="Times New Roman"/>
          <w:color w:val="000000"/>
          <w:szCs w:val="24"/>
          <w:lang w:val="sr-Cyrl-RS"/>
        </w:rPr>
        <w:t>/202</w:t>
      </w:r>
      <w:r w:rsidRPr="00862061">
        <w:rPr>
          <w:rFonts w:eastAsia="Calibri" w:cs="Times New Roman"/>
          <w:color w:val="000000"/>
          <w:szCs w:val="24"/>
        </w:rPr>
        <w:t>2</w:t>
      </w:r>
      <w:r w:rsidRPr="00862061">
        <w:rPr>
          <w:rFonts w:eastAsia="Calibri" w:cs="Times New Roman"/>
          <w:color w:val="000000"/>
          <w:szCs w:val="24"/>
          <w:lang w:val="sr-Cyrl-RS"/>
        </w:rPr>
        <w:t xml:space="preserve"> години, </w:t>
      </w:r>
      <w:r w:rsidRPr="00862061">
        <w:rPr>
          <w:rFonts w:eastAsia="Calibri" w:cs="Times New Roman"/>
          <w:b/>
          <w:color w:val="000000"/>
          <w:szCs w:val="24"/>
          <w:lang w:val="sr-Cyrl-RS"/>
        </w:rPr>
        <w:t>5,</w:t>
      </w:r>
      <w:r w:rsidRPr="00862061">
        <w:rPr>
          <w:rFonts w:eastAsia="Calibri" w:cs="Times New Roman"/>
          <w:b/>
          <w:color w:val="000000"/>
          <w:szCs w:val="24"/>
        </w:rPr>
        <w:t>16</w:t>
      </w:r>
      <w:r w:rsidRPr="00862061">
        <w:rPr>
          <w:rFonts w:eastAsia="Calibri" w:cs="Times New Roman"/>
          <w:b/>
          <w:color w:val="000000"/>
          <w:szCs w:val="24"/>
          <w:lang w:val="sr-Cyrl-RS"/>
        </w:rPr>
        <w:t>% је у систему дуалног образовања</w:t>
      </w:r>
      <w:r w:rsidRPr="00862061">
        <w:rPr>
          <w:rFonts w:eastAsia="Calibri" w:cs="Times New Roman"/>
          <w:color w:val="000000"/>
          <w:szCs w:val="24"/>
          <w:lang w:val="sr-Cyrl-RS"/>
        </w:rPr>
        <w:t xml:space="preserve">. У складу са новонасталом ситуацијом изазваном пандемијом Ковид-19, </w:t>
      </w:r>
      <w:r w:rsidRPr="00862061">
        <w:rPr>
          <w:rFonts w:eastAsia="Calibri" w:cs="Times New Roman"/>
          <w:szCs w:val="24"/>
          <w:lang w:val="sr-Cyrl-RS"/>
        </w:rPr>
        <w:t xml:space="preserve">креирана је </w:t>
      </w:r>
      <w:r w:rsidRPr="00862061">
        <w:rPr>
          <w:rFonts w:eastAsia="Calibri" w:cs="Times New Roman"/>
          <w:b/>
          <w:szCs w:val="24"/>
          <w:lang w:val="sr-Cyrl-RS"/>
        </w:rPr>
        <w:t>Национална онлајн база за дуалне образовне профиле</w:t>
      </w:r>
      <w:r w:rsidRPr="00862061">
        <w:rPr>
          <w:rFonts w:eastAsia="Calibri" w:cs="Times New Roman"/>
          <w:szCs w:val="24"/>
          <w:lang w:val="sr-Cyrl-RS"/>
        </w:rPr>
        <w:t xml:space="preserve">. </w:t>
      </w:r>
      <w:r w:rsidRPr="00862061">
        <w:rPr>
          <w:rFonts w:eastAsia="Calibri" w:cs="Times New Roman"/>
          <w:color w:val="000000"/>
          <w:szCs w:val="24"/>
          <w:lang w:val="sr-Cyrl-RS"/>
        </w:rPr>
        <w:t>Приступило се и изради плана снимања часова за учење кроз рад и изради јединствене методологије за снимање материјала који су емитовани на националној платформи РТС Планета. Током ванредног стања снимљено је 764 лекција у 33 школе за дуалне образовне профиле са својим партнерским компанијама. Такође, развијена је онлајн обука инструктора у дуалном образовању, која се реализује помоћу најсавременијих платформи за онлајн учење.</w:t>
      </w:r>
    </w:p>
    <w:p w14:paraId="3E440158" w14:textId="77777777" w:rsidR="00DC7F92" w:rsidRPr="00862061" w:rsidRDefault="00DC7F92" w:rsidP="00DC7F92">
      <w:pPr>
        <w:widowControl w:val="0"/>
        <w:spacing w:after="60"/>
        <w:rPr>
          <w:rFonts w:eastAsia="Calibri" w:cs="Times New Roman"/>
          <w:color w:val="000000"/>
          <w:szCs w:val="24"/>
          <w:lang w:val="sr-Cyrl-RS"/>
        </w:rPr>
      </w:pPr>
      <w:r w:rsidRPr="00862061">
        <w:rPr>
          <w:rFonts w:eastAsia="Calibri" w:cs="Times New Roman"/>
          <w:b/>
          <w:color w:val="000000"/>
          <w:szCs w:val="24"/>
          <w:lang w:val="sr-Cyrl-RS"/>
        </w:rPr>
        <w:t xml:space="preserve">Увођење дуалног образовања у високом образовању, </w:t>
      </w:r>
      <w:r w:rsidRPr="00862061">
        <w:rPr>
          <w:rFonts w:eastAsia="Calibri" w:cs="Times New Roman"/>
          <w:color w:val="000000"/>
          <w:szCs w:val="24"/>
          <w:lang w:val="sr-Cyrl-RS"/>
        </w:rPr>
        <w:t xml:space="preserve">обезбеђено је усвајањем </w:t>
      </w:r>
      <w:r w:rsidRPr="00862061">
        <w:rPr>
          <w:rFonts w:eastAsia="Calibri" w:cs="Times New Roman"/>
          <w:i/>
          <w:color w:val="000000"/>
          <w:szCs w:val="24"/>
          <w:lang w:val="sr-Cyrl-RS"/>
        </w:rPr>
        <w:t>Закона о дуалном моделу студија у високом образовању</w:t>
      </w:r>
      <w:r w:rsidRPr="00862061">
        <w:rPr>
          <w:rFonts w:eastAsia="Calibri" w:cs="Times New Roman"/>
          <w:color w:val="000000"/>
          <w:szCs w:val="24"/>
          <w:lang w:val="sr-Cyrl-RS"/>
        </w:rPr>
        <w:t xml:space="preserve"> (</w:t>
      </w:r>
      <w:r>
        <w:rPr>
          <w:rFonts w:eastAsia="Calibri" w:cs="Times New Roman"/>
          <w:color w:val="000000"/>
          <w:szCs w:val="24"/>
          <w:lang w:val="sr-Cyrl-RS"/>
        </w:rPr>
        <w:t>„Службени гласник</w:t>
      </w:r>
      <w:r w:rsidRPr="00862061">
        <w:rPr>
          <w:rFonts w:eastAsia="Calibri" w:cs="Times New Roman"/>
          <w:color w:val="000000"/>
          <w:szCs w:val="24"/>
          <w:lang w:val="sr-Cyrl-RS"/>
        </w:rPr>
        <w:t xml:space="preserve"> РС</w:t>
      </w:r>
      <w:r>
        <w:rPr>
          <w:rFonts w:eastAsia="Calibri" w:cs="Times New Roman"/>
          <w:color w:val="000000"/>
          <w:szCs w:val="24"/>
          <w:lang w:val="sr-Cyrl-RS"/>
        </w:rPr>
        <w:t>“, бр.</w:t>
      </w:r>
      <w:r w:rsidRPr="00862061">
        <w:rPr>
          <w:rFonts w:eastAsia="Calibri" w:cs="Times New Roman"/>
          <w:color w:val="000000"/>
          <w:szCs w:val="24"/>
          <w:lang w:val="sr-Cyrl-RS"/>
        </w:rPr>
        <w:t xml:space="preserve"> 66/19), као одговор на реалне потребе домаћих и иностраних компанија које послују у Србији за адекватним, високообразованим кадром са практичним и применљивим знањима. Први акредитовани дуални студијски програми реализују се од школске 2021/2022 године у различитим областима као што су област ИТ, текстилне индустрије, машинства и ваздухопловства.</w:t>
      </w:r>
    </w:p>
    <w:p w14:paraId="51F4502E" w14:textId="77777777" w:rsidR="00DC7F92" w:rsidRPr="00862061" w:rsidRDefault="00DC7F92" w:rsidP="00DC7F92">
      <w:pPr>
        <w:widowControl w:val="0"/>
        <w:spacing w:after="60"/>
        <w:rPr>
          <w:rFonts w:eastAsia="Calibri" w:cs="Times New Roman"/>
          <w:szCs w:val="24"/>
          <w:lang w:val="sr-Cyrl-RS"/>
        </w:rPr>
      </w:pPr>
      <w:r w:rsidRPr="00862061">
        <w:rPr>
          <w:rFonts w:eastAsia="Calibri" w:cs="Times New Roman"/>
          <w:b/>
          <w:color w:val="000000"/>
          <w:szCs w:val="24"/>
          <w:lang w:val="sr-Cyrl-RS"/>
        </w:rPr>
        <w:t>Праћење усклађености потреба тржишта рада и образовања</w:t>
      </w:r>
      <w:r w:rsidRPr="00862061">
        <w:rPr>
          <w:rFonts w:eastAsia="Calibri" w:cs="Times New Roman"/>
          <w:color w:val="000000"/>
          <w:szCs w:val="24"/>
          <w:lang w:val="sr-Cyrl-RS"/>
        </w:rPr>
        <w:t xml:space="preserve">, као и планирање и вођење јавних политика у области образовања и запошљавања, </w:t>
      </w:r>
      <w:r w:rsidRPr="00862061">
        <w:rPr>
          <w:rFonts w:eastAsia="Calibri" w:cs="Times New Roman"/>
          <w:b/>
          <w:color w:val="000000"/>
          <w:szCs w:val="24"/>
          <w:lang w:val="sr-Cyrl-RS"/>
        </w:rPr>
        <w:t>омогућено</w:t>
      </w:r>
      <w:r w:rsidRPr="00862061">
        <w:rPr>
          <w:rFonts w:eastAsia="Calibri" w:cs="Times New Roman"/>
          <w:color w:val="000000"/>
          <w:szCs w:val="24"/>
          <w:lang w:val="sr-Cyrl-RS"/>
        </w:rPr>
        <w:t xml:space="preserve"> је развојем и објављивањем јединствене </w:t>
      </w:r>
      <w:r w:rsidRPr="00862061">
        <w:rPr>
          <w:rFonts w:eastAsia="Calibri" w:cs="Times New Roman"/>
          <w:b/>
          <w:color w:val="000000"/>
          <w:szCs w:val="24"/>
          <w:lang w:val="sr-Cyrl-RS"/>
        </w:rPr>
        <w:t>Листе квалификација</w:t>
      </w:r>
      <w:r w:rsidRPr="00862061">
        <w:rPr>
          <w:rFonts w:eastAsia="Calibri" w:cs="Times New Roman"/>
          <w:b/>
          <w:color w:val="000000"/>
          <w:szCs w:val="24"/>
          <w:vertAlign w:val="superscript"/>
          <w:lang w:val="sr-Cyrl-RS"/>
        </w:rPr>
        <w:footnoteReference w:id="25"/>
      </w:r>
      <w:r w:rsidRPr="00862061">
        <w:rPr>
          <w:rFonts w:eastAsia="Calibri" w:cs="Times New Roman"/>
          <w:color w:val="000000"/>
          <w:szCs w:val="24"/>
          <w:lang w:val="sr-Cyrl-RS"/>
        </w:rPr>
        <w:t xml:space="preserve"> у којој је обједињено више од </w:t>
      </w:r>
      <w:r w:rsidRPr="00862061">
        <w:rPr>
          <w:rFonts w:eastAsia="Calibri" w:cs="Times New Roman"/>
          <w:b/>
          <w:color w:val="000000"/>
          <w:szCs w:val="24"/>
          <w:lang w:val="sr-Cyrl-RS"/>
        </w:rPr>
        <w:t>4.500 квалификација</w:t>
      </w:r>
      <w:r w:rsidRPr="00862061">
        <w:rPr>
          <w:rFonts w:eastAsia="Calibri" w:cs="Times New Roman"/>
          <w:color w:val="000000"/>
          <w:szCs w:val="24"/>
          <w:lang w:val="sr-Cyrl-RS"/>
        </w:rPr>
        <w:t xml:space="preserve"> за све нивое образовања</w:t>
      </w:r>
      <w:r w:rsidRPr="007B7740">
        <w:rPr>
          <w:rFonts w:eastAsia="Calibri" w:cs="Times New Roman"/>
          <w:color w:val="000000"/>
          <w:szCs w:val="24"/>
        </w:rPr>
        <w:t>,</w:t>
      </w:r>
      <w:r w:rsidRPr="007B7740">
        <w:rPr>
          <w:rFonts w:eastAsia="Calibri" w:cs="Times New Roman"/>
          <w:color w:val="000000"/>
          <w:szCs w:val="24"/>
          <w:lang w:val="sr-Cyrl-RS"/>
        </w:rPr>
        <w:t xml:space="preserve"> као и применом Шифарника занимања</w:t>
      </w:r>
      <w:r w:rsidRPr="007B7740">
        <w:rPr>
          <w:rFonts w:eastAsia="Calibri" w:cs="Times New Roman"/>
          <w:color w:val="000000"/>
          <w:szCs w:val="24"/>
          <w:vertAlign w:val="superscript"/>
          <w:lang w:val="sr-Cyrl-RS"/>
        </w:rPr>
        <w:footnoteReference w:id="26"/>
      </w:r>
      <w:r w:rsidRPr="007B7740">
        <w:rPr>
          <w:rFonts w:eastAsia="Calibri" w:cs="Times New Roman"/>
          <w:color w:val="000000"/>
          <w:szCs w:val="24"/>
        </w:rPr>
        <w:t xml:space="preserve">, </w:t>
      </w:r>
      <w:hyperlink r:id="rId29" w:history="1">
        <w:r w:rsidRPr="007B7740">
          <w:rPr>
            <w:rFonts w:eastAsia="Calibri" w:cs="Times New Roman"/>
            <w:color w:val="0563C1" w:themeColor="hyperlink"/>
            <w:szCs w:val="24"/>
            <w:u w:val="single"/>
          </w:rPr>
          <w:t>http://kodekssifara.minrzs.gov.rs/sifarnici/sifarnik-zanimanja</w:t>
        </w:r>
      </w:hyperlink>
      <w:r w:rsidRPr="00862061">
        <w:rPr>
          <w:rFonts w:eastAsia="Calibri" w:cs="Times New Roman"/>
          <w:color w:val="000000"/>
          <w:szCs w:val="24"/>
          <w:lang w:val="sr-Cyrl-RS"/>
        </w:rPr>
        <w:t>. Ова листа представља основну базу података за регистре који су успостављени у оквиру Јединственог информационог система просвете (ЈИСП), а посебно</w:t>
      </w:r>
      <w:r w:rsidRPr="00862061">
        <w:rPr>
          <w:rFonts w:eastAsia="Calibri" w:cs="Times New Roman"/>
          <w:b/>
          <w:color w:val="000000"/>
          <w:szCs w:val="24"/>
          <w:lang w:val="sr-Cyrl-RS"/>
        </w:rPr>
        <w:t xml:space="preserve"> Регистра НОКС</w:t>
      </w:r>
      <w:r w:rsidRPr="00862061">
        <w:rPr>
          <w:rFonts w:eastAsia="Calibri" w:cs="Times New Roman"/>
          <w:color w:val="000000"/>
          <w:szCs w:val="24"/>
          <w:vertAlign w:val="superscript"/>
          <w:lang w:val="sr-Cyrl-RS"/>
        </w:rPr>
        <w:footnoteReference w:id="27"/>
      </w:r>
      <w:r w:rsidRPr="00862061">
        <w:rPr>
          <w:rFonts w:eastAsia="Calibri" w:cs="Times New Roman"/>
          <w:color w:val="000000"/>
          <w:szCs w:val="24"/>
          <w:lang w:val="sr-Cyrl-RS"/>
        </w:rPr>
        <w:t xml:space="preserve"> који је од маја 2021. доступан на Порталу НОКС </w:t>
      </w:r>
      <w:hyperlink r:id="rId30" w:history="1">
        <w:r w:rsidRPr="00862061">
          <w:rPr>
            <w:rFonts w:eastAsia="Calibri" w:cs="Times New Roman"/>
            <w:color w:val="0563C1"/>
            <w:szCs w:val="24"/>
            <w:u w:val="single"/>
            <w:lang w:val="sr-Cyrl-RS"/>
          </w:rPr>
          <w:t>https://noks.azk.gov.rs/</w:t>
        </w:r>
      </w:hyperlink>
      <w:r w:rsidRPr="00862061">
        <w:rPr>
          <w:rFonts w:eastAsia="Calibri" w:cs="Times New Roman"/>
          <w:color w:val="000000"/>
          <w:szCs w:val="24"/>
          <w:lang w:val="sr-Cyrl-RS"/>
        </w:rPr>
        <w:t xml:space="preserve">. Развој стандарда квалификација заснованих на потребама тржишта </w:t>
      </w:r>
      <w:r w:rsidRPr="00862061">
        <w:rPr>
          <w:rFonts w:eastAsia="Calibri" w:cs="Times New Roman"/>
          <w:szCs w:val="24"/>
          <w:lang w:val="sr-Cyrl-RS"/>
        </w:rPr>
        <w:t>рада и друштва у целини обезбеђен је радом 12 секторских већа, а до сада је израђено 49 стандарда квалификација у складу са новом методологијом.</w:t>
      </w:r>
    </w:p>
    <w:p w14:paraId="24B4CBEE"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Да би се олакшао прелаз из школе на посао, креиран је програм „Моја прва плата“</w:t>
      </w:r>
      <w:r w:rsidRPr="00862061">
        <w:rPr>
          <w:rFonts w:eastAsia="Calibri" w:cs="Times New Roman"/>
          <w:szCs w:val="24"/>
          <w:vertAlign w:val="superscript"/>
          <w:lang w:val="sr-Cyrl-RS"/>
        </w:rPr>
        <w:footnoteReference w:id="28"/>
      </w:r>
      <w:r w:rsidRPr="00862061">
        <w:rPr>
          <w:rFonts w:eastAsia="Calibri" w:cs="Times New Roman"/>
          <w:szCs w:val="24"/>
          <w:lang w:val="sr-Cyrl-RS"/>
        </w:rPr>
        <w:t xml:space="preserve"> као мера активне политике запошљавања, који је почео је да се споводи у 2020. Програм је наишао на велико интересовање и незапослених младих и представника привреде. Овим програмом обухваћено је </w:t>
      </w:r>
      <w:r w:rsidRPr="00862061">
        <w:rPr>
          <w:rFonts w:eastAsia="Calibri" w:cs="Times New Roman"/>
          <w:b/>
          <w:szCs w:val="24"/>
          <w:lang w:val="sr-Cyrl-RS"/>
        </w:rPr>
        <w:t>8.224 младих</w:t>
      </w:r>
      <w:r w:rsidRPr="00862061">
        <w:rPr>
          <w:rFonts w:eastAsia="Calibri" w:cs="Times New Roman"/>
          <w:szCs w:val="24"/>
          <w:lang w:val="sr-Cyrl-RS"/>
        </w:rPr>
        <w:t xml:space="preserve"> (4.852 су жене) који су се оспособљавали за самостални рад код </w:t>
      </w:r>
      <w:r w:rsidRPr="00862061">
        <w:rPr>
          <w:rFonts w:eastAsia="Calibri" w:cs="Times New Roman"/>
          <w:b/>
          <w:szCs w:val="24"/>
          <w:lang w:val="sr-Cyrl-RS"/>
        </w:rPr>
        <w:t>5.152 послодаваца</w:t>
      </w:r>
      <w:r w:rsidRPr="00862061">
        <w:rPr>
          <w:rFonts w:eastAsia="Calibri" w:cs="Times New Roman"/>
          <w:szCs w:val="24"/>
          <w:lang w:val="sr-Cyrl-RS"/>
        </w:rPr>
        <w:t xml:space="preserve"> (4.942 послодавца из приватног и 210 послодаваца из јавног сектора) током 2020. Изменама и допунама </w:t>
      </w:r>
      <w:r w:rsidRPr="00862061">
        <w:rPr>
          <w:rFonts w:eastAsia="Calibri" w:cs="Times New Roman"/>
          <w:i/>
          <w:szCs w:val="24"/>
          <w:lang w:val="sr-Cyrl-RS"/>
        </w:rPr>
        <w:lastRenderedPageBreak/>
        <w:t>Уредбе о програму подстицања запошљавања младих</w:t>
      </w:r>
      <w:r w:rsidRPr="00862061">
        <w:rPr>
          <w:rFonts w:eastAsia="Calibri" w:cs="Times New Roman"/>
          <w:i/>
          <w:szCs w:val="24"/>
          <w:vertAlign w:val="superscript"/>
          <w:lang w:val="sr-Cyrl-RS"/>
        </w:rPr>
        <w:footnoteReference w:id="29"/>
      </w:r>
      <w:r w:rsidRPr="00862061">
        <w:rPr>
          <w:rFonts w:eastAsia="Calibri" w:cs="Times New Roman"/>
          <w:szCs w:val="24"/>
          <w:lang w:val="sr-Cyrl-RS"/>
        </w:rPr>
        <w:t xml:space="preserve"> омогућен је наставак програма и у 2021. за још око 10.000 младих, при чему су повећане и месечне новчане накнаде за кориснике</w:t>
      </w:r>
      <w:r w:rsidRPr="00862061">
        <w:rPr>
          <w:rFonts w:eastAsia="Calibri" w:cs="Times New Roman"/>
          <w:szCs w:val="24"/>
          <w:vertAlign w:val="superscript"/>
          <w:lang w:val="sr-Cyrl-RS"/>
        </w:rPr>
        <w:footnoteReference w:id="30"/>
      </w:r>
      <w:r w:rsidRPr="00862061">
        <w:rPr>
          <w:rFonts w:eastAsia="Calibri" w:cs="Times New Roman"/>
          <w:szCs w:val="24"/>
          <w:lang w:val="sr-Cyrl-RS"/>
        </w:rPr>
        <w:t>.</w:t>
      </w:r>
      <w:r w:rsidRPr="008E24E6">
        <w:rPr>
          <w:rFonts w:eastAsia="Calibri" w:cs="Times New Roman"/>
          <w:szCs w:val="24"/>
          <w:lang w:val="sr-Cyrl-RS"/>
        </w:rPr>
        <w:t xml:space="preserve"> </w:t>
      </w:r>
      <w:r>
        <w:rPr>
          <w:rFonts w:eastAsia="Calibri" w:cs="Times New Roman"/>
          <w:szCs w:val="24"/>
          <w:lang w:val="sr-Cyrl-RS"/>
        </w:rPr>
        <w:t xml:space="preserve">У новом циклусу пројекта учествује око 8.700 послодаваца који нуде скоро 16.000 позиција. Присутно је велико интересовање кандидата и очекује се да ће до краја конкурса бити задовољавајући број пријављених. </w:t>
      </w:r>
    </w:p>
    <w:p w14:paraId="47002D6C"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Такође, тестирање новог начина организовања и спровођења обуке за тржиште рада коришћењем </w:t>
      </w:r>
      <w:r w:rsidRPr="00862061">
        <w:rPr>
          <w:rFonts w:eastAsia="Calibri" w:cs="Times New Roman"/>
          <w:b/>
          <w:szCs w:val="24"/>
          <w:lang w:val="sr-Cyrl-RS"/>
        </w:rPr>
        <w:t>ваучера за обуку</w:t>
      </w:r>
      <w:r w:rsidRPr="00862061">
        <w:rPr>
          <w:rFonts w:eastAsia="Calibri" w:cs="Times New Roman"/>
          <w:szCs w:val="24"/>
          <w:lang w:val="sr-Cyrl-RS"/>
        </w:rPr>
        <w:t xml:space="preserve">, са циљем унапређења доступности обуке незапосленим лицима и унапређења ефеката обуке на запошљавање, омогућено је усвајњем </w:t>
      </w:r>
      <w:r w:rsidRPr="00862061">
        <w:rPr>
          <w:rFonts w:eastAsia="Calibri" w:cs="Times New Roman"/>
          <w:i/>
          <w:szCs w:val="24"/>
          <w:lang w:val="sr-Cyrl-RS"/>
        </w:rPr>
        <w:t>Уредбе о спровођењу пилот обуке за тржиште рада на основу ваучера</w:t>
      </w:r>
      <w:r w:rsidRPr="00862061">
        <w:rPr>
          <w:rFonts w:eastAsia="Calibri" w:cs="Times New Roman"/>
          <w:i/>
          <w:szCs w:val="24"/>
          <w:vertAlign w:val="superscript"/>
          <w:lang w:val="sr-Cyrl-RS"/>
        </w:rPr>
        <w:footnoteReference w:id="31"/>
      </w:r>
      <w:r w:rsidRPr="00862061">
        <w:rPr>
          <w:rFonts w:eastAsia="Calibri" w:cs="Times New Roman"/>
          <w:szCs w:val="24"/>
          <w:lang w:val="sr-Cyrl-RS"/>
        </w:rPr>
        <w:t>. Пилот обуком биће обухваћено 200 незапослених лица без завршене средње школе, са завршеном основном школом или која завршавају основно образовање по моделу функционалног основног образовања одраслих, а која се налазе на евиденцији Националне службе за запошљавање.</w:t>
      </w:r>
    </w:p>
    <w:p w14:paraId="6CDB5868" w14:textId="77777777" w:rsidR="00DC7F92" w:rsidRDefault="00DC7F92" w:rsidP="00DC7F92">
      <w:pPr>
        <w:widowControl w:val="0"/>
        <w:spacing w:after="60"/>
        <w:rPr>
          <w:rFonts w:eastAsia="Times New Roman" w:cs="Times New Roman"/>
          <w:szCs w:val="24"/>
          <w:lang w:val="sr-Cyrl-RS" w:eastAsia="sr-Cyrl-CS" w:bidi="sr-Cyrl-CS"/>
        </w:rPr>
      </w:pPr>
      <w:r w:rsidRPr="00862061">
        <w:rPr>
          <w:rFonts w:eastAsia="Times New Roman" w:cs="Times New Roman"/>
          <w:b/>
          <w:szCs w:val="24"/>
          <w:lang w:val="sr-Cyrl-RS" w:eastAsia="sr-Cyrl-CS" w:bidi="sr-Cyrl-CS"/>
        </w:rPr>
        <w:t xml:space="preserve">С обзиром на постојећу неусклађеност вештина на тржишту рада, постоји </w:t>
      </w:r>
      <w:r w:rsidRPr="00862061">
        <w:rPr>
          <w:rFonts w:eastAsia="Times New Roman" w:cs="Times New Roman"/>
          <w:b/>
          <w:bCs/>
          <w:szCs w:val="24"/>
          <w:lang w:val="sr-Cyrl-RS" w:eastAsia="sr-Cyrl-CS" w:bidi="sr-Cyrl-CS"/>
        </w:rPr>
        <w:t>потреба за значајним улагањима у образовање одраслих</w:t>
      </w:r>
      <w:r w:rsidRPr="00862061">
        <w:rPr>
          <w:rFonts w:eastAsia="Times New Roman" w:cs="Times New Roman"/>
          <w:b/>
          <w:szCs w:val="24"/>
          <w:lang w:val="sr-Cyrl-RS" w:eastAsia="sr-Cyrl-CS" w:bidi="sr-Cyrl-CS"/>
        </w:rPr>
        <w:t>.</w:t>
      </w:r>
      <w:r w:rsidRPr="00862061">
        <w:rPr>
          <w:rFonts w:eastAsia="Times New Roman" w:cs="Times New Roman"/>
          <w:szCs w:val="24"/>
          <w:lang w:val="sr-Cyrl-RS" w:eastAsia="sr-Cyrl-CS" w:bidi="sr-Cyrl-CS"/>
        </w:rPr>
        <w:t xml:space="preserve"> </w:t>
      </w:r>
      <w:r w:rsidRPr="00862061">
        <w:rPr>
          <w:rFonts w:eastAsia="Times New Roman" w:cs="Times New Roman"/>
          <w:b/>
          <w:bCs/>
          <w:szCs w:val="24"/>
          <w:lang w:val="sr-Cyrl-RS" w:eastAsia="sr-Cyrl-CS" w:bidi="sr-Cyrl-CS"/>
        </w:rPr>
        <w:t>Стопа учешћа у образовању и обуци</w:t>
      </w:r>
      <w:r w:rsidRPr="00862061">
        <w:rPr>
          <w:rFonts w:eastAsia="Times New Roman" w:cs="Times New Roman"/>
          <w:szCs w:val="24"/>
          <w:lang w:val="sr-Cyrl-RS" w:eastAsia="sr-Cyrl-CS" w:bidi="sr-Cyrl-CS"/>
        </w:rPr>
        <w:t xml:space="preserve"> становништва 25-64 године у Србији износила је </w:t>
      </w:r>
      <w:r w:rsidRPr="00862061">
        <w:rPr>
          <w:rFonts w:eastAsia="Times New Roman" w:cs="Times New Roman"/>
          <w:b/>
          <w:bCs/>
          <w:szCs w:val="24"/>
          <w:lang w:val="sr-Cyrl-RS" w:eastAsia="sr-Cyrl-CS" w:bidi="sr-Cyrl-CS"/>
        </w:rPr>
        <w:t>3,7% у 2020</w:t>
      </w:r>
      <w:r w:rsidRPr="00862061">
        <w:rPr>
          <w:rFonts w:eastAsia="Times New Roman" w:cs="Times New Roman"/>
          <w:szCs w:val="24"/>
          <w:lang w:val="sr-Cyrl-RS" w:eastAsia="sr-Cyrl-CS" w:bidi="sr-Cyrl-CS"/>
        </w:rPr>
        <w:t>.</w:t>
      </w:r>
      <w:r w:rsidRPr="00862061">
        <w:rPr>
          <w:rFonts w:eastAsia="Times New Roman" w:cs="Times New Roman"/>
          <w:szCs w:val="24"/>
          <w:vertAlign w:val="superscript"/>
          <w:lang w:val="sr-Cyrl-RS" w:eastAsia="sr-Cyrl-CS" w:bidi="sr-Cyrl-CS"/>
        </w:rPr>
        <w:footnoteReference w:id="32"/>
      </w:r>
      <w:r w:rsidRPr="00862061">
        <w:rPr>
          <w:rFonts w:eastAsia="Times New Roman" w:cs="Times New Roman"/>
          <w:szCs w:val="24"/>
          <w:lang w:val="sr-Cyrl-RS" w:eastAsia="sr-Cyrl-CS" w:bidi="sr-Cyrl-CS"/>
        </w:rPr>
        <w:t xml:space="preserve"> што је значајно ниже (око 2,5 пута) од просечне стопе у ЕУ (ЕУ-27 9,2%). Осигурање квалитета у неформалном образовању постиже се кроз систем обучавања код јавно признатог организатора активности </w:t>
      </w:r>
      <w:r w:rsidRPr="00862061">
        <w:rPr>
          <w:rFonts w:eastAsia="Times New Roman" w:cs="Times New Roman"/>
          <w:bCs/>
          <w:szCs w:val="24"/>
          <w:lang w:val="sr-Cyrl-RS" w:eastAsia="sr-Cyrl-CS" w:bidi="sr-Cyrl-CS"/>
        </w:rPr>
        <w:t>(ЈПОА)</w:t>
      </w:r>
      <w:r w:rsidRPr="00862061">
        <w:rPr>
          <w:rFonts w:eastAsia="Times New Roman" w:cs="Times New Roman"/>
          <w:szCs w:val="24"/>
          <w:lang w:val="sr-Cyrl-RS" w:eastAsia="sr-Cyrl-CS" w:bidi="sr-Cyrl-CS"/>
        </w:rPr>
        <w:t xml:space="preserve"> образовања одраслих. Овај статус добиле су </w:t>
      </w:r>
      <w:r w:rsidRPr="00862061">
        <w:rPr>
          <w:rFonts w:eastAsia="Times New Roman" w:cs="Times New Roman"/>
          <w:b/>
          <w:bCs/>
          <w:szCs w:val="24"/>
          <w:lang w:val="sr-Cyrl-RS" w:eastAsia="sr-Cyrl-CS" w:bidi="sr-Cyrl-CS"/>
        </w:rPr>
        <w:t>72 институције</w:t>
      </w:r>
      <w:r w:rsidRPr="00862061">
        <w:rPr>
          <w:rFonts w:eastAsia="Times New Roman" w:cs="Times New Roman"/>
          <w:bCs/>
          <w:szCs w:val="24"/>
          <w:vertAlign w:val="superscript"/>
          <w:lang w:val="sr-Cyrl-RS" w:eastAsia="sr-Cyrl-CS" w:bidi="sr-Cyrl-CS"/>
        </w:rPr>
        <w:footnoteReference w:id="33"/>
      </w:r>
      <w:r w:rsidRPr="00862061">
        <w:rPr>
          <w:rFonts w:eastAsia="Times New Roman" w:cs="Times New Roman"/>
          <w:szCs w:val="24"/>
          <w:lang w:val="sr-Cyrl-RS" w:eastAsia="sr-Cyrl-CS" w:bidi="sr-Cyrl-CS"/>
        </w:rPr>
        <w:t xml:space="preserve"> за </w:t>
      </w:r>
      <w:r w:rsidRPr="00862061">
        <w:rPr>
          <w:rFonts w:eastAsia="Times New Roman" w:cs="Times New Roman"/>
          <w:b/>
          <w:bCs/>
          <w:szCs w:val="24"/>
          <w:lang w:val="sr-Cyrl-RS" w:eastAsia="sr-Cyrl-CS" w:bidi="sr-Cyrl-CS"/>
        </w:rPr>
        <w:t>262 програма обука намењених одраслима</w:t>
      </w:r>
      <w:r w:rsidRPr="00862061">
        <w:rPr>
          <w:rFonts w:eastAsia="Times New Roman" w:cs="Times New Roman"/>
          <w:szCs w:val="24"/>
          <w:lang w:val="sr-Cyrl-RS" w:eastAsia="sr-Cyrl-CS" w:bidi="sr-Cyrl-CS"/>
        </w:rPr>
        <w:t xml:space="preserve"> за стицање компетенција и квалификација потребних тржишту рада до 2020. године</w:t>
      </w:r>
      <w:r w:rsidRPr="00862061">
        <w:rPr>
          <w:rFonts w:eastAsia="Times New Roman" w:cs="Times New Roman"/>
          <w:bCs/>
          <w:szCs w:val="24"/>
          <w:vertAlign w:val="superscript"/>
          <w:lang w:val="sr-Cyrl-RS" w:eastAsia="sr-Cyrl-CS" w:bidi="sr-Cyrl-CS"/>
        </w:rPr>
        <w:footnoteReference w:id="34"/>
      </w:r>
      <w:r w:rsidRPr="00862061">
        <w:rPr>
          <w:rFonts w:eastAsia="Times New Roman" w:cs="Times New Roman"/>
          <w:szCs w:val="24"/>
          <w:lang w:val="sr-Cyrl-RS" w:eastAsia="sr-Cyrl-CS" w:bidi="sr-Cyrl-CS"/>
        </w:rPr>
        <w:t>.</w:t>
      </w:r>
    </w:p>
    <w:p w14:paraId="35DB7542" w14:textId="77777777" w:rsidR="00DC7F92" w:rsidRPr="008E24E6" w:rsidRDefault="00DC7F92" w:rsidP="00DC7F92">
      <w:pPr>
        <w:widowControl w:val="0"/>
        <w:spacing w:after="60"/>
        <w:rPr>
          <w:rFonts w:eastAsia="Times New Roman" w:cs="Times New Roman"/>
          <w:szCs w:val="24"/>
          <w:lang w:val="sr-Cyrl-RS" w:eastAsia="sr-Cyrl-CS" w:bidi="sr-Cyrl-CS"/>
        </w:rPr>
      </w:pPr>
      <w:r>
        <w:rPr>
          <w:rFonts w:eastAsia="Times New Roman" w:cs="Times New Roman"/>
          <w:szCs w:val="24"/>
          <w:lang w:val="sr-Cyrl-RS" w:eastAsia="sr-Cyrl-CS" w:bidi="sr-Cyrl-CS"/>
        </w:rPr>
        <w:t xml:space="preserve">Препозната је потреба усклађивања вештина са потребама тржишта рада, стога се од 2017. године спроводи програм преквалификација за ИКТ сектор. Програм је до сада успешно похађало 2.000 полазника, док је тренутно 220 у процесу преквалификације на онлајн програму. Анализа ефеката је показала да је проценат запослености полазника порастао са 44% пре обуке на 72% након обуке. Од укупног броја полазника, њих </w:t>
      </w:r>
      <w:r w:rsidRPr="00487CA4">
        <w:rPr>
          <w:rFonts w:eastAsia="Times New Roman" w:cs="Times New Roman"/>
          <w:szCs w:val="24"/>
          <w:lang w:val="sr-Cyrl-RS" w:eastAsia="sr-Cyrl-CS" w:bidi="sr-Cyrl-CS"/>
        </w:rPr>
        <w:t>34,7%</w:t>
      </w:r>
      <w:r>
        <w:rPr>
          <w:rFonts w:eastAsia="Times New Roman" w:cs="Times New Roman"/>
          <w:szCs w:val="24"/>
          <w:lang w:val="sr-Cyrl-RS" w:eastAsia="sr-Cyrl-CS" w:bidi="sr-Cyrl-CS"/>
        </w:rPr>
        <w:t xml:space="preserve"> се запослило на ИКТ позицијама. </w:t>
      </w:r>
      <w:r w:rsidRPr="008E24E6">
        <w:rPr>
          <w:rFonts w:eastAsia="Times New Roman" w:cs="Times New Roman"/>
          <w:szCs w:val="24"/>
          <w:lang w:val="sr-Cyrl-RS" w:eastAsia="sr-Cyrl-CS" w:bidi="sr-Cyrl-CS"/>
        </w:rPr>
        <w:t xml:space="preserve">Посебан фокус је стављен на учешће жена у програму. У јесен 2020. је спроведена кампања активне промоције програма међу женама, који је подигао проценат пријава жена са 26-28% на 41% од укупног броја пријава. </w:t>
      </w:r>
    </w:p>
    <w:p w14:paraId="3F2E38F9" w14:textId="77777777" w:rsidR="00DC7F92" w:rsidRPr="00285201" w:rsidRDefault="00DC7F92" w:rsidP="00DC7F92">
      <w:pPr>
        <w:spacing w:after="60"/>
        <w:rPr>
          <w:rFonts w:eastAsia="Calibri" w:cs="Times New Roman"/>
          <w:b/>
          <w:szCs w:val="24"/>
          <w:lang w:val="sr-Latn-RS"/>
        </w:rPr>
      </w:pPr>
      <w:r w:rsidRPr="00285201">
        <w:rPr>
          <w:rFonts w:eastAsia="Calibri" w:cs="Times New Roman"/>
          <w:szCs w:val="24"/>
          <w:lang w:val="sr-Cyrl-RS"/>
        </w:rPr>
        <w:t>Процес демографског старења становништва карактеристичан је за Србију. Све је мањи обим популације узраста 15-24 године услед негативног демографског тренда, као и емиграције. Највећи број потенцијалних миграната се налази међу млађом популацијом углавном због одласка у иностранство на даље школовање, од које се велики број враћа у Србију након студија. Забележена је нето емиграција од 18.500 особа старосне групе 20-24 тодине и нето имиграција од 15.000 лица узраста 25-29 година у периоду 2015-2019. године</w:t>
      </w:r>
      <w:r w:rsidRPr="00285201">
        <w:rPr>
          <w:rFonts w:eastAsia="Calibri" w:cs="Times New Roman"/>
          <w:szCs w:val="24"/>
          <w:vertAlign w:val="superscript"/>
          <w:lang w:val="sr-Cyrl-RS"/>
        </w:rPr>
        <w:footnoteReference w:id="35"/>
      </w:r>
      <w:r w:rsidRPr="00285201">
        <w:rPr>
          <w:rFonts w:eastAsia="Calibri" w:cs="Times New Roman"/>
          <w:szCs w:val="24"/>
          <w:lang w:val="sr-Latn-RS"/>
        </w:rPr>
        <w:t>.</w:t>
      </w:r>
    </w:p>
    <w:p w14:paraId="6B4C73AF"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Услед емиграције, економија и целокупно друштво суочавају се са негативним ефектима тог одласка</w:t>
      </w:r>
      <w:r w:rsidRPr="00862061">
        <w:rPr>
          <w:rFonts w:eastAsia="Calibri" w:cs="Times New Roman"/>
          <w:szCs w:val="24"/>
          <w:lang w:val="sr-Cyrl-RS"/>
        </w:rPr>
        <w:t>,</w:t>
      </w:r>
      <w:r w:rsidRPr="00862061">
        <w:rPr>
          <w:rFonts w:eastAsia="Calibri" w:cs="Times New Roman"/>
          <w:szCs w:val="24"/>
          <w:lang w:val="sr-Latn-RS"/>
        </w:rPr>
        <w:t xml:space="preserve"> што указује на </w:t>
      </w:r>
      <w:r w:rsidRPr="00862061">
        <w:rPr>
          <w:rFonts w:eastAsia="Calibri" w:cs="Times New Roman"/>
          <w:b/>
          <w:szCs w:val="24"/>
          <w:lang w:val="sr-Latn-RS"/>
        </w:rPr>
        <w:t>потребу стварањa привредног и друштвеног амбијента за успоравање одласка радно способног становништва, јачањ</w:t>
      </w:r>
      <w:r>
        <w:rPr>
          <w:rFonts w:eastAsia="Calibri" w:cs="Times New Roman"/>
          <w:b/>
          <w:szCs w:val="24"/>
          <w:lang w:val="sr-Cyrl-RS"/>
        </w:rPr>
        <w:t>а</w:t>
      </w:r>
      <w:r w:rsidRPr="00862061">
        <w:rPr>
          <w:rFonts w:eastAsia="Calibri" w:cs="Times New Roman"/>
          <w:b/>
          <w:szCs w:val="24"/>
          <w:lang w:val="sr-Latn-RS"/>
        </w:rPr>
        <w:t xml:space="preserve"> веза са дијаспором, подстицањ</w:t>
      </w:r>
      <w:r>
        <w:rPr>
          <w:rFonts w:eastAsia="Calibri" w:cs="Times New Roman"/>
          <w:b/>
          <w:szCs w:val="24"/>
          <w:lang w:val="sr-Cyrl-RS"/>
        </w:rPr>
        <w:t>а</w:t>
      </w:r>
      <w:r w:rsidRPr="00862061">
        <w:rPr>
          <w:rFonts w:eastAsia="Calibri" w:cs="Times New Roman"/>
          <w:b/>
          <w:szCs w:val="24"/>
          <w:lang w:val="sr-Latn-RS"/>
        </w:rPr>
        <w:t xml:space="preserve"> повратних и циркуларних миграција</w:t>
      </w:r>
      <w:r w:rsidRPr="00862061">
        <w:rPr>
          <w:rFonts w:eastAsia="Calibri" w:cs="Times New Roman"/>
          <w:szCs w:val="24"/>
          <w:lang w:val="sr-Latn-RS"/>
        </w:rPr>
        <w:t xml:space="preserve">, као и </w:t>
      </w:r>
      <w:r w:rsidRPr="00862061">
        <w:rPr>
          <w:rFonts w:eastAsia="Calibri" w:cs="Times New Roman"/>
          <w:b/>
          <w:szCs w:val="24"/>
          <w:lang w:val="sr-Latn-RS"/>
        </w:rPr>
        <w:t>привлачењ</w:t>
      </w:r>
      <w:r>
        <w:rPr>
          <w:rFonts w:eastAsia="Calibri" w:cs="Times New Roman"/>
          <w:b/>
          <w:szCs w:val="24"/>
          <w:lang w:val="sr-Cyrl-RS"/>
        </w:rPr>
        <w:t>а</w:t>
      </w:r>
      <w:r w:rsidRPr="00862061">
        <w:rPr>
          <w:rFonts w:eastAsia="Calibri" w:cs="Times New Roman"/>
          <w:b/>
          <w:szCs w:val="24"/>
          <w:lang w:val="sr-Latn-RS"/>
        </w:rPr>
        <w:t xml:space="preserve"> </w:t>
      </w:r>
      <w:r w:rsidRPr="00862061">
        <w:rPr>
          <w:rFonts w:eastAsia="Calibri" w:cs="Times New Roman"/>
          <w:b/>
          <w:szCs w:val="24"/>
          <w:lang w:val="sr-Latn-RS"/>
        </w:rPr>
        <w:lastRenderedPageBreak/>
        <w:t>странаца различитих образовних профила</w:t>
      </w:r>
      <w:r w:rsidRPr="00862061">
        <w:rPr>
          <w:rFonts w:eastAsia="Calibri" w:cs="Times New Roman"/>
          <w:szCs w:val="24"/>
          <w:lang w:val="sr-Latn-RS"/>
        </w:rPr>
        <w:t xml:space="preserve">. </w:t>
      </w:r>
      <w:r w:rsidRPr="00862061">
        <w:rPr>
          <w:rFonts w:eastAsia="Calibri" w:cs="Times New Roman"/>
          <w:szCs w:val="24"/>
          <w:lang w:val="sr-Cyrl-RS"/>
        </w:rPr>
        <w:t xml:space="preserve">Усвојен је </w:t>
      </w:r>
      <w:r w:rsidRPr="00862061">
        <w:rPr>
          <w:rFonts w:eastAsia="Calibri" w:cs="Times New Roman"/>
          <w:b/>
          <w:i/>
          <w:szCs w:val="24"/>
          <w:lang w:val="sr-Cyrl-RS"/>
        </w:rPr>
        <w:t>Акциони план за период 2021–2023. године</w:t>
      </w:r>
      <w:r w:rsidRPr="00862061">
        <w:rPr>
          <w:rFonts w:eastAsia="Calibri" w:cs="Times New Roman"/>
          <w:szCs w:val="24"/>
          <w:lang w:val="sr-Cyrl-RS"/>
        </w:rPr>
        <w:t xml:space="preserve"> (</w:t>
      </w:r>
      <w:r>
        <w:rPr>
          <w:rFonts w:eastAsia="Calibri" w:cs="Times New Roman"/>
          <w:szCs w:val="24"/>
          <w:lang w:val="sr-Cyrl-RS"/>
        </w:rPr>
        <w:t>„Службени гласник РС“, бр.</w:t>
      </w:r>
      <w:r w:rsidRPr="00862061">
        <w:rPr>
          <w:rFonts w:eastAsia="Calibri" w:cs="Times New Roman"/>
          <w:szCs w:val="24"/>
          <w:lang w:val="sr-Cyrl-RS"/>
        </w:rPr>
        <w:t xml:space="preserve"> 89/21) септембра 2021. године, којим се операционализује спровођење </w:t>
      </w:r>
      <w:r w:rsidRPr="00862061">
        <w:rPr>
          <w:rFonts w:eastAsia="Calibri" w:cs="Times New Roman"/>
          <w:i/>
          <w:szCs w:val="24"/>
          <w:lang w:val="sr-Cyrl-RS"/>
        </w:rPr>
        <w:t>Стратегије о економским миграцијама РС.</w:t>
      </w:r>
    </w:p>
    <w:p w14:paraId="6EFEE87F" w14:textId="77777777"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rPr>
        <w:t>a</w:t>
      </w:r>
      <w:r w:rsidRPr="00862061">
        <w:rPr>
          <w:rFonts w:eastAsia="Times New Roman" w:cs="Times New Roman"/>
          <w:b/>
          <w:bCs/>
          <w:szCs w:val="24"/>
          <w:lang w:val="sr-Cyrl-RS"/>
        </w:rPr>
        <w:t>) Реформе</w:t>
      </w:r>
    </w:p>
    <w:p w14:paraId="442A4DF1" w14:textId="7E39DF94"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1</w:t>
      </w:r>
      <w:r w:rsidRPr="00862061">
        <w:rPr>
          <w:rFonts w:eastAsia="Calibri" w:cs="Times New Roman"/>
          <w:b/>
          <w:i/>
          <w:szCs w:val="24"/>
          <w:u w:val="single"/>
        </w:rPr>
        <w:fldChar w:fldCharType="end"/>
      </w:r>
      <w:r w:rsidRPr="00862061">
        <w:rPr>
          <w:rFonts w:eastAsia="Calibri" w:cs="Times New Roman"/>
          <w:b/>
          <w:szCs w:val="24"/>
          <w:lang w:val="sr-Latn-RS"/>
        </w:rPr>
        <w:t xml:space="preserve">: </w:t>
      </w:r>
      <w:r w:rsidRPr="00862061">
        <w:rPr>
          <w:rFonts w:eastAsia="Calibri" w:cs="Times New Roman"/>
          <w:szCs w:val="24"/>
          <w:lang w:val="sr-Latn-RS"/>
        </w:rPr>
        <w:t>УСПОСТАВЉАЊЕ ОКВИРА ЗА УВОЂЕЊЕ ГАРАНЦИЈА ЗА МЛАДЕ У РЕПУБЛИЦИ СРБИЈИ</w:t>
      </w:r>
    </w:p>
    <w:p w14:paraId="25FCEF7E"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37C7F8D"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Гаранција за младе (у даљем тексту: Гаранција) која се спроводи у државама чланицама ЕУ подразумева да млади добијају квалитетну понуду за посао, наставак образовања, праксу или обуку у периоду од четири месеца од уласка у статус незапослености или напуштања, односно завршетка формалног образовања. У оквиру овог програма, младима који су неактивни и незапослени приступа се кроз сарадњу различитих сектора и социјалних партнера, укључујући и организације цивилног друштва, како би се осигурала њихова благовремена, адекватна и квалитетна интеграција или реинтеграција у свет рада. </w:t>
      </w:r>
    </w:p>
    <w:p w14:paraId="0A3628B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Потреба да се предузму значајнији кораци ка унапређењу положаја младих на тржишту рада произилази и из чињенице да је њихова неповољна позиција додатно нарушена пандемијском кризом, с обзиром на то да су према свим показатељима тржишта рада млади прошли лошије од становништва радног узраста.  </w:t>
      </w:r>
    </w:p>
    <w:p w14:paraId="5AC44B32"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Побољшање положаја младих на тржишту рада препознаје се као приоритет у оквиру Стратегије запошљавања у Републици Србији за период од 2021. до 2026. године и пратећег акционог плана за први трогодишњи период спровођења Стратегије. У том правцу, у оквиру наведених планских докумената, утврђује се опредељеност ка увођењу Програма Гаранције у РС, и препознају потребне активности. Додатно</w:t>
      </w:r>
      <w:r>
        <w:rPr>
          <w:rFonts w:eastAsia="Times New Roman" w:cs="Times New Roman"/>
          <w:szCs w:val="24"/>
          <w:lang w:val="sr-Cyrl-RS"/>
        </w:rPr>
        <w:t>,</w:t>
      </w:r>
      <w:r w:rsidRPr="00862061">
        <w:rPr>
          <w:rFonts w:eastAsia="Times New Roman" w:cs="Times New Roman"/>
          <w:szCs w:val="24"/>
          <w:lang w:val="sr-Cyrl-RS"/>
        </w:rPr>
        <w:t xml:space="preserve"> посебан акценат ставља се на НЕЕТ младе (млади који нису запослени, нису у процесу образовања, нит</w:t>
      </w:r>
      <w:r>
        <w:rPr>
          <w:rFonts w:eastAsia="Times New Roman" w:cs="Times New Roman"/>
          <w:szCs w:val="24"/>
          <w:lang w:val="sr-Cyrl-RS"/>
        </w:rPr>
        <w:t>и</w:t>
      </w:r>
      <w:r w:rsidRPr="00862061">
        <w:rPr>
          <w:rFonts w:eastAsia="Times New Roman" w:cs="Times New Roman"/>
          <w:szCs w:val="24"/>
          <w:lang w:val="sr-Cyrl-RS"/>
        </w:rPr>
        <w:t xml:space="preserve"> су на обуци), а у складу са међународним оквиром политике запошљавања и Агендом о спровођењу циљева одрживог развоја до 2030, посебно </w:t>
      </w:r>
      <w:r w:rsidRPr="00862061">
        <w:rPr>
          <w:rFonts w:eastAsia="Times New Roman" w:cs="Times New Roman"/>
          <w:b/>
          <w:szCs w:val="24"/>
          <w:lang w:val="sr-Cyrl-RS"/>
        </w:rPr>
        <w:t>ЦОР 8.6</w:t>
      </w:r>
      <w:r w:rsidRPr="00862061">
        <w:rPr>
          <w:rFonts w:eastAsia="Times New Roman" w:cs="Times New Roman"/>
          <w:szCs w:val="24"/>
          <w:lang w:val="sr-Cyrl-RS"/>
        </w:rPr>
        <w:t xml:space="preserve">, који је управо усмерен на ову категорију младих. </w:t>
      </w:r>
    </w:p>
    <w:p w14:paraId="378593C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Европска комисија је у октобру 2020. године усвојила свеобухватан Економско-инвестициони план за Западни Балкан, са циљем да поспеши дугорочан привредни опоравак региона, подржи зелену и дигиталну транзицију, регионалну интеграцију и конвергенцију са Европском унијом. План је дефинисао десет инвестиционих приоритета, међу којима се препознаје и Гаранција.</w:t>
      </w:r>
    </w:p>
    <w:p w14:paraId="1A83389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Потврђивањем Декларација Западног Балкана о осигурању одрживе интеграције младих на тржиште рада, Република Србија прихватила је да ће радити на постепеном увођењу Гаранције, определити потребне људске ресурсе и финансијска средства и израдити План имплементације Гаранције.</w:t>
      </w:r>
    </w:p>
    <w:p w14:paraId="371F105D"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1735FAC0"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3DC37DE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FC1D0A7"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96E3FF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59850B4"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2F5CD3CC"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02DF28D1"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0CE14FBA"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3ABC39FC"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620940D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809CFE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B79893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090E01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0F18A2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D4EC68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223DFC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54C6C9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FEEEFD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C74F0A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D417B8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42BE43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5E99544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62D7FB1"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1</w:t>
            </w:r>
          </w:p>
        </w:tc>
        <w:tc>
          <w:tcPr>
            <w:tcW w:w="4120" w:type="dxa"/>
            <w:tcBorders>
              <w:top w:val="nil"/>
              <w:left w:val="single" w:sz="8" w:space="0" w:color="auto"/>
              <w:bottom w:val="single" w:sz="4" w:space="0" w:color="auto"/>
              <w:right w:val="nil"/>
            </w:tcBorders>
            <w:shd w:val="clear" w:color="auto" w:fill="auto"/>
          </w:tcPr>
          <w:p w14:paraId="5A8871C2"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мултиресорне групе на високом нивоу</w:t>
            </w:r>
            <w:r>
              <w:rPr>
                <w:rFonts w:eastAsia="Times New Roman" w:cs="Times New Roman"/>
                <w:sz w:val="20"/>
                <w:szCs w:val="20"/>
                <w:lang w:val="sr-Latn-RS"/>
              </w:rPr>
              <w:t xml:space="preserve"> </w:t>
            </w:r>
            <w:r>
              <w:rPr>
                <w:rFonts w:eastAsia="Times New Roman" w:cs="Times New Roman"/>
                <w:sz w:val="20"/>
                <w:szCs w:val="20"/>
                <w:lang w:val="sr-Cyrl-RS"/>
              </w:rPr>
              <w:t>и експертске групе на оперативном нивоу које</w:t>
            </w:r>
            <w:r w:rsidRPr="00862061">
              <w:rPr>
                <w:rFonts w:eastAsia="Times New Roman" w:cs="Times New Roman"/>
                <w:sz w:val="20"/>
                <w:szCs w:val="20"/>
                <w:lang w:val="sr-Cyrl-RS"/>
              </w:rPr>
              <w:t xml:space="preserve"> ће имати задатак да спроведе припремне активности и израд</w:t>
            </w:r>
            <w:r>
              <w:rPr>
                <w:rFonts w:eastAsia="Times New Roman" w:cs="Times New Roman"/>
                <w:sz w:val="20"/>
                <w:szCs w:val="20"/>
                <w:lang w:val="sr-Cyrl-RS"/>
              </w:rPr>
              <w:t>е</w:t>
            </w:r>
            <w:r w:rsidRPr="00862061">
              <w:rPr>
                <w:rFonts w:eastAsia="Times New Roman" w:cs="Times New Roman"/>
                <w:sz w:val="20"/>
                <w:szCs w:val="20"/>
                <w:lang w:val="sr-Cyrl-RS"/>
              </w:rPr>
              <w:t xml:space="preserve"> План имплементације Гаранције, уз континуирано оснаживање именованих чланова за реализацију додељених задатака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F8102C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35399C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4038B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FCBDBB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AB9715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73D2F3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148C49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FABBC5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A6602E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89CD3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F921EB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3B0BEE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FBCDF6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B42FB0A"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lastRenderedPageBreak/>
              <w:t>2</w:t>
            </w:r>
          </w:p>
        </w:tc>
        <w:tc>
          <w:tcPr>
            <w:tcW w:w="4120" w:type="dxa"/>
            <w:tcBorders>
              <w:top w:val="nil"/>
              <w:left w:val="single" w:sz="8" w:space="0" w:color="auto"/>
              <w:bottom w:val="single" w:sz="4" w:space="0" w:color="auto"/>
              <w:right w:val="nil"/>
            </w:tcBorders>
            <w:shd w:val="clear" w:color="auto" w:fill="auto"/>
          </w:tcPr>
          <w:p w14:paraId="13A580E8"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Припрема Аналитичке грађе потребне за израду Плана имплементације Гаранције (процена стања и потреба НЕЕТ младих, мапирање постојећих политика, способност домаћих институција и релевантних партнера да реализују сложен систем Гаранције и др.)</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F4F08B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60D41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5A6C97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A8C70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8B9C3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8CDC7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BF27D1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0B606F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23523B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BA901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BB82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D909BFB"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B581C4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BD41A02"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3</w:t>
            </w:r>
          </w:p>
        </w:tc>
        <w:tc>
          <w:tcPr>
            <w:tcW w:w="4120" w:type="dxa"/>
            <w:tcBorders>
              <w:top w:val="nil"/>
              <w:left w:val="single" w:sz="8" w:space="0" w:color="auto"/>
              <w:bottom w:val="single" w:sz="4" w:space="0" w:color="auto"/>
              <w:right w:val="nil"/>
            </w:tcBorders>
            <w:shd w:val="clear" w:color="auto" w:fill="auto"/>
          </w:tcPr>
          <w:p w14:paraId="72F6AE8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Израда</w:t>
            </w:r>
            <w:r>
              <w:rPr>
                <w:rFonts w:eastAsia="Times New Roman" w:cs="Times New Roman"/>
                <w:sz w:val="20"/>
                <w:szCs w:val="20"/>
                <w:lang w:val="sr-Cyrl-RS"/>
              </w:rPr>
              <w:t xml:space="preserve"> и усвајање</w:t>
            </w:r>
            <w:r w:rsidRPr="00862061">
              <w:rPr>
                <w:rFonts w:eastAsia="Times New Roman" w:cs="Times New Roman"/>
                <w:sz w:val="20"/>
                <w:szCs w:val="20"/>
                <w:lang w:val="sr-Cyrl-RS"/>
              </w:rPr>
              <w:t xml:space="preserve"> Плана имплементације Гаранције </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7C91FE7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7DB95C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E0D29C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A08FCF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5DCFCE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9DFD33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AB7750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B12158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FD03FB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3295CB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4D6E7B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3854942"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229147A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E42A013"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4</w:t>
            </w:r>
          </w:p>
        </w:tc>
        <w:tc>
          <w:tcPr>
            <w:tcW w:w="4120" w:type="dxa"/>
            <w:tcBorders>
              <w:top w:val="nil"/>
              <w:left w:val="single" w:sz="8" w:space="0" w:color="auto"/>
              <w:bottom w:val="single" w:sz="4" w:space="0" w:color="auto"/>
              <w:right w:val="nil"/>
            </w:tcBorders>
            <w:shd w:val="clear" w:color="auto" w:fill="auto"/>
          </w:tcPr>
          <w:p w14:paraId="2D03B42C"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Спровођење припремних радњи за увођење Гаранције препознатих у Плану имплементације (промоција, обезбеђивање потребног људства и изградња капацитета надлежних органа, изградња капацитета организација цивилног друштва за реализацију активности досезања, измене нормативног оквира, припрема оквира за мониторинг и евалуацију)</w:t>
            </w:r>
          </w:p>
        </w:tc>
        <w:tc>
          <w:tcPr>
            <w:tcW w:w="422" w:type="dxa"/>
            <w:tcBorders>
              <w:top w:val="nil"/>
              <w:left w:val="single" w:sz="8" w:space="0" w:color="auto"/>
              <w:bottom w:val="single" w:sz="4" w:space="0" w:color="auto"/>
              <w:right w:val="single" w:sz="4" w:space="0" w:color="auto"/>
            </w:tcBorders>
            <w:shd w:val="clear" w:color="auto" w:fill="auto"/>
            <w:vAlign w:val="center"/>
          </w:tcPr>
          <w:p w14:paraId="0223C97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1F486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CDEF6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0A6A64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4456D5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681BA3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9D1AE9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C24A6A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51B65C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71BA9A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B4948C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5791E6E"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775045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A7624B6"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5</w:t>
            </w:r>
          </w:p>
        </w:tc>
        <w:tc>
          <w:tcPr>
            <w:tcW w:w="4120" w:type="dxa"/>
            <w:tcBorders>
              <w:top w:val="nil"/>
              <w:left w:val="single" w:sz="8" w:space="0" w:color="auto"/>
              <w:bottom w:val="single" w:sz="4" w:space="0" w:color="auto"/>
              <w:right w:val="nil"/>
            </w:tcBorders>
            <w:shd w:val="clear" w:color="auto" w:fill="auto"/>
          </w:tcPr>
          <w:p w14:paraId="616B348E"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Пилотирање елемената Гаранције на подручју одабраних филијала НСЗ, мониторинг и евалуација</w:t>
            </w:r>
          </w:p>
        </w:tc>
        <w:tc>
          <w:tcPr>
            <w:tcW w:w="422" w:type="dxa"/>
            <w:tcBorders>
              <w:top w:val="nil"/>
              <w:left w:val="single" w:sz="8" w:space="0" w:color="auto"/>
              <w:bottom w:val="single" w:sz="4" w:space="0" w:color="auto"/>
              <w:right w:val="single" w:sz="4" w:space="0" w:color="auto"/>
            </w:tcBorders>
            <w:shd w:val="clear" w:color="auto" w:fill="auto"/>
            <w:vAlign w:val="center"/>
          </w:tcPr>
          <w:p w14:paraId="68CC0EA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75A885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72E290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0E807A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07B121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C712C8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CC732A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0EE2BA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0E2F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7447F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9EEBA7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67451DA"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9CB0803" w14:textId="77777777" w:rsidTr="00DC7F92">
        <w:trPr>
          <w:trHeight w:val="300"/>
        </w:trPr>
        <w:tc>
          <w:tcPr>
            <w:tcW w:w="426" w:type="dxa"/>
            <w:tcBorders>
              <w:top w:val="nil"/>
              <w:left w:val="single" w:sz="4" w:space="0" w:color="auto"/>
              <w:bottom w:val="single" w:sz="4" w:space="0" w:color="auto"/>
              <w:right w:val="single" w:sz="4" w:space="0" w:color="auto"/>
            </w:tcBorders>
            <w:shd w:val="clear" w:color="auto" w:fill="auto"/>
          </w:tcPr>
          <w:p w14:paraId="6F337562"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6</w:t>
            </w:r>
          </w:p>
        </w:tc>
        <w:tc>
          <w:tcPr>
            <w:tcW w:w="4120" w:type="dxa"/>
            <w:tcBorders>
              <w:top w:val="nil"/>
              <w:left w:val="nil"/>
              <w:bottom w:val="single" w:sz="4" w:space="0" w:color="auto"/>
              <w:right w:val="single" w:sz="4" w:space="0" w:color="auto"/>
            </w:tcBorders>
            <w:shd w:val="clear" w:color="auto" w:fill="auto"/>
          </w:tcPr>
          <w:p w14:paraId="242B284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Постепено увођење Гаранције у више региона</w:t>
            </w:r>
          </w:p>
        </w:tc>
        <w:tc>
          <w:tcPr>
            <w:tcW w:w="422" w:type="dxa"/>
            <w:tcBorders>
              <w:top w:val="nil"/>
              <w:left w:val="nil"/>
              <w:bottom w:val="single" w:sz="4" w:space="0" w:color="auto"/>
              <w:right w:val="single" w:sz="4" w:space="0" w:color="auto"/>
            </w:tcBorders>
            <w:shd w:val="clear" w:color="auto" w:fill="auto"/>
            <w:vAlign w:val="center"/>
          </w:tcPr>
          <w:p w14:paraId="26B46F54"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31FACF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3AD26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8A6711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44D579F"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627478D"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BF0CF6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52755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66B93C4"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10C34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61FA95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B0842A" w14:textId="77777777" w:rsidR="00DC7F92" w:rsidRPr="00862061" w:rsidRDefault="00DC7F92" w:rsidP="00DC7F92">
            <w:pPr>
              <w:spacing w:after="0"/>
              <w:jc w:val="center"/>
              <w:rPr>
                <w:rFonts w:eastAsia="Times New Roman" w:cs="Times New Roman"/>
                <w:b/>
                <w:bCs/>
                <w:sz w:val="20"/>
                <w:szCs w:val="20"/>
                <w:lang w:val="sr-Cyrl-RS"/>
              </w:rPr>
            </w:pPr>
          </w:p>
        </w:tc>
      </w:tr>
    </w:tbl>
    <w:p w14:paraId="2CFF433E" w14:textId="77777777" w:rsidR="00DC7F92" w:rsidRPr="00862061" w:rsidRDefault="00DC7F92" w:rsidP="004D22FA">
      <w:pPr>
        <w:widowControl w:val="0"/>
        <w:numPr>
          <w:ilvl w:val="0"/>
          <w:numId w:val="24"/>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5C918857" w14:textId="77777777" w:rsidTr="00DC7F92">
        <w:tc>
          <w:tcPr>
            <w:tcW w:w="4106" w:type="dxa"/>
            <w:vAlign w:val="center"/>
          </w:tcPr>
          <w:p w14:paraId="57C3676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7E63D2DB" w14:textId="77777777"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Почетна вредност (година)</w:t>
            </w:r>
          </w:p>
        </w:tc>
        <w:tc>
          <w:tcPr>
            <w:tcW w:w="1843" w:type="dxa"/>
            <w:vAlign w:val="center"/>
          </w:tcPr>
          <w:p w14:paraId="569D0AFA" w14:textId="77777777"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Међурезултат (година)</w:t>
            </w:r>
          </w:p>
        </w:tc>
        <w:tc>
          <w:tcPr>
            <w:tcW w:w="1843" w:type="dxa"/>
            <w:vAlign w:val="center"/>
          </w:tcPr>
          <w:p w14:paraId="61BAF68E" w14:textId="77777777"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Циљна вредност (година)</w:t>
            </w:r>
          </w:p>
        </w:tc>
      </w:tr>
      <w:tr w:rsidR="00DC7F92" w:rsidRPr="00862061" w14:paraId="5A4212EE" w14:textId="77777777" w:rsidTr="00DC7F92">
        <w:trPr>
          <w:trHeight w:val="284"/>
        </w:trPr>
        <w:tc>
          <w:tcPr>
            <w:tcW w:w="4106" w:type="dxa"/>
          </w:tcPr>
          <w:p w14:paraId="56285AE1"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Усвојен План имплементације Гаранције</w:t>
            </w:r>
          </w:p>
        </w:tc>
        <w:tc>
          <w:tcPr>
            <w:tcW w:w="1842" w:type="dxa"/>
          </w:tcPr>
          <w:p w14:paraId="65334B7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не</w:t>
            </w:r>
            <w:r w:rsidRPr="00862061" w:rsidDel="005874DE">
              <w:rPr>
                <w:rFonts w:eastAsia="Calibri"/>
                <w:sz w:val="20"/>
                <w:szCs w:val="20"/>
                <w:lang w:val="sr-Cyrl-RS"/>
              </w:rPr>
              <w:t xml:space="preserve"> </w:t>
            </w:r>
            <w:r w:rsidRPr="00862061">
              <w:rPr>
                <w:rFonts w:eastAsia="Calibri"/>
                <w:sz w:val="20"/>
                <w:szCs w:val="20"/>
                <w:lang w:val="sr-Cyrl-RS"/>
              </w:rPr>
              <w:t xml:space="preserve">(2021) </w:t>
            </w:r>
          </w:p>
        </w:tc>
        <w:tc>
          <w:tcPr>
            <w:tcW w:w="1843" w:type="dxa"/>
          </w:tcPr>
          <w:p w14:paraId="7BE228DB"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w:t>
            </w:r>
          </w:p>
        </w:tc>
        <w:tc>
          <w:tcPr>
            <w:tcW w:w="1843" w:type="dxa"/>
          </w:tcPr>
          <w:p w14:paraId="2E464E9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да</w:t>
            </w:r>
            <w:r w:rsidRPr="00862061" w:rsidDel="005874DE">
              <w:rPr>
                <w:rFonts w:eastAsia="Calibri"/>
                <w:sz w:val="20"/>
                <w:szCs w:val="20"/>
                <w:lang w:val="sr-Cyrl-RS"/>
              </w:rPr>
              <w:t xml:space="preserve"> </w:t>
            </w:r>
            <w:r w:rsidRPr="00862061">
              <w:rPr>
                <w:rFonts w:eastAsia="Calibri"/>
                <w:sz w:val="20"/>
                <w:szCs w:val="20"/>
                <w:lang w:val="sr-Cyrl-RS"/>
              </w:rPr>
              <w:t>(2022)</w:t>
            </w:r>
          </w:p>
        </w:tc>
      </w:tr>
      <w:tr w:rsidR="00DC7F92" w:rsidRPr="00862061" w14:paraId="4DA7EB16" w14:textId="77777777" w:rsidTr="00DC7F92">
        <w:trPr>
          <w:trHeight w:val="284"/>
        </w:trPr>
        <w:tc>
          <w:tcPr>
            <w:tcW w:w="4106" w:type="dxa"/>
          </w:tcPr>
          <w:p w14:paraId="33DD1C03"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Развијен модел за досезање, регистровање и активацију младих из НЕЕТ категорије који су ван институција система</w:t>
            </w:r>
          </w:p>
        </w:tc>
        <w:tc>
          <w:tcPr>
            <w:tcW w:w="1842" w:type="dxa"/>
          </w:tcPr>
          <w:p w14:paraId="448879F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не</w:t>
            </w:r>
            <w:r w:rsidRPr="00862061" w:rsidDel="005874DE">
              <w:rPr>
                <w:rFonts w:eastAsia="Calibri"/>
                <w:sz w:val="20"/>
                <w:szCs w:val="20"/>
                <w:lang w:val="sr-Cyrl-RS"/>
              </w:rPr>
              <w:t xml:space="preserve"> </w:t>
            </w:r>
            <w:r w:rsidRPr="00862061">
              <w:rPr>
                <w:rFonts w:eastAsia="Calibri"/>
                <w:sz w:val="20"/>
                <w:szCs w:val="20"/>
                <w:lang w:val="sr-Cyrl-RS"/>
              </w:rPr>
              <w:t>(2021)</w:t>
            </w:r>
          </w:p>
        </w:tc>
        <w:tc>
          <w:tcPr>
            <w:tcW w:w="1843" w:type="dxa"/>
          </w:tcPr>
          <w:p w14:paraId="42BC5253"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w:t>
            </w:r>
          </w:p>
        </w:tc>
        <w:tc>
          <w:tcPr>
            <w:tcW w:w="1843" w:type="dxa"/>
          </w:tcPr>
          <w:p w14:paraId="4DAF003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да</w:t>
            </w:r>
            <w:r w:rsidRPr="00862061" w:rsidDel="005874DE">
              <w:rPr>
                <w:rFonts w:eastAsia="Calibri"/>
                <w:sz w:val="20"/>
                <w:szCs w:val="20"/>
                <w:lang w:val="sr-Cyrl-RS"/>
              </w:rPr>
              <w:t xml:space="preserve"> </w:t>
            </w:r>
            <w:r w:rsidRPr="00862061">
              <w:rPr>
                <w:rFonts w:eastAsia="Calibri"/>
                <w:sz w:val="20"/>
                <w:szCs w:val="20"/>
                <w:lang w:val="sr-Cyrl-RS"/>
              </w:rPr>
              <w:t>(2022)</w:t>
            </w:r>
          </w:p>
        </w:tc>
      </w:tr>
      <w:tr w:rsidR="00DC7F92" w:rsidRPr="00862061" w14:paraId="05539F4A" w14:textId="77777777" w:rsidTr="00DC7F92">
        <w:trPr>
          <w:trHeight w:val="284"/>
        </w:trPr>
        <w:tc>
          <w:tcPr>
            <w:tcW w:w="4106" w:type="dxa"/>
          </w:tcPr>
          <w:p w14:paraId="3DF2922B"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Стопа НЕЕТ</w:t>
            </w:r>
            <w:r w:rsidRPr="00862061">
              <w:rPr>
                <w:rFonts w:eastAsia="Calibri"/>
                <w:sz w:val="20"/>
                <w:szCs w:val="20"/>
                <w:lang w:val="sr-Latn-RS"/>
              </w:rPr>
              <w:t xml:space="preserve"> </w:t>
            </w:r>
            <w:r w:rsidRPr="00862061">
              <w:rPr>
                <w:rFonts w:eastAsia="Calibri"/>
                <w:sz w:val="20"/>
                <w:szCs w:val="20"/>
                <w:lang w:val="sr-Cyrl-RS"/>
              </w:rPr>
              <w:t>(15-29)</w:t>
            </w:r>
          </w:p>
          <w:p w14:paraId="1DDE5A0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(СДГ индикатор за циљ 8.6)</w:t>
            </w:r>
          </w:p>
        </w:tc>
        <w:tc>
          <w:tcPr>
            <w:tcW w:w="1842" w:type="dxa"/>
          </w:tcPr>
          <w:p w14:paraId="7630B9A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20% (2020)</w:t>
            </w:r>
          </w:p>
        </w:tc>
        <w:tc>
          <w:tcPr>
            <w:tcW w:w="1843" w:type="dxa"/>
          </w:tcPr>
          <w:p w14:paraId="464EFFD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15,7% (2023)</w:t>
            </w:r>
          </w:p>
        </w:tc>
        <w:tc>
          <w:tcPr>
            <w:tcW w:w="1843" w:type="dxa"/>
          </w:tcPr>
          <w:p w14:paraId="5FBA336C"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14,8% (2024)</w:t>
            </w:r>
          </w:p>
        </w:tc>
      </w:tr>
    </w:tbl>
    <w:p w14:paraId="74128051" w14:textId="77777777" w:rsidR="00DC7F92" w:rsidRPr="00862061" w:rsidRDefault="00DC7F92" w:rsidP="004D22FA">
      <w:pPr>
        <w:widowControl w:val="0"/>
        <w:numPr>
          <w:ilvl w:val="0"/>
          <w:numId w:val="24"/>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04D1AA9A"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Спровођењем Гаранције, односно уклањањем системских препрека за боље перформансе младих на тржишту рада са једне стране и континуираном реализацијом активности којима се унапређују њихова знања и вештине и осигурава стицање препознатих квалификација, омогућава стицање радног искуства, развија предузетништво младих, превенирају се неповољни миграторни токови, доприноси развоју и већој искоришћености потенцијалне радне снаге. </w:t>
      </w:r>
    </w:p>
    <w:p w14:paraId="7A8A7D21"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Иако је потребно уложити одређене напоре за увођење Гаранције, треба имати у виду да је трошак непредузимања никакве акције већи, односно да високе стопе незапослености и неактивности младих на дужи рок представљају значајнији трошак за државу.</w:t>
      </w:r>
    </w:p>
    <w:p w14:paraId="2DEF5B1E"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528758C0" w14:textId="77777777"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Извори финансирања: </w:t>
      </w:r>
      <w:r>
        <w:rPr>
          <w:rFonts w:eastAsia="Times New Roman" w:cs="Times New Roman"/>
          <w:szCs w:val="24"/>
          <w:lang w:val="sr-Cyrl-RS"/>
        </w:rPr>
        <w:t>б</w:t>
      </w:r>
      <w:r w:rsidRPr="00862061">
        <w:rPr>
          <w:rFonts w:eastAsia="Times New Roman" w:cs="Times New Roman"/>
          <w:szCs w:val="24"/>
          <w:lang w:val="sr-Cyrl-RS"/>
        </w:rPr>
        <w:t xml:space="preserve">уџет РС, </w:t>
      </w:r>
      <w:r>
        <w:rPr>
          <w:rFonts w:eastAsia="Times New Roman" w:cs="Times New Roman"/>
          <w:szCs w:val="24"/>
          <w:lang w:val="sr-Cyrl-RS"/>
        </w:rPr>
        <w:t xml:space="preserve">ИПА 20. </w:t>
      </w:r>
    </w:p>
    <w:p w14:paraId="2D64A933" w14:textId="77777777" w:rsidR="00DC7F92" w:rsidRDefault="00DC7F92" w:rsidP="00DC7F92">
      <w:pPr>
        <w:widowControl w:val="0"/>
        <w:spacing w:after="60"/>
        <w:rPr>
          <w:rFonts w:eastAsia="Times New Roman" w:cs="Times New Roman"/>
          <w:szCs w:val="24"/>
          <w:lang w:val="sr-Cyrl-RS"/>
        </w:rPr>
      </w:pPr>
      <w:r w:rsidRPr="00C43817">
        <w:rPr>
          <w:rFonts w:eastAsia="Times New Roman" w:cs="Times New Roman"/>
          <w:szCs w:val="24"/>
          <w:lang w:val="sr-Cyrl-RS"/>
        </w:rPr>
        <w:t>Техничк</w:t>
      </w:r>
      <w:r>
        <w:rPr>
          <w:rFonts w:eastAsia="Times New Roman" w:cs="Times New Roman"/>
          <w:szCs w:val="24"/>
          <w:lang w:val="sr-Cyrl-RS"/>
        </w:rPr>
        <w:t>а</w:t>
      </w:r>
      <w:r w:rsidRPr="00C43817">
        <w:rPr>
          <w:rFonts w:eastAsia="Times New Roman" w:cs="Times New Roman"/>
          <w:szCs w:val="24"/>
          <w:lang w:val="sr-Cyrl-RS"/>
        </w:rPr>
        <w:t xml:space="preserve"> помоћ М</w:t>
      </w:r>
      <w:r>
        <w:rPr>
          <w:rFonts w:eastAsia="Times New Roman" w:cs="Times New Roman"/>
          <w:szCs w:val="24"/>
          <w:lang w:val="sr-Cyrl-RS"/>
        </w:rPr>
        <w:t>еђународне организације рада (МОР)</w:t>
      </w:r>
      <w:r w:rsidRPr="00C43817">
        <w:rPr>
          <w:rFonts w:eastAsia="Times New Roman" w:cs="Times New Roman"/>
          <w:szCs w:val="24"/>
          <w:lang w:val="sr-Cyrl-RS"/>
        </w:rPr>
        <w:t xml:space="preserve"> за израду Плана имплементације Гаранције</w:t>
      </w:r>
      <w:r w:rsidRPr="007B7740">
        <w:rPr>
          <w:rFonts w:eastAsia="Times New Roman" w:cs="Times New Roman"/>
          <w:szCs w:val="24"/>
        </w:rPr>
        <w:t xml:space="preserve"> </w:t>
      </w:r>
      <w:r w:rsidRPr="00925E16">
        <w:rPr>
          <w:rFonts w:eastAsia="Times New Roman" w:cs="Times New Roman"/>
          <w:szCs w:val="24"/>
          <w:lang w:val="sr-Cyrl-RS"/>
        </w:rPr>
        <w:t>одобрена је 19. августа 2021. године и започело се са спровођењем планираних активности.</w:t>
      </w:r>
    </w:p>
    <w:p w14:paraId="09BBCF24" w14:textId="77777777" w:rsidR="00DC7F92" w:rsidRPr="0065234F" w:rsidRDefault="00DC7F92" w:rsidP="00DC7F92">
      <w:pPr>
        <w:widowControl w:val="0"/>
        <w:spacing w:after="60"/>
        <w:rPr>
          <w:rFonts w:eastAsia="Times New Roman" w:cs="Times New Roman"/>
          <w:szCs w:val="24"/>
          <w:lang w:val="sr-Cyrl-RS"/>
        </w:rPr>
      </w:pPr>
      <w:r w:rsidRPr="0065234F">
        <w:rPr>
          <w:rFonts w:eastAsia="Times New Roman" w:cs="Times New Roman"/>
          <w:szCs w:val="24"/>
          <w:lang w:val="sr-Cyrl-RS"/>
        </w:rPr>
        <w:t>Кроз ИПА 20 програмски циклус, планирано је пружање техничке подршкe Министарству за рад, запошљавање, борачка и социјална питања и Националној служби за запошљавање, као и додела директног гранта Националној служби за запошљавање, за спровођење мера активне политике запошљавања које ће се припремити и дефинисати у оквиру наведене техничке подршке.</w:t>
      </w:r>
    </w:p>
    <w:p w14:paraId="050641BE" w14:textId="77777777" w:rsidR="00DC7F92" w:rsidRDefault="00DC7F92" w:rsidP="00DC7F92">
      <w:pPr>
        <w:widowControl w:val="0"/>
        <w:spacing w:after="60"/>
        <w:rPr>
          <w:rFonts w:eastAsia="Times New Roman" w:cs="Times New Roman"/>
          <w:szCs w:val="24"/>
          <w:lang w:val="sr-Cyrl-RS"/>
        </w:rPr>
      </w:pPr>
      <w:r w:rsidRPr="0065234F">
        <w:rPr>
          <w:rFonts w:eastAsia="Times New Roman" w:cs="Times New Roman"/>
          <w:szCs w:val="24"/>
          <w:lang w:val="sr-Cyrl-RS"/>
        </w:rPr>
        <w:lastRenderedPageBreak/>
        <w:t>Један од планираних резултата, у оквиру техничке подршке, односи се на успостављање оквира за пилотирање Гаранције</w:t>
      </w:r>
      <w:r>
        <w:rPr>
          <w:rFonts w:eastAsia="Times New Roman" w:cs="Times New Roman"/>
          <w:szCs w:val="24"/>
          <w:lang w:val="sr-Cyrl-RS"/>
        </w:rPr>
        <w:t xml:space="preserve">. </w:t>
      </w:r>
      <w:r w:rsidRPr="0065234F">
        <w:rPr>
          <w:rFonts w:eastAsia="Times New Roman" w:cs="Times New Roman"/>
          <w:szCs w:val="24"/>
          <w:lang w:val="sr-Cyrl-RS"/>
        </w:rPr>
        <w:t xml:space="preserve">Након спровођења припремних активности, план је да се из </w:t>
      </w:r>
      <w:r>
        <w:rPr>
          <w:rFonts w:eastAsia="Times New Roman" w:cs="Times New Roman"/>
          <w:szCs w:val="24"/>
          <w:lang w:val="sr-Cyrl-RS"/>
        </w:rPr>
        <w:t xml:space="preserve">дела </w:t>
      </w:r>
      <w:r w:rsidRPr="0065234F">
        <w:rPr>
          <w:rFonts w:eastAsia="Times New Roman" w:cs="Times New Roman"/>
          <w:szCs w:val="24"/>
          <w:lang w:val="sr-Cyrl-RS"/>
        </w:rPr>
        <w:t>средстава директног гранта, спроведе пилотирање Гаранције на подручју одабраних филијала Националне службе за запошљавање.</w:t>
      </w:r>
    </w:p>
    <w:p w14:paraId="5C14C933"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47785B1"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Реформа треба да допринесе олакшаној транзицији младих на тржиште рада и подстакне њихово запошљавање. Успостављање програма Гаранције, који подразумева понуду младим људима у року од четири месеца од уласка у статус незапослености или напуштања, односно завршетка формалног образовања треба управо да утиче на то да млади не буду дуже у НЕЕТ статусу, јер током трајања овог  статуса знања и вештине застаревају, они се додатно обесхрабрују, што доводи и до социјалне искључености. Мера је родно неутрална.</w:t>
      </w:r>
    </w:p>
    <w:p w14:paraId="18509AD0"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674FEA49"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Структурна реформа је неутрална у смислу утицаја на животну средину.</w:t>
      </w:r>
    </w:p>
    <w:p w14:paraId="7FDBF2B8"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69BABA83" w14:textId="77777777" w:rsidTr="00DC7F92">
        <w:trPr>
          <w:trHeight w:val="421"/>
        </w:trPr>
        <w:tc>
          <w:tcPr>
            <w:tcW w:w="3329" w:type="dxa"/>
            <w:vAlign w:val="center"/>
          </w:tcPr>
          <w:p w14:paraId="33FB74E1"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50BFB547" w14:textId="77777777" w:rsidR="00DC7F92" w:rsidRPr="00862061" w:rsidRDefault="00DC7F92" w:rsidP="001F4238">
            <w:pPr>
              <w:spacing w:after="0"/>
              <w:rPr>
                <w:rFonts w:eastAsia="Calibri"/>
                <w:b/>
                <w:sz w:val="20"/>
                <w:szCs w:val="20"/>
                <w:lang w:val="sr-Cyrl-RS"/>
              </w:rPr>
            </w:pPr>
            <w:r w:rsidRPr="005B277D">
              <w:rPr>
                <w:rFonts w:eastAsia="Calibri"/>
                <w:b/>
                <w:sz w:val="20"/>
                <w:szCs w:val="20"/>
                <w:lang w:val="sr-Cyrl-RS"/>
              </w:rPr>
              <w:t xml:space="preserve">Вероватноћа за остваривање ризика </w:t>
            </w:r>
          </w:p>
        </w:tc>
        <w:tc>
          <w:tcPr>
            <w:tcW w:w="4165" w:type="dxa"/>
            <w:vAlign w:val="center"/>
          </w:tcPr>
          <w:p w14:paraId="659A40F4"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2BA5033B" w14:textId="77777777" w:rsidTr="00DC7F92">
        <w:trPr>
          <w:trHeight w:val="429"/>
        </w:trPr>
        <w:tc>
          <w:tcPr>
            <w:tcW w:w="3329" w:type="dxa"/>
          </w:tcPr>
          <w:p w14:paraId="3B9226AE"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Недовољна опредељеност на високом нивоу да се реализују потребне реформе и иницијативе</w:t>
            </w:r>
          </w:p>
        </w:tc>
        <w:tc>
          <w:tcPr>
            <w:tcW w:w="2200" w:type="dxa"/>
          </w:tcPr>
          <w:p w14:paraId="70E2BB0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452EB36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Формирање мултиресорне групе чији ће чланови бити министри, државни секретари, помоћници министара.</w:t>
            </w:r>
          </w:p>
        </w:tc>
      </w:tr>
      <w:tr w:rsidR="00DC7F92" w:rsidRPr="00862061" w14:paraId="00F76B34" w14:textId="77777777" w:rsidTr="00DC7F92">
        <w:trPr>
          <w:trHeight w:val="536"/>
        </w:trPr>
        <w:tc>
          <w:tcPr>
            <w:tcW w:w="3329" w:type="dxa"/>
          </w:tcPr>
          <w:p w14:paraId="7479CA9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Недовољни делегирани капацитети институција и релевантних актера за реализацију активности на успостављању оквира Гаранције</w:t>
            </w:r>
          </w:p>
        </w:tc>
        <w:tc>
          <w:tcPr>
            <w:tcW w:w="2200" w:type="dxa"/>
          </w:tcPr>
          <w:p w14:paraId="7F5E1317"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570F4C8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Организовање радионица, скупова на којима ће се говорити о значају Гаранције и потребним ресурсима за њено успешно спровођење</w:t>
            </w:r>
          </w:p>
        </w:tc>
      </w:tr>
    </w:tbl>
    <w:p w14:paraId="2ED8580C" w14:textId="77777777" w:rsidR="00DC7F92" w:rsidRPr="00862061" w:rsidRDefault="00DC7F92" w:rsidP="00DC7F92">
      <w:pPr>
        <w:spacing w:after="60"/>
        <w:rPr>
          <w:rFonts w:eastAsia="Calibri" w:cs="Times New Roman"/>
          <w:szCs w:val="24"/>
          <w:lang w:val="sr-Latn-RS"/>
        </w:rPr>
      </w:pPr>
    </w:p>
    <w:p w14:paraId="3CB69A01" w14:textId="24E95BFF"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2</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b/>
          <w:szCs w:val="24"/>
          <w:lang w:val="sr-Latn-RS"/>
        </w:rPr>
        <w:t xml:space="preserve"> </w:t>
      </w:r>
      <w:r w:rsidRPr="00862061">
        <w:rPr>
          <w:rFonts w:eastAsia="Calibri" w:cs="Times New Roman"/>
          <w:szCs w:val="24"/>
          <w:lang w:val="sr-Latn-RS"/>
        </w:rPr>
        <w:t>КВАЛИФИКАЦИЈЕ ОРИЈЕНТИСАНЕ ПРЕМА ПОТРЕБАМА ТРЖИШТА РАДА</w:t>
      </w:r>
    </w:p>
    <w:p w14:paraId="443EEEF1"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3D617C27"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Остваривањем дуалног модела студија у високом образовању обезбедиће се услови за стицање, усавршавање и развој компетенција студената у складу с потребама тржишта рада, лакше запошљавање по завршеном високом образовању, даље образовање и целоживотно учење, а допринеће </w:t>
      </w:r>
      <w:r>
        <w:rPr>
          <w:rFonts w:eastAsia="Times New Roman" w:cs="Times New Roman"/>
          <w:szCs w:val="24"/>
          <w:lang w:val="sr-Cyrl-RS"/>
        </w:rPr>
        <w:t xml:space="preserve">се </w:t>
      </w:r>
      <w:r w:rsidRPr="00862061">
        <w:rPr>
          <w:rFonts w:eastAsia="Times New Roman" w:cs="Times New Roman"/>
          <w:szCs w:val="24"/>
          <w:lang w:val="sr-Cyrl-RS"/>
        </w:rPr>
        <w:t xml:space="preserve">и јачању конкурентности привреде Републике Србије. </w:t>
      </w:r>
    </w:p>
    <w:p w14:paraId="5FE4AD8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Имплементацијом система Националног оквира квалификација у Србији (НОКС) успоставља се тржишно релевантан систем квалификација који одговара на потребе појединца, привреде и тржишта рада. </w:t>
      </w:r>
    </w:p>
    <w:p w14:paraId="62E1C0D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У претходном периоду креирана је Национална онлајн база за дуалне образовне профиле и успостављен је Оквир за праћење и вредновање дуалног образовања. У наредном периоду наставиће се са промотивним активностима Националног модела дуалног образовања, у циљу повећања обухвата ученика и студената у дуалном систему образовања, као и са успостављањем регионалних тренинг центара као виду подршке како формалном дуалном, тако и неформалном образовању, у којима ће се спроводити обучавање, стручно оспособљавање, преквалификација и доквалификација различитих група становништва. Такође, наставиће се са спровођењем поступка признавања претходног учења и уноса података у Регистар НОКС. Посебна пажња у наредном </w:t>
      </w:r>
      <w:r w:rsidRPr="00862061">
        <w:rPr>
          <w:rFonts w:eastAsia="Times New Roman" w:cs="Times New Roman"/>
          <w:szCs w:val="24"/>
          <w:lang w:val="sr-Cyrl-RS"/>
        </w:rPr>
        <w:lastRenderedPageBreak/>
        <w:t>периоду биће посвећена развоју послесредњег образовања на нивоу 5 НОКС-а (специјализација, мајсторско образовање, кратки циклуси).</w:t>
      </w:r>
    </w:p>
    <w:p w14:paraId="09B03680"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Реформа доприноси остваривању </w:t>
      </w:r>
      <w:r w:rsidRPr="00862061">
        <w:rPr>
          <w:rFonts w:eastAsia="Times New Roman" w:cs="Times New Roman"/>
          <w:b/>
          <w:szCs w:val="24"/>
          <w:lang w:val="sr-Cyrl-RS"/>
        </w:rPr>
        <w:t>ЦОР 4</w:t>
      </w:r>
      <w:r w:rsidRPr="00862061">
        <w:rPr>
          <w:rFonts w:eastAsia="Times New Roman" w:cs="Times New Roman"/>
          <w:szCs w:val="24"/>
          <w:lang w:val="sr-Cyrl-RS"/>
        </w:rPr>
        <w:t xml:space="preserve"> – Обезбедити инклузивно и праведно квалитетно образовање и промовисати могућност целоживотног учења за све. Ова реформа ће остварити утицај на </w:t>
      </w:r>
      <w:r w:rsidRPr="00862061">
        <w:rPr>
          <w:rFonts w:eastAsia="Times New Roman" w:cs="Times New Roman"/>
          <w:b/>
          <w:szCs w:val="24"/>
          <w:lang w:val="sr-Cyrl-RS"/>
        </w:rPr>
        <w:t>ЦОР 4.3.</w:t>
      </w:r>
      <w:r w:rsidRPr="00862061">
        <w:rPr>
          <w:rFonts w:eastAsia="Times New Roman" w:cs="Times New Roman"/>
          <w:szCs w:val="24"/>
          <w:lang w:val="sr-Cyrl-RS"/>
        </w:rPr>
        <w:t xml:space="preserve"> – До 2030. обезбедити једнаку доступност приступачног и квалитетног стручног образовања на свим нивоима, укључујући и универзитетско, за све жене и мушкарце, као и на </w:t>
      </w:r>
      <w:r w:rsidRPr="00862061">
        <w:rPr>
          <w:rFonts w:eastAsia="Times New Roman" w:cs="Times New Roman"/>
          <w:b/>
          <w:szCs w:val="24"/>
          <w:lang w:val="sr-Cyrl-RS"/>
        </w:rPr>
        <w:t>ЦОР 4.4.</w:t>
      </w:r>
      <w:r w:rsidRPr="00862061">
        <w:rPr>
          <w:rFonts w:eastAsia="Times New Roman" w:cs="Times New Roman"/>
          <w:szCs w:val="24"/>
          <w:lang w:val="sr-Cyrl-RS"/>
        </w:rPr>
        <w:t xml:space="preserve"> –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48279508"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1E529310"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318D272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F23D571"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6CC0147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FDDC67D"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A14782A"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56D4F21A"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0E0A24E"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4BF6DD8"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5EE5B35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D1DC91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AB8C2A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D0FB90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6F3A759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0BE349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BF36B55"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469486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60AD3C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86A927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7B82BD8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1AD77A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2129036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258A982"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single" w:sz="4" w:space="0" w:color="auto"/>
              <w:left w:val="single" w:sz="8" w:space="0" w:color="auto"/>
              <w:bottom w:val="single" w:sz="4" w:space="0" w:color="auto"/>
              <w:right w:val="nil"/>
            </w:tcBorders>
            <w:shd w:val="clear" w:color="auto" w:fill="auto"/>
          </w:tcPr>
          <w:p w14:paraId="5E6BC6CD"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Промоција дуалног модела образовања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67B699D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vAlign w:val="center"/>
          </w:tcPr>
          <w:p w14:paraId="633982A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vAlign w:val="center"/>
          </w:tcPr>
          <w:p w14:paraId="3055686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vAlign w:val="center"/>
          </w:tcPr>
          <w:p w14:paraId="5793124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03220D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E229E2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11A84B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2162BAC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3A30FD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1A4B9B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775D4A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6E6B304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126DC449"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D756229"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5B439882"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Оснивање, инфраструктурно уређење и опремање регионалних тренинг центара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B3E965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B1B06D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6E126A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56951E1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1AFA25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9F37224"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B6EB20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70B1C14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E50230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35D590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F2C468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09A16E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7F67E0E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80FDD9E"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33B5B99C"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нових стандарда квалификација у средњем стручном образовању</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D9E6CE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1C42AC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DAA578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0AEDCA1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F6D9BC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AFF1F6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865808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9006C0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03DDA6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FF09DA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CDCC94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3D22E99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341DEED2"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F2BEDB6"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634B3941"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Примена Оквира за праћење и вредновање Националног модела дуалног образовања и дуалних образовних профила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7E0602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5D5CDC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645013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204BBF3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4F2A77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C0EA8C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96E283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3208E5B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A60CE3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ED39A5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6D5330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1C13868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994C9B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B5FC414"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single" w:sz="8" w:space="0" w:color="auto"/>
              <w:bottom w:val="single" w:sz="4" w:space="0" w:color="auto"/>
              <w:right w:val="nil"/>
            </w:tcBorders>
            <w:shd w:val="clear" w:color="auto" w:fill="auto"/>
          </w:tcPr>
          <w:p w14:paraId="23F232A5" w14:textId="77777777" w:rsidR="00DC7F92" w:rsidRPr="00862061" w:rsidRDefault="00DC7F92" w:rsidP="00DC7F92">
            <w:pPr>
              <w:spacing w:after="0"/>
              <w:rPr>
                <w:rFonts w:eastAsia="Times New Roman" w:cs="Times New Roman"/>
                <w:sz w:val="20"/>
                <w:szCs w:val="20"/>
              </w:rPr>
            </w:pPr>
            <w:r>
              <w:rPr>
                <w:rFonts w:eastAsia="Times New Roman" w:cs="Times New Roman"/>
                <w:sz w:val="20"/>
                <w:szCs w:val="20"/>
                <w:lang w:val="sr-Cyrl-RS"/>
              </w:rPr>
              <w:t>И</w:t>
            </w:r>
            <w:r>
              <w:rPr>
                <w:rFonts w:eastAsia="Times New Roman" w:cs="Times New Roman"/>
                <w:sz w:val="20"/>
                <w:szCs w:val="20"/>
              </w:rPr>
              <w:t>зрада</w:t>
            </w:r>
            <w:r w:rsidRPr="00F27E1A">
              <w:rPr>
                <w:rFonts w:eastAsia="Times New Roman" w:cs="Times New Roman"/>
                <w:sz w:val="20"/>
                <w:szCs w:val="20"/>
              </w:rPr>
              <w:t xml:space="preserve"> студија за потребе развоја и евалуације дуалног образовања и различитих путева за достизање квалификација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1D8DB5B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080014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9BE8AB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DDC5A9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598CDB2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0BBF4D4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4504001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FFFFFF" w:themeFill="background1"/>
            <w:vAlign w:val="center"/>
          </w:tcPr>
          <w:p w14:paraId="4584831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07A6ED0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29E07BF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24016D3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FFFFFF" w:themeFill="background1"/>
            <w:vAlign w:val="center"/>
          </w:tcPr>
          <w:p w14:paraId="65C74AF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03B4C47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C0B4A58"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6</w:t>
            </w:r>
          </w:p>
        </w:tc>
        <w:tc>
          <w:tcPr>
            <w:tcW w:w="4120" w:type="dxa"/>
            <w:tcBorders>
              <w:top w:val="nil"/>
              <w:left w:val="single" w:sz="8" w:space="0" w:color="auto"/>
              <w:bottom w:val="single" w:sz="4" w:space="0" w:color="auto"/>
              <w:right w:val="nil"/>
            </w:tcBorders>
            <w:shd w:val="clear" w:color="auto" w:fill="auto"/>
          </w:tcPr>
          <w:p w14:paraId="682FFC24"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Израда и акредитација студијских програма по дуалном моделу студија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13E8D9A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6F3B19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DEFDAD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5AB822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FAC413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E4FE12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97CA7B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2E3A496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D1EEA4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60E9B4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967EBC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12CDFEC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2223452"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8E18901"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7</w:t>
            </w:r>
          </w:p>
        </w:tc>
        <w:tc>
          <w:tcPr>
            <w:tcW w:w="4120" w:type="dxa"/>
            <w:tcBorders>
              <w:top w:val="nil"/>
              <w:left w:val="single" w:sz="8" w:space="0" w:color="auto"/>
              <w:bottom w:val="single" w:sz="4" w:space="0" w:color="auto"/>
              <w:right w:val="nil"/>
            </w:tcBorders>
            <w:shd w:val="clear" w:color="auto" w:fill="auto"/>
          </w:tcPr>
          <w:p w14:paraId="0F51D6AA"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стандарда за квалификације које се стичу похађањем дуалног модела студија у високом образовању</w:t>
            </w:r>
          </w:p>
        </w:tc>
        <w:tc>
          <w:tcPr>
            <w:tcW w:w="422" w:type="dxa"/>
            <w:tcBorders>
              <w:top w:val="nil"/>
              <w:left w:val="single" w:sz="8" w:space="0" w:color="auto"/>
              <w:bottom w:val="single" w:sz="4" w:space="0" w:color="auto"/>
              <w:right w:val="single" w:sz="4" w:space="0" w:color="auto"/>
            </w:tcBorders>
            <w:shd w:val="clear" w:color="auto" w:fill="auto"/>
            <w:vAlign w:val="center"/>
          </w:tcPr>
          <w:p w14:paraId="51A4EF6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F82273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7F27B4D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31523F2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B4C9B5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4F06E5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16C4C9C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167CD10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D6B99D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3F98B9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76D32C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034250C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3C7F2E7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53DE697"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8</w:t>
            </w:r>
          </w:p>
        </w:tc>
        <w:tc>
          <w:tcPr>
            <w:tcW w:w="4120" w:type="dxa"/>
            <w:tcBorders>
              <w:top w:val="nil"/>
              <w:left w:val="single" w:sz="8" w:space="0" w:color="auto"/>
              <w:bottom w:val="single" w:sz="4" w:space="0" w:color="auto"/>
              <w:right w:val="nil"/>
            </w:tcBorders>
            <w:shd w:val="clear" w:color="auto" w:fill="auto"/>
          </w:tcPr>
          <w:p w14:paraId="02C3ED33"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Имплементација поступка ППУ ППУ</w:t>
            </w:r>
            <w:r>
              <w:rPr>
                <w:rFonts w:eastAsia="Times New Roman" w:cs="Times New Roman"/>
                <w:sz w:val="20"/>
                <w:szCs w:val="20"/>
                <w:lang w:val="sr-Cyrl-RS"/>
              </w:rPr>
              <w:t xml:space="preserve"> (признавање претходног учења)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16F75C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C06FCC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31B93A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3FCBDE4"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20DCB9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647373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51D319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0C0418B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434FA6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F77E82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61342F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BFBF8A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9E97A7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62607DB"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9</w:t>
            </w:r>
          </w:p>
        </w:tc>
        <w:tc>
          <w:tcPr>
            <w:tcW w:w="4120" w:type="dxa"/>
            <w:tcBorders>
              <w:top w:val="nil"/>
              <w:left w:val="single" w:sz="8" w:space="0" w:color="auto"/>
              <w:bottom w:val="single" w:sz="4" w:space="0" w:color="auto"/>
              <w:right w:val="nil"/>
            </w:tcBorders>
            <w:shd w:val="clear" w:color="auto" w:fill="auto"/>
          </w:tcPr>
          <w:p w14:paraId="2C085618"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Унос података у Регистар НОКС (квалификације, стандарди квалификација и ЈПОА</w:t>
            </w:r>
            <w:r>
              <w:rPr>
                <w:rFonts w:eastAsia="Times New Roman" w:cs="Times New Roman"/>
                <w:sz w:val="20"/>
                <w:szCs w:val="20"/>
                <w:lang w:val="sr-Cyrl-RS"/>
              </w:rPr>
              <w:t>– јавнопризнати организатори активности образовања одраслих</w:t>
            </w:r>
            <w:r w:rsidRPr="00862061">
              <w:rPr>
                <w:rFonts w:eastAsia="Times New Roman" w:cs="Times New Roman"/>
                <w:sz w:val="20"/>
                <w:szCs w:val="20"/>
              </w:rPr>
              <w:t>)</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6DBA22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2E94874"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A8D552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B083F7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677759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FE73F6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579386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167682C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B846D6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264EE9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521F43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32A2C84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8EA68B9"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D0D30E6"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E19F4CB"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послесредњег образовања на нивоу 5 НОКС-а (специјализација, мајсторско образовање, кратки циклуси).</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44D0F8B8"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FE2971E"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2CC1F6E"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BDEAE60"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28D49CE7"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F93FF7D"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BBD59BD"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A28A743"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4A59C11"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40611324"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728132F"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774DA61"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r>
    </w:tbl>
    <w:p w14:paraId="43C03E80" w14:textId="77777777" w:rsidR="00DC7F92" w:rsidRPr="00862061" w:rsidRDefault="00DC7F92"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07437BC4" w14:textId="77777777" w:rsidTr="00DC7F92">
        <w:tc>
          <w:tcPr>
            <w:tcW w:w="4106" w:type="dxa"/>
            <w:vAlign w:val="center"/>
          </w:tcPr>
          <w:p w14:paraId="412A7E4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163C4CF5"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(година)</w:t>
            </w:r>
          </w:p>
        </w:tc>
        <w:tc>
          <w:tcPr>
            <w:tcW w:w="1843" w:type="dxa"/>
            <w:vAlign w:val="center"/>
          </w:tcPr>
          <w:p w14:paraId="22610595"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(година)</w:t>
            </w:r>
          </w:p>
        </w:tc>
        <w:tc>
          <w:tcPr>
            <w:tcW w:w="1843" w:type="dxa"/>
            <w:vAlign w:val="center"/>
          </w:tcPr>
          <w:p w14:paraId="7F1FEFE7"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(година)</w:t>
            </w:r>
          </w:p>
        </w:tc>
      </w:tr>
      <w:tr w:rsidR="00DC7F92" w:rsidRPr="00862061" w14:paraId="0F4A724B" w14:textId="77777777" w:rsidTr="00DC7F92">
        <w:trPr>
          <w:trHeight w:val="284"/>
        </w:trPr>
        <w:tc>
          <w:tcPr>
            <w:tcW w:w="4106" w:type="dxa"/>
          </w:tcPr>
          <w:p w14:paraId="42EFB1A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израђених студијских програма по дуалном моделу студија</w:t>
            </w:r>
          </w:p>
        </w:tc>
        <w:tc>
          <w:tcPr>
            <w:tcW w:w="1842" w:type="dxa"/>
          </w:tcPr>
          <w:p w14:paraId="007EDD90"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(2020)</w:t>
            </w:r>
          </w:p>
        </w:tc>
        <w:tc>
          <w:tcPr>
            <w:tcW w:w="1843" w:type="dxa"/>
          </w:tcPr>
          <w:p w14:paraId="1E068FE4"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 (2022)</w:t>
            </w:r>
          </w:p>
        </w:tc>
        <w:tc>
          <w:tcPr>
            <w:tcW w:w="1843" w:type="dxa"/>
          </w:tcPr>
          <w:p w14:paraId="7CCAE89B"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25 (2024)</w:t>
            </w:r>
          </w:p>
        </w:tc>
      </w:tr>
      <w:tr w:rsidR="00DC7F92" w:rsidRPr="00862061" w14:paraId="04AEAA18" w14:textId="77777777" w:rsidTr="00DC7F92">
        <w:trPr>
          <w:trHeight w:val="284"/>
        </w:trPr>
        <w:tc>
          <w:tcPr>
            <w:tcW w:w="4106" w:type="dxa"/>
          </w:tcPr>
          <w:p w14:paraId="360F5960"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Учешће ђака уписаних у прву годину у систему дуалног образовања у односу на укупан број ђака уписаних у прву годину у средњем стручном образовању (%)</w:t>
            </w:r>
          </w:p>
        </w:tc>
        <w:tc>
          <w:tcPr>
            <w:tcW w:w="1842" w:type="dxa"/>
          </w:tcPr>
          <w:p w14:paraId="05E47F3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5,3%(2019) </w:t>
            </w:r>
          </w:p>
        </w:tc>
        <w:tc>
          <w:tcPr>
            <w:tcW w:w="1843" w:type="dxa"/>
          </w:tcPr>
          <w:p w14:paraId="29F0EB1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8,2 % (2022)</w:t>
            </w:r>
          </w:p>
        </w:tc>
        <w:tc>
          <w:tcPr>
            <w:tcW w:w="1843" w:type="dxa"/>
          </w:tcPr>
          <w:p w14:paraId="1A77E59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10,9 %(2024)</w:t>
            </w:r>
          </w:p>
        </w:tc>
      </w:tr>
      <w:tr w:rsidR="00DC7F92" w:rsidRPr="00862061" w14:paraId="4DBA1873" w14:textId="77777777" w:rsidTr="00DC7F92">
        <w:trPr>
          <w:trHeight w:val="284"/>
        </w:trPr>
        <w:tc>
          <w:tcPr>
            <w:tcW w:w="4106" w:type="dxa"/>
          </w:tcPr>
          <w:p w14:paraId="3BC019F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успостављених регионалних тренинг центара</w:t>
            </w:r>
          </w:p>
        </w:tc>
        <w:tc>
          <w:tcPr>
            <w:tcW w:w="1842" w:type="dxa"/>
          </w:tcPr>
          <w:p w14:paraId="53B0B188"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(2019)</w:t>
            </w:r>
          </w:p>
        </w:tc>
        <w:tc>
          <w:tcPr>
            <w:tcW w:w="1843" w:type="dxa"/>
          </w:tcPr>
          <w:p w14:paraId="3C978CF7"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 (2022)</w:t>
            </w:r>
          </w:p>
        </w:tc>
        <w:tc>
          <w:tcPr>
            <w:tcW w:w="1843" w:type="dxa"/>
          </w:tcPr>
          <w:p w14:paraId="1D07C26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12(2024) </w:t>
            </w:r>
          </w:p>
        </w:tc>
      </w:tr>
      <w:tr w:rsidR="00DC7F92" w:rsidRPr="00862061" w14:paraId="21522D83" w14:textId="77777777" w:rsidTr="00DC7F92">
        <w:trPr>
          <w:trHeight w:val="284"/>
        </w:trPr>
        <w:tc>
          <w:tcPr>
            <w:tcW w:w="4106" w:type="dxa"/>
          </w:tcPr>
          <w:p w14:paraId="7748D99A" w14:textId="77777777" w:rsidR="00DC7F92" w:rsidRPr="00C42187" w:rsidRDefault="00DC7F92" w:rsidP="001F4238">
            <w:pPr>
              <w:spacing w:after="0"/>
              <w:rPr>
                <w:rFonts w:eastAsia="Calibri"/>
                <w:sz w:val="20"/>
                <w:szCs w:val="20"/>
                <w:lang w:val="en-US"/>
              </w:rPr>
            </w:pPr>
            <w:r w:rsidRPr="00862061">
              <w:rPr>
                <w:rFonts w:eastAsia="Calibri"/>
                <w:sz w:val="20"/>
                <w:szCs w:val="20"/>
                <w:lang w:val="sr-Cyrl-RS"/>
              </w:rPr>
              <w:t>Број кандидата укључених у поступак ППУ</w:t>
            </w:r>
            <w:r>
              <w:rPr>
                <w:rFonts w:eastAsia="Calibri"/>
                <w:sz w:val="20"/>
                <w:szCs w:val="20"/>
                <w:lang w:val="en-US"/>
              </w:rPr>
              <w:t xml:space="preserve"> </w:t>
            </w:r>
            <w:r>
              <w:rPr>
                <w:rFonts w:eastAsia="Calibri"/>
                <w:sz w:val="20"/>
                <w:szCs w:val="20"/>
                <w:lang w:val="sr-Cyrl-RS"/>
              </w:rPr>
              <w:t>(признавање претходног учења)</w:t>
            </w:r>
          </w:p>
        </w:tc>
        <w:tc>
          <w:tcPr>
            <w:tcW w:w="1842" w:type="dxa"/>
          </w:tcPr>
          <w:p w14:paraId="40D0E36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(2019)</w:t>
            </w:r>
          </w:p>
        </w:tc>
        <w:tc>
          <w:tcPr>
            <w:tcW w:w="1843" w:type="dxa"/>
          </w:tcPr>
          <w:p w14:paraId="28AFD29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35 (2022)</w:t>
            </w:r>
          </w:p>
        </w:tc>
        <w:tc>
          <w:tcPr>
            <w:tcW w:w="1843" w:type="dxa"/>
          </w:tcPr>
          <w:p w14:paraId="7C2E8FDE"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65 (2024)</w:t>
            </w:r>
          </w:p>
        </w:tc>
      </w:tr>
    </w:tbl>
    <w:p w14:paraId="2E3DCD2C" w14:textId="77777777" w:rsidR="001F4238" w:rsidRPr="00862061" w:rsidRDefault="001F4238"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13F4CAFB" w14:textId="21B613B7" w:rsidR="001F4238" w:rsidRPr="00862061" w:rsidRDefault="001F4238" w:rsidP="001F4238">
      <w:pPr>
        <w:spacing w:after="60"/>
        <w:rPr>
          <w:rFonts w:eastAsia="Times New Roman" w:cs="Times New Roman"/>
          <w:szCs w:val="24"/>
          <w:lang w:val="sr-Cyrl-RS"/>
        </w:rPr>
      </w:pPr>
      <w:r w:rsidRPr="00862061">
        <w:rPr>
          <w:rFonts w:eastAsia="Times New Roman" w:cs="Times New Roman"/>
          <w:szCs w:val="24"/>
          <w:lang w:val="sr-Cyrl-RS"/>
        </w:rPr>
        <w:lastRenderedPageBreak/>
        <w:t xml:space="preserve">Даљим развојем дуалног образовања обезбедиће се лакша транзиција ученика и студената из света образовања у свет рада. Дуални модел студија у високом образовању, који </w:t>
      </w:r>
      <w:r>
        <w:rPr>
          <w:rFonts w:eastAsia="Times New Roman" w:cs="Times New Roman"/>
          <w:szCs w:val="24"/>
          <w:lang w:val="sr-Cyrl-RS"/>
        </w:rPr>
        <w:t>је започео</w:t>
      </w:r>
      <w:r w:rsidRPr="00862061">
        <w:rPr>
          <w:rFonts w:eastAsia="Times New Roman" w:cs="Times New Roman"/>
          <w:szCs w:val="24"/>
          <w:lang w:val="sr-Cyrl-RS"/>
        </w:rPr>
        <w:t xml:space="preserve"> са реализацијом првих студијских програма од октобра 2021. године, допринеће повећању релевантности високог образовања и запошљивости свршених студента и осавремењивању наставног процеса кроз сарадњу са привредом и додир са савременим технолошким достигнућима, као и јачању конкурентности привреде Републике Србије.</w:t>
      </w:r>
    </w:p>
    <w:p w14:paraId="53F4BBC3" w14:textId="311BC94A" w:rsidR="001F4238" w:rsidRPr="00862061" w:rsidRDefault="001F4238" w:rsidP="001F4238">
      <w:pPr>
        <w:spacing w:after="60"/>
        <w:rPr>
          <w:rFonts w:eastAsia="Times New Roman" w:cs="Times New Roman"/>
          <w:szCs w:val="24"/>
          <w:lang w:val="sr-Cyrl-RS"/>
        </w:rPr>
      </w:pPr>
      <w:r w:rsidRPr="00862061">
        <w:rPr>
          <w:rFonts w:eastAsia="Times New Roman" w:cs="Times New Roman"/>
          <w:szCs w:val="24"/>
          <w:lang w:val="sr-Cyrl-RS"/>
        </w:rPr>
        <w:t>Успостављање система НОКС допринеће развоју модерног, релевантног и флексибилног система образовања прилагођеног захтевима друштвено-економског развоја, обезбеђивање подршке примени концепта целоживотног учења и омогућавање лакше покретљивости радне снаге. Повезивањем са Европским оквиром квалификација, квалификације стечене у Републици Србији постају видљиве и упоредиве са квалификацијама стеченим у другим земљама, првенствено у државама ЕУ.</w:t>
      </w:r>
    </w:p>
    <w:p w14:paraId="31C4D4F5" w14:textId="77777777" w:rsidR="00DC7F92" w:rsidRPr="00862061" w:rsidRDefault="00DC7F92"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672A881A"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За реализацију </w:t>
      </w:r>
      <w:r>
        <w:rPr>
          <w:rFonts w:eastAsia="Times New Roman" w:cs="Times New Roman"/>
          <w:szCs w:val="24"/>
          <w:lang w:val="sr-Cyrl-RS"/>
        </w:rPr>
        <w:t xml:space="preserve">активности 1, 3, 4, 6 и 7 </w:t>
      </w:r>
      <w:r w:rsidRPr="00862061">
        <w:rPr>
          <w:rFonts w:eastAsia="Times New Roman" w:cs="Times New Roman"/>
          <w:szCs w:val="24"/>
          <w:lang w:val="sr-Cyrl-RS"/>
        </w:rPr>
        <w:t>нису потребна додатна средства.</w:t>
      </w:r>
      <w:r>
        <w:rPr>
          <w:rFonts w:eastAsia="Times New Roman" w:cs="Times New Roman"/>
          <w:szCs w:val="24"/>
          <w:lang w:val="sr-Cyrl-RS"/>
        </w:rPr>
        <w:t xml:space="preserve"> </w:t>
      </w:r>
      <w:r w:rsidRPr="006E3214">
        <w:rPr>
          <w:rFonts w:eastAsia="Times New Roman" w:cs="Times New Roman"/>
          <w:szCs w:val="24"/>
          <w:lang w:val="sr-Cyrl-RS"/>
        </w:rPr>
        <w:t xml:space="preserve">За имплементацију система НОКС </w:t>
      </w:r>
      <w:r>
        <w:rPr>
          <w:rFonts w:eastAsia="Times New Roman" w:cs="Times New Roman"/>
          <w:szCs w:val="24"/>
          <w:lang w:val="sr-Cyrl-RS"/>
        </w:rPr>
        <w:t xml:space="preserve">такође </w:t>
      </w:r>
      <w:r w:rsidRPr="006E3214">
        <w:rPr>
          <w:rFonts w:eastAsia="Times New Roman" w:cs="Times New Roman"/>
          <w:szCs w:val="24"/>
          <w:lang w:val="sr-Cyrl-RS"/>
        </w:rPr>
        <w:t>нису потребна додатна средства (активности 8, 9 и 10).</w:t>
      </w:r>
    </w:p>
    <w:p w14:paraId="65B44A20"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За </w:t>
      </w:r>
      <w:r>
        <w:rPr>
          <w:rFonts w:eastAsia="Times New Roman" w:cs="Times New Roman"/>
          <w:szCs w:val="24"/>
          <w:lang w:val="sr-Cyrl-RS"/>
        </w:rPr>
        <w:t>реализацију активности 5</w:t>
      </w:r>
      <w:r w:rsidRPr="00862061">
        <w:rPr>
          <w:rFonts w:eastAsia="Times New Roman" w:cs="Times New Roman"/>
          <w:szCs w:val="24"/>
          <w:lang w:val="sr-Cyrl-RS"/>
        </w:rPr>
        <w:t xml:space="preserve"> пројектована су средства из буџета Републике Србије у висини од 123.600 </w:t>
      </w:r>
      <w:r>
        <w:rPr>
          <w:rFonts w:eastAsia="Times New Roman" w:cs="Times New Roman"/>
          <w:szCs w:val="24"/>
          <w:lang w:val="sr-Cyrl-RS"/>
        </w:rPr>
        <w:t>евра</w:t>
      </w:r>
      <w:r w:rsidRPr="00862061">
        <w:rPr>
          <w:rFonts w:eastAsia="Times New Roman" w:cs="Times New Roman"/>
          <w:szCs w:val="24"/>
          <w:lang w:val="sr-Cyrl-RS"/>
        </w:rPr>
        <w:t xml:space="preserve"> за 2022. годину. </w:t>
      </w:r>
      <w:r w:rsidRPr="00C42187">
        <w:rPr>
          <w:rFonts w:eastAsia="Times New Roman" w:cs="Times New Roman"/>
          <w:szCs w:val="24"/>
          <w:lang w:val="sr-Cyrl-RS"/>
        </w:rPr>
        <w:t>Базна година је 2020.</w:t>
      </w:r>
    </w:p>
    <w:p w14:paraId="508C910E" w14:textId="77777777"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Средства за изградњу и реконструкцију регионалних тренинг центара </w:t>
      </w:r>
      <w:r>
        <w:rPr>
          <w:rFonts w:eastAsia="Times New Roman" w:cs="Times New Roman"/>
          <w:szCs w:val="24"/>
          <w:lang w:val="sr-Cyrl-RS"/>
        </w:rPr>
        <w:t xml:space="preserve">(активност 2) </w:t>
      </w:r>
      <w:r w:rsidRPr="00862061">
        <w:rPr>
          <w:rFonts w:eastAsia="Times New Roman" w:cs="Times New Roman"/>
          <w:szCs w:val="24"/>
          <w:lang w:val="sr-Cyrl-RS"/>
        </w:rPr>
        <w:t xml:space="preserve"> биће обезбеђена преко кредита у износу од 15.400.000 </w:t>
      </w:r>
      <w:r>
        <w:rPr>
          <w:rFonts w:eastAsia="Times New Roman" w:cs="Times New Roman"/>
          <w:szCs w:val="24"/>
          <w:lang w:val="sr-Cyrl-RS"/>
        </w:rPr>
        <w:t>евра</w:t>
      </w:r>
      <w:r w:rsidRPr="00862061">
        <w:rPr>
          <w:rFonts w:eastAsia="Times New Roman" w:cs="Times New Roman"/>
          <w:szCs w:val="24"/>
          <w:lang w:val="sr-Cyrl-RS"/>
        </w:rPr>
        <w:t xml:space="preserve">, </w:t>
      </w:r>
      <w:r>
        <w:rPr>
          <w:rFonts w:eastAsia="Times New Roman" w:cs="Times New Roman"/>
          <w:szCs w:val="24"/>
          <w:lang w:val="sr-Cyrl-RS"/>
        </w:rPr>
        <w:t>за 2022. годину</w:t>
      </w:r>
      <w:r w:rsidRPr="00862061">
        <w:rPr>
          <w:rFonts w:eastAsia="Times New Roman" w:cs="Times New Roman"/>
          <w:szCs w:val="24"/>
          <w:lang w:val="sr-Cyrl-RS"/>
        </w:rPr>
        <w:t>, а за 2023. годину 6.922.534</w:t>
      </w:r>
      <w:r>
        <w:rPr>
          <w:rFonts w:eastAsia="Times New Roman" w:cs="Times New Roman"/>
          <w:szCs w:val="24"/>
          <w:lang w:val="sr-Cyrl-RS"/>
        </w:rPr>
        <w:t xml:space="preserve"> евра</w:t>
      </w:r>
      <w:r w:rsidRPr="00862061">
        <w:rPr>
          <w:rFonts w:eastAsia="Times New Roman" w:cs="Times New Roman"/>
          <w:szCs w:val="24"/>
          <w:lang w:val="sr-Cyrl-RS"/>
        </w:rPr>
        <w:t xml:space="preserve">. </w:t>
      </w:r>
    </w:p>
    <w:p w14:paraId="3BA5A159" w14:textId="77777777" w:rsidR="00DC7F92" w:rsidRPr="00C42187" w:rsidRDefault="00DC7F92" w:rsidP="00DC7F92">
      <w:pPr>
        <w:widowControl w:val="0"/>
        <w:spacing w:after="60"/>
        <w:rPr>
          <w:rFonts w:eastAsia="Times New Roman" w:cs="Times New Roman"/>
          <w:szCs w:val="24"/>
          <w:lang w:val="sr-Cyrl-RS"/>
        </w:rPr>
      </w:pPr>
      <w:r w:rsidRPr="00C42187">
        <w:rPr>
          <w:rFonts w:eastAsia="Times New Roman" w:cs="Times New Roman"/>
          <w:szCs w:val="24"/>
          <w:lang w:val="sr-Cyrl-RS"/>
        </w:rPr>
        <w:t xml:space="preserve">Средства за опремање регионалних тренинг центара биће обезбеђена преко кредита у износу од 12.900.000 евра за 2022. годину, а за 2023. годину 909.475 евра. Базна година је 2019. </w:t>
      </w:r>
    </w:p>
    <w:p w14:paraId="5C2BB650"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3FDF2E2"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Студенти који заврше студије по дуалном моделу</w:t>
      </w:r>
      <w:r w:rsidRPr="00E521F7">
        <w:t xml:space="preserve"> </w:t>
      </w:r>
      <w:r w:rsidRPr="00E521F7">
        <w:rPr>
          <w:rFonts w:eastAsia="Times New Roman" w:cs="Times New Roman"/>
          <w:szCs w:val="24"/>
          <w:lang w:val="sr-Cyrl-RS"/>
        </w:rPr>
        <w:t>значајно повећавају своју конкурентност на тржишту рада</w:t>
      </w:r>
      <w:r w:rsidRPr="00862061">
        <w:rPr>
          <w:rFonts w:eastAsia="Times New Roman" w:cs="Times New Roman"/>
          <w:szCs w:val="24"/>
          <w:lang w:val="sr-Cyrl-RS"/>
        </w:rPr>
        <w:t xml:space="preserve">, </w:t>
      </w:r>
      <w:r>
        <w:rPr>
          <w:rFonts w:eastAsia="Times New Roman" w:cs="Times New Roman"/>
          <w:szCs w:val="24"/>
          <w:lang w:val="sr-Cyrl-RS"/>
        </w:rPr>
        <w:t xml:space="preserve">и </w:t>
      </w:r>
      <w:r w:rsidRPr="00862061">
        <w:rPr>
          <w:rFonts w:eastAsia="Times New Roman" w:cs="Times New Roman"/>
          <w:szCs w:val="24"/>
          <w:lang w:val="sr-Cyrl-RS"/>
        </w:rPr>
        <w:t>с обзиром на значајно и релевантно практично искуство, имаће веће шансе за запошљавање код послодаваца код којих су обавили учење кроз рад али и код других послодаваца из исте делатности. Резултати праћења и вредновања дуалног образовања омогућиће јаснију идентификацију ситуације, боље управљање ризицима и могућностима, учење из искустава, доношење одлука заснованих на подацима, а моћи ће и да се сагледа утицај тренутних образовних политика дуалног образовања на родни аспект, како би он могао у будућности да се унапреди.</w:t>
      </w:r>
    </w:p>
    <w:p w14:paraId="105B7716"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1FF43633"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Структурна реформа је неутрална у смислу утицаја на животну средину.</w:t>
      </w:r>
    </w:p>
    <w:p w14:paraId="76D006A2"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6431506E" w14:textId="77777777" w:rsidTr="00DC7F92">
        <w:trPr>
          <w:trHeight w:val="421"/>
        </w:trPr>
        <w:tc>
          <w:tcPr>
            <w:tcW w:w="3329" w:type="dxa"/>
            <w:vAlign w:val="center"/>
          </w:tcPr>
          <w:p w14:paraId="259B7954"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588A4463"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4B6E5EA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644D9A2B" w14:textId="77777777" w:rsidTr="00DC7F92">
        <w:trPr>
          <w:trHeight w:val="429"/>
        </w:trPr>
        <w:tc>
          <w:tcPr>
            <w:tcW w:w="3329" w:type="dxa"/>
          </w:tcPr>
          <w:p w14:paraId="52E77529"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Отежана реализација учења кроз рад код послодаваца услед актуелне епидемиолошке ситуације изазване Ковид-19</w:t>
            </w:r>
          </w:p>
        </w:tc>
        <w:tc>
          <w:tcPr>
            <w:tcW w:w="2200" w:type="dxa"/>
          </w:tcPr>
          <w:p w14:paraId="148680A3"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07019F6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Реализација учења кроз рад у регионалним тренинг центрима</w:t>
            </w:r>
          </w:p>
        </w:tc>
      </w:tr>
      <w:tr w:rsidR="00DC7F92" w:rsidRPr="00862061" w14:paraId="66634375" w14:textId="77777777" w:rsidTr="00DC7F92">
        <w:trPr>
          <w:trHeight w:val="536"/>
        </w:trPr>
        <w:tc>
          <w:tcPr>
            <w:tcW w:w="3329" w:type="dxa"/>
          </w:tcPr>
          <w:p w14:paraId="10205CB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lastRenderedPageBreak/>
              <w:t>Неинформисаност потенцијалних кандидата и социјалних парнера о поступку ППУ</w:t>
            </w:r>
          </w:p>
        </w:tc>
        <w:tc>
          <w:tcPr>
            <w:tcW w:w="2200" w:type="dxa"/>
          </w:tcPr>
          <w:p w14:paraId="4491539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164168E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Организовање скупова и инфо сесија ради информисања потенцијалних кандидата и социјалних партнера у поступку ППУ</w:t>
            </w:r>
          </w:p>
        </w:tc>
      </w:tr>
    </w:tbl>
    <w:p w14:paraId="091FC6E9" w14:textId="77777777" w:rsidR="00DC7F92" w:rsidRDefault="00DC7F92" w:rsidP="00DC7F92">
      <w:pPr>
        <w:spacing w:before="120"/>
        <w:rPr>
          <w:rFonts w:eastAsia="Calibri" w:cs="Times New Roman"/>
          <w:b/>
          <w:szCs w:val="24"/>
          <w:u w:val="single"/>
          <w:lang w:val="sr-Cyrl-RS"/>
        </w:rPr>
      </w:pPr>
    </w:p>
    <w:p w14:paraId="231E7F3C" w14:textId="07CE9B25"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3</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b/>
          <w:szCs w:val="24"/>
          <w:lang w:val="sr-Latn-RS"/>
        </w:rPr>
        <w:t xml:space="preserve"> </w:t>
      </w:r>
      <w:r w:rsidRPr="00862061">
        <w:rPr>
          <w:rFonts w:eastAsia="Calibri" w:cs="Times New Roman"/>
          <w:szCs w:val="24"/>
          <w:lang w:val="sr-Latn-RS"/>
        </w:rPr>
        <w:t>УНАПРЕЂЕЊЕ АМБИЈЕНТА ЗА ПОДСТИЦАЊЕ, ПОДРШКУ И ПРАЋЕЊЕ ЦИРКУЛАРНИХ И ЕКОНОМСКИХ МИГРАЦИЈА</w:t>
      </w:r>
    </w:p>
    <w:p w14:paraId="6403E92D"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05154F06"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Стварање амбијента за успоравање одласка и привлачење радно способног становништва, подстицање циркуларних миграција и односа са дијаспором, јачање механизама за праћење миграторних токова и привлачење странаца у складу са Стратегијом о економским миграцијама Републике Србије 2021-2027. Посебан фокус ће бити на регулаторним реформама као и једноставнијем привлачењу странаца, посебно особа српског порекла. Намера је да се промовишу постојећи порески и други подстицаји за запошљавање повратника, утиче на изградњу поверења са дијаспором кроз учестале дијалоге и низ активности и истраживања. Реформа је у складу са другим стратегијама: Стратегијом развоја индустријске политике 2021–2030, Стратегијом паметне специјализације 2020–2027 и Стратегијом развоја ве</w:t>
      </w:r>
      <w:r>
        <w:rPr>
          <w:rFonts w:eastAsia="Times New Roman" w:cs="Times New Roman"/>
          <w:szCs w:val="24"/>
          <w:lang w:val="sr-Cyrl-RS"/>
        </w:rPr>
        <w:t xml:space="preserve">штачке интелигенције 2020–2025 </w:t>
      </w:r>
      <w:r w:rsidRPr="00862061">
        <w:rPr>
          <w:rFonts w:eastAsia="Times New Roman" w:cs="Times New Roman"/>
          <w:szCs w:val="24"/>
          <w:lang w:val="sr-Cyrl-RS"/>
        </w:rPr>
        <w:t xml:space="preserve">и доприноси остваривању </w:t>
      </w:r>
      <w:r w:rsidRPr="00862061">
        <w:rPr>
          <w:rFonts w:eastAsia="Times New Roman" w:cs="Times New Roman"/>
          <w:b/>
          <w:szCs w:val="24"/>
          <w:lang w:val="sr-Cyrl-RS"/>
        </w:rPr>
        <w:t>ЦОР 10.7.</w:t>
      </w:r>
      <w:r w:rsidRPr="00862061">
        <w:rPr>
          <w:rFonts w:eastAsia="Times New Roman" w:cs="Times New Roman"/>
          <w:szCs w:val="24"/>
          <w:lang w:val="sr-Cyrl-RS"/>
        </w:rPr>
        <w:t xml:space="preserve"> који се односи на управљање миграцијама и вођење миграторних политика.</w:t>
      </w:r>
    </w:p>
    <w:p w14:paraId="1D854D55"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6322C60A"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1DF4798B"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46E77DCC"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39D1CCB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0A70E2D"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auto"/>
            </w:tcBorders>
            <w:shd w:val="clear" w:color="auto" w:fill="auto"/>
            <w:vAlign w:val="center"/>
            <w:hideMark/>
          </w:tcPr>
          <w:p w14:paraId="63D7A6B1"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182BDD8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4814637F"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5139CE43"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1AAB2F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CA154C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43EFB7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F42BB1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E10ECB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A556C7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7A2ED81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225A3E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90EC1B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62B7F9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DCAE7C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C2B676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5F621B7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5DD389C"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72D1B2F4" w14:textId="77777777" w:rsidR="00DC7F92"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Примена Акционог плана за период 2021-2023 године за примену Стратегије о економским миграцијама Републике Србије за период 2021-2027 године</w:t>
            </w:r>
          </w:p>
          <w:p w14:paraId="71CB2543" w14:textId="77777777" w:rsidR="00DC7F92" w:rsidRPr="00862061" w:rsidRDefault="00DC7F92" w:rsidP="00DC7F92">
            <w:pPr>
              <w:spacing w:after="0"/>
              <w:rPr>
                <w:rFonts w:eastAsia="Times New Roman" w:cs="Times New Roman"/>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vAlign w:val="center"/>
          </w:tcPr>
          <w:p w14:paraId="1961677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8CAF7E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D95312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F8CB0D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69F17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262352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9D225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33AEDB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6BE99B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91AD9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624E6D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0B809EF"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6C792C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1C5B2C6"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28683564" w14:textId="77777777"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Јачање капацитета институција надлежних за праћење миграционих кретања и образовање нових група, тела и слично</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0D5008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82855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84291A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CDAAA34"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BC0745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3D0E12"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E518CC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9935A2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4F68787"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B9F51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8FC9C9E"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E113FC1"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75DAEED2"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71569097"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20F5E8D1" w14:textId="77777777"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Израда анализе потенцијала радне снаге у контексту емиграције</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4F16C6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CD9448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6279C7C"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38AAEA8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0FF53B8E"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DFA74A0"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C590740"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1E77F606"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7B25FA80"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B07F4C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B46BF9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643239A9"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43B2DC03"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B08D3BD"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4CAFF7C4" w14:textId="77777777"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Јачање капацитета организације за пружање директне и менторске подршке дијаспори</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5C0E8A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24AA2F54"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2FE66922"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355BF8F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246C189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1F83D6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B58B5D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6544EAF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FF81613"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B739DC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D78FB6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5551F1B7"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307697EB"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3FAF3376"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3F55FD93" w14:textId="77777777" w:rsidR="00DC7F92" w:rsidRPr="00862061" w:rsidRDefault="00DC7F92" w:rsidP="00DC7F92">
            <w:pPr>
              <w:spacing w:after="0"/>
              <w:rPr>
                <w:rFonts w:eastAsia="Times New Roman" w:cs="Times New Roman"/>
                <w:bCs/>
                <w:sz w:val="20"/>
                <w:szCs w:val="20"/>
                <w:lang w:val="sr-Cyrl-RS"/>
              </w:rPr>
            </w:pPr>
            <w:r>
              <w:rPr>
                <w:rFonts w:eastAsia="Times New Roman" w:cs="Times New Roman"/>
                <w:bCs/>
                <w:sz w:val="20"/>
                <w:szCs w:val="20"/>
                <w:lang w:val="sr-Cyrl-RS"/>
              </w:rPr>
              <w:t>Унапређење административног оквира</w:t>
            </w:r>
            <w:r w:rsidRPr="00862061">
              <w:rPr>
                <w:rFonts w:eastAsia="Times New Roman" w:cs="Times New Roman"/>
                <w:bCs/>
                <w:sz w:val="20"/>
                <w:szCs w:val="20"/>
                <w:lang w:val="sr-Cyrl-RS"/>
              </w:rPr>
              <w:t xml:space="preserve"> у циљу </w:t>
            </w:r>
            <w:r>
              <w:rPr>
                <w:rFonts w:eastAsia="Times New Roman" w:cs="Times New Roman"/>
                <w:bCs/>
                <w:sz w:val="20"/>
                <w:szCs w:val="20"/>
                <w:lang w:val="sr-Cyrl-RS"/>
              </w:rPr>
              <w:t xml:space="preserve">повратка и инвестиција дијаспоре, </w:t>
            </w:r>
            <w:r w:rsidRPr="00862061">
              <w:rPr>
                <w:rFonts w:eastAsia="Times New Roman" w:cs="Times New Roman"/>
                <w:bCs/>
                <w:sz w:val="20"/>
                <w:szCs w:val="20"/>
                <w:lang w:val="sr-Cyrl-RS"/>
              </w:rPr>
              <w:t>повратка страних држављана српског порекла, одобравања стамбених кредита припадницима дијаспоре и регистрације возила из земаља ван ЕУ/ЕЕА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60EDC3B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C7A6973"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F2C2111"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7AFD5D2B"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64EC2C36"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368FB8B"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D86DADC"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3987222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0372D15"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FC94776"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7C7429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1253B5EA"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7BEA72A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0AED7E7"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nil"/>
              <w:left w:val="single" w:sz="8" w:space="0" w:color="auto"/>
              <w:bottom w:val="single" w:sz="4" w:space="0" w:color="auto"/>
              <w:right w:val="nil"/>
            </w:tcBorders>
            <w:shd w:val="clear" w:color="auto" w:fill="auto"/>
          </w:tcPr>
          <w:p w14:paraId="5E9DA856"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Развој</w:t>
            </w:r>
            <w:r>
              <w:rPr>
                <w:rFonts w:eastAsia="Times New Roman" w:cs="Times New Roman"/>
                <w:sz w:val="20"/>
                <w:szCs w:val="20"/>
                <w:lang w:val="sr-Cyrl-RS"/>
              </w:rPr>
              <w:t xml:space="preserve"> и примена</w:t>
            </w:r>
            <w:r w:rsidRPr="00862061">
              <w:rPr>
                <w:rFonts w:eastAsia="Times New Roman" w:cs="Times New Roman"/>
                <w:sz w:val="20"/>
                <w:szCs w:val="20"/>
                <w:lang w:val="sr-Cyrl-RS"/>
              </w:rPr>
              <w:t xml:space="preserve"> програма стручних пракси намењених за студенте из иностранства у јавном и приватном сектору</w:t>
            </w:r>
          </w:p>
        </w:tc>
        <w:tc>
          <w:tcPr>
            <w:tcW w:w="422" w:type="dxa"/>
            <w:tcBorders>
              <w:top w:val="nil"/>
              <w:left w:val="single" w:sz="8" w:space="0" w:color="auto"/>
              <w:bottom w:val="single" w:sz="4" w:space="0" w:color="auto"/>
              <w:right w:val="single" w:sz="4" w:space="0" w:color="auto"/>
            </w:tcBorders>
            <w:shd w:val="clear" w:color="auto" w:fill="BFBFBF"/>
            <w:vAlign w:val="center"/>
          </w:tcPr>
          <w:p w14:paraId="614FC8E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DB21B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DA8E3C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337775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EA8F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E9629A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C99F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EEC463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4E365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886C4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520CAC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60F8191"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A9F60E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C3CC4AF"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7</w:t>
            </w:r>
          </w:p>
        </w:tc>
        <w:tc>
          <w:tcPr>
            <w:tcW w:w="4120" w:type="dxa"/>
            <w:tcBorders>
              <w:top w:val="nil"/>
              <w:left w:val="single" w:sz="8" w:space="0" w:color="auto"/>
              <w:bottom w:val="single" w:sz="4" w:space="0" w:color="auto"/>
              <w:right w:val="nil"/>
            </w:tcBorders>
            <w:shd w:val="clear" w:color="auto" w:fill="auto"/>
          </w:tcPr>
          <w:p w14:paraId="725255F2"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Развој комуникационих, саветодавних и промотивних активности намењених интеграцији повратника и страних држављана</w:t>
            </w:r>
          </w:p>
        </w:tc>
        <w:tc>
          <w:tcPr>
            <w:tcW w:w="422" w:type="dxa"/>
            <w:tcBorders>
              <w:top w:val="nil"/>
              <w:left w:val="single" w:sz="8" w:space="0" w:color="auto"/>
              <w:bottom w:val="single" w:sz="4" w:space="0" w:color="auto"/>
              <w:right w:val="single" w:sz="4" w:space="0" w:color="auto"/>
            </w:tcBorders>
            <w:shd w:val="clear" w:color="auto" w:fill="auto"/>
            <w:vAlign w:val="center"/>
          </w:tcPr>
          <w:p w14:paraId="5BB8262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29CFF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C0F81C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9F231E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B71C58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6B4D9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315CD5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6728FD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404144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B8AA8F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181801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01B191E" w14:textId="77777777" w:rsidR="00DC7F92" w:rsidRPr="00862061" w:rsidRDefault="00DC7F92" w:rsidP="00DC7F92">
            <w:pPr>
              <w:spacing w:after="0"/>
              <w:jc w:val="center"/>
              <w:rPr>
                <w:rFonts w:eastAsia="Times New Roman" w:cs="Times New Roman"/>
                <w:sz w:val="20"/>
                <w:szCs w:val="20"/>
                <w:lang w:val="sr-Cyrl-RS"/>
              </w:rPr>
            </w:pPr>
          </w:p>
        </w:tc>
      </w:tr>
    </w:tbl>
    <w:p w14:paraId="39B7F405" w14:textId="09A5DB3C" w:rsidR="001F4238" w:rsidRDefault="001F4238">
      <w:pPr>
        <w:spacing w:after="160" w:line="259" w:lineRule="auto"/>
        <w:jc w:val="left"/>
        <w:rPr>
          <w:rFonts w:eastAsia="Calibri" w:cs="Times New Roman"/>
          <w:b/>
          <w:szCs w:val="24"/>
          <w:lang w:val="sr-Cyrl-RS" w:eastAsia="sr-Cyrl-CS" w:bidi="sr-Cyrl-CS"/>
        </w:rPr>
      </w:pPr>
    </w:p>
    <w:p w14:paraId="6F563372" w14:textId="765BC596"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3D7B95B2" w14:textId="77777777" w:rsidTr="00DC7F92">
        <w:tc>
          <w:tcPr>
            <w:tcW w:w="4106" w:type="dxa"/>
            <w:vAlign w:val="center"/>
          </w:tcPr>
          <w:p w14:paraId="590083F7"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03D375C6"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(2019)</w:t>
            </w:r>
          </w:p>
        </w:tc>
        <w:tc>
          <w:tcPr>
            <w:tcW w:w="1843" w:type="dxa"/>
            <w:vAlign w:val="center"/>
          </w:tcPr>
          <w:p w14:paraId="6259D4A4"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(2022)</w:t>
            </w:r>
          </w:p>
        </w:tc>
        <w:tc>
          <w:tcPr>
            <w:tcW w:w="1843" w:type="dxa"/>
            <w:vAlign w:val="center"/>
          </w:tcPr>
          <w:p w14:paraId="2B3F7BC2"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(2024)</w:t>
            </w:r>
          </w:p>
        </w:tc>
      </w:tr>
      <w:tr w:rsidR="00DC7F92" w:rsidRPr="00862061" w14:paraId="7AF2A102" w14:textId="77777777" w:rsidTr="00DC7F92">
        <w:trPr>
          <w:trHeight w:val="284"/>
        </w:trPr>
        <w:tc>
          <w:tcPr>
            <w:tcW w:w="4106" w:type="dxa"/>
          </w:tcPr>
          <w:p w14:paraId="492AADC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lastRenderedPageBreak/>
              <w:t xml:space="preserve">Број полазника обуке из надлежних тела за праћење миграционих кретања </w:t>
            </w:r>
          </w:p>
        </w:tc>
        <w:tc>
          <w:tcPr>
            <w:tcW w:w="1842" w:type="dxa"/>
          </w:tcPr>
          <w:p w14:paraId="055A46AD"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73560CF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w:t>
            </w:r>
          </w:p>
        </w:tc>
        <w:tc>
          <w:tcPr>
            <w:tcW w:w="1843" w:type="dxa"/>
          </w:tcPr>
          <w:p w14:paraId="473C9A27"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5</w:t>
            </w:r>
          </w:p>
        </w:tc>
      </w:tr>
      <w:tr w:rsidR="00DC7F92" w:rsidRPr="00862061" w14:paraId="12696F02" w14:textId="77777777" w:rsidTr="00DC7F92">
        <w:trPr>
          <w:trHeight w:val="284"/>
        </w:trPr>
        <w:tc>
          <w:tcPr>
            <w:tcW w:w="4106" w:type="dxa"/>
          </w:tcPr>
          <w:p w14:paraId="4917B792"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корисника пореских и других подстицаја намењених повратницима</w:t>
            </w:r>
          </w:p>
        </w:tc>
        <w:tc>
          <w:tcPr>
            <w:tcW w:w="1842" w:type="dxa"/>
          </w:tcPr>
          <w:p w14:paraId="2DEA40F8"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0ECB374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200</w:t>
            </w:r>
          </w:p>
        </w:tc>
        <w:tc>
          <w:tcPr>
            <w:tcW w:w="1843" w:type="dxa"/>
          </w:tcPr>
          <w:p w14:paraId="25142F5B"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600</w:t>
            </w:r>
          </w:p>
        </w:tc>
      </w:tr>
      <w:tr w:rsidR="00DC7F92" w:rsidRPr="00862061" w14:paraId="584A0CA8" w14:textId="77777777" w:rsidTr="00DC7F92">
        <w:trPr>
          <w:trHeight w:val="284"/>
        </w:trPr>
        <w:tc>
          <w:tcPr>
            <w:tcW w:w="4106" w:type="dxa"/>
          </w:tcPr>
          <w:p w14:paraId="71D454F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држављана Србије који су користили програме или услуге намењене повратницима</w:t>
            </w:r>
          </w:p>
        </w:tc>
        <w:tc>
          <w:tcPr>
            <w:tcW w:w="1842" w:type="dxa"/>
          </w:tcPr>
          <w:p w14:paraId="79CDC075"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655D323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3000</w:t>
            </w:r>
          </w:p>
        </w:tc>
        <w:tc>
          <w:tcPr>
            <w:tcW w:w="1843" w:type="dxa"/>
          </w:tcPr>
          <w:p w14:paraId="435CC04C"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4000</w:t>
            </w:r>
          </w:p>
        </w:tc>
      </w:tr>
      <w:tr w:rsidR="00DC7F92" w:rsidRPr="00862061" w14:paraId="503D1A7A" w14:textId="77777777" w:rsidTr="00DC7F92">
        <w:trPr>
          <w:trHeight w:val="284"/>
        </w:trPr>
        <w:tc>
          <w:tcPr>
            <w:tcW w:w="4106" w:type="dxa"/>
          </w:tcPr>
          <w:p w14:paraId="2BD47C33"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страних држављана српског порекла који су затражили боравак у Србији</w:t>
            </w:r>
          </w:p>
        </w:tc>
        <w:tc>
          <w:tcPr>
            <w:tcW w:w="1842" w:type="dxa"/>
          </w:tcPr>
          <w:p w14:paraId="11AD6AF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44EDA002"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800</w:t>
            </w:r>
          </w:p>
        </w:tc>
        <w:tc>
          <w:tcPr>
            <w:tcW w:w="1843" w:type="dxa"/>
          </w:tcPr>
          <w:p w14:paraId="6B20467D"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1600</w:t>
            </w:r>
          </w:p>
        </w:tc>
      </w:tr>
      <w:tr w:rsidR="00DC7F92" w:rsidRPr="00862061" w14:paraId="1C30D39F" w14:textId="77777777" w:rsidTr="00DC7F92">
        <w:trPr>
          <w:trHeight w:val="284"/>
        </w:trPr>
        <w:tc>
          <w:tcPr>
            <w:tcW w:w="4106" w:type="dxa"/>
          </w:tcPr>
          <w:p w14:paraId="532D97E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ментора који пружају подршку повратку припадницима дијаспоре</w:t>
            </w:r>
          </w:p>
        </w:tc>
        <w:tc>
          <w:tcPr>
            <w:tcW w:w="1842" w:type="dxa"/>
          </w:tcPr>
          <w:p w14:paraId="1729741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2C57D49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40</w:t>
            </w:r>
          </w:p>
        </w:tc>
        <w:tc>
          <w:tcPr>
            <w:tcW w:w="1843" w:type="dxa"/>
          </w:tcPr>
          <w:p w14:paraId="4083D28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60</w:t>
            </w:r>
          </w:p>
        </w:tc>
      </w:tr>
    </w:tbl>
    <w:p w14:paraId="18334C49" w14:textId="77777777" w:rsidR="00DC7F92" w:rsidRPr="00862061" w:rsidRDefault="00DC7F92" w:rsidP="004D22FA">
      <w:pPr>
        <w:widowControl w:val="0"/>
        <w:numPr>
          <w:ilvl w:val="0"/>
          <w:numId w:val="25"/>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030257FA"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Јачањем капацитета надлежних институција за праћење миграционих токова стварају се веће могућности за остваривање општег, али и појединачних циљева Стратегије о економским миграцијама Републике Србије за период 2021–2027. године, стварају се услови за бољу координацију и извештавање и оцењивање спровођења Стратегија, чиме се процењује ефективност, ефикасност и релевантност спроведених активности.</w:t>
      </w:r>
    </w:p>
    <w:p w14:paraId="0BF5C1EE"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Привреда Републике Србије је и даље у дефициту са искусним кадровима који поседују савремена знања, а који су кључ глобалне конкурентности. Спровођењем реформске мере интензивираће се активности на привлачењу наших и страних држављана који, осим знања и искуства, својим контактима могу приближити и отворити многа тржишта. Мера такође доприноси креирању стимулативног окружења које је пожељно за све индустрије, посебно за развој и примену високе технологије и иновација, као и привлачно за научнике и инжењере из целог света да дођу и буду део екосистема. На тај начин ће и привреда бити конкурентнија кроз приступ новим технологијама, као и најмодернијим начинама управљања комплексним пословањем и великим развојним пројектима. Поред тога, мере су усмерене ка привлачењу кадрова за истраживачко-развојне центре института и привреде у Републици Србији.</w:t>
      </w:r>
    </w:p>
    <w:p w14:paraId="6E1D6C1A"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79C90B75"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У циљу реализације Стратегије и Акционог плана, за 2021. годину отворена је нова програмска активност у оквиру буџета за 2021. годину под називом Подршка политици економских миграција.</w:t>
      </w:r>
    </w:p>
    <w:p w14:paraId="30C97952"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Jачање капацитета институција ће се реализовати уз подршку Немачке организације за међународну сарадњу (ГИЗ). Унапређење амбијента за подстицање, подршку и праћење циркуларних и повратних миграција посебно висококвалификоване српске дијаспоре ће се реализовати уз подршку донатора</w:t>
      </w:r>
      <w:r w:rsidRPr="00C03A92">
        <w:rPr>
          <w:rFonts w:eastAsia="Times New Roman" w:cs="Times New Roman"/>
          <w:szCs w:val="24"/>
          <w:lang w:val="sr-Cyrl-RS"/>
        </w:rPr>
        <w:t xml:space="preserve"> </w:t>
      </w:r>
      <w:r>
        <w:rPr>
          <w:rFonts w:eastAsia="Times New Roman" w:cs="Times New Roman"/>
          <w:szCs w:val="24"/>
          <w:lang w:val="sr-Cyrl-RS"/>
        </w:rPr>
        <w:t>у блиској сарадњи са институцијама надлежним за послове просвете и науке</w:t>
      </w:r>
      <w:r w:rsidRPr="00862061">
        <w:rPr>
          <w:rFonts w:eastAsia="Times New Roman" w:cs="Times New Roman"/>
          <w:szCs w:val="24"/>
          <w:lang w:val="sr-Cyrl-RS"/>
        </w:rPr>
        <w:t>.</w:t>
      </w:r>
    </w:p>
    <w:p w14:paraId="3C401555"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17F2FDB"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Креирање мера и препорука за управљање миграцијама се првенствено односи на обезбеђивање стручног кадра неопходног привреди Републике Србије, убрзање економских активности и последично смањење сиромаштва. Обезбеђивањем потребног кадра стичу се могућности за додатнo запошљавање, и привлачење инвеститора који лоцирају своје истраживачко-развојне капацитете у Републици Србији, што ће резултирати додатним унапређењем у области запошљивости и смањења сиромаштва. Процењује се да мера неће имати утицај на једнакост и род.</w:t>
      </w:r>
    </w:p>
    <w:p w14:paraId="075B8D19"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5E40B5D3"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Ова структурна реформа је неутрална у смислу утицаја на животну средину.</w:t>
      </w:r>
    </w:p>
    <w:p w14:paraId="738C3867"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lastRenderedPageBreak/>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5DC7B999" w14:textId="77777777" w:rsidTr="00DC7F92">
        <w:trPr>
          <w:trHeight w:val="421"/>
        </w:trPr>
        <w:tc>
          <w:tcPr>
            <w:tcW w:w="3329" w:type="dxa"/>
            <w:vAlign w:val="center"/>
          </w:tcPr>
          <w:p w14:paraId="655CBA5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3166277A"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370534CF"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5AFDEF0D" w14:textId="77777777" w:rsidTr="00DC7F92">
        <w:trPr>
          <w:trHeight w:val="429"/>
        </w:trPr>
        <w:tc>
          <w:tcPr>
            <w:tcW w:w="3329" w:type="dxa"/>
          </w:tcPr>
          <w:p w14:paraId="5227F899"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Недостајућа финансијска средства за планиране активности</w:t>
            </w:r>
          </w:p>
        </w:tc>
        <w:tc>
          <w:tcPr>
            <w:tcW w:w="2200" w:type="dxa"/>
          </w:tcPr>
          <w:p w14:paraId="6278F380"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Ниска</w:t>
            </w:r>
          </w:p>
        </w:tc>
        <w:tc>
          <w:tcPr>
            <w:tcW w:w="4165" w:type="dxa"/>
          </w:tcPr>
          <w:p w14:paraId="5522613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Јачање капацитета кроз примену програма „Миграције за развој II” и „Миграције &amp; дијаспора” Имплементационог споразума.</w:t>
            </w:r>
          </w:p>
          <w:p w14:paraId="22F98F5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Блиска сарадња са ПКС, НСЗ и континуиране консултације са представницима привреде.</w:t>
            </w:r>
          </w:p>
        </w:tc>
      </w:tr>
      <w:tr w:rsidR="00DC7F92" w:rsidRPr="00862061" w14:paraId="5135DCA8" w14:textId="77777777" w:rsidTr="00DC7F92">
        <w:trPr>
          <w:trHeight w:val="536"/>
        </w:trPr>
        <w:tc>
          <w:tcPr>
            <w:tcW w:w="3329" w:type="dxa"/>
          </w:tcPr>
          <w:p w14:paraId="5AC8A0C2"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Смањење интересовања дијаспоре за повратак и сарадњу са Србијом</w:t>
            </w:r>
          </w:p>
        </w:tc>
        <w:tc>
          <w:tcPr>
            <w:tcW w:w="2200" w:type="dxa"/>
          </w:tcPr>
          <w:p w14:paraId="5DCC26EA"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Ниска</w:t>
            </w:r>
          </w:p>
        </w:tc>
        <w:tc>
          <w:tcPr>
            <w:tcW w:w="4165" w:type="dxa"/>
          </w:tcPr>
          <w:p w14:paraId="7BFDC32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Континирани дијалог са дијаспором у циљу разумевања потреба дијаспоре и проактиван приступ у циљу решавања кључних препознатих проблема.</w:t>
            </w:r>
          </w:p>
        </w:tc>
      </w:tr>
    </w:tbl>
    <w:p w14:paraId="1A5EF92B" w14:textId="77777777" w:rsidR="00DC7F92" w:rsidRDefault="00DC7F92" w:rsidP="00DC7F92">
      <w:pPr>
        <w:spacing w:after="240"/>
        <w:rPr>
          <w:rFonts w:eastAsia="Calibri" w:cs="Times New Roman"/>
          <w:szCs w:val="24"/>
        </w:rPr>
      </w:pPr>
    </w:p>
    <w:p w14:paraId="48899BD2" w14:textId="77777777" w:rsidR="00DC7F92" w:rsidRPr="00862061" w:rsidRDefault="00DC7F92" w:rsidP="00DC7F92">
      <w:pPr>
        <w:shd w:val="clear" w:color="auto" w:fill="D9D9D9"/>
        <w:rPr>
          <w:rFonts w:eastAsia="Calibri" w:cs="Times New Roman"/>
          <w:b/>
          <w:i/>
          <w:szCs w:val="24"/>
          <w:lang w:val="sr-Cyrl-RS"/>
        </w:rPr>
      </w:pPr>
      <w:r w:rsidRPr="00862061">
        <w:rPr>
          <w:rFonts w:eastAsia="Calibri" w:cs="Times New Roman"/>
          <w:b/>
          <w:i/>
          <w:szCs w:val="24"/>
          <w:lang w:val="sr-Cyrl-RS"/>
        </w:rPr>
        <w:t>Кључни изазов број 2: Унапређење пословног амбијента повољнијег за инвестиције</w:t>
      </w:r>
    </w:p>
    <w:p w14:paraId="622B9FC7" w14:textId="77777777" w:rsidR="00DC7F92" w:rsidRPr="00862061" w:rsidRDefault="00DC7F92" w:rsidP="00DC7F92">
      <w:pPr>
        <w:widowControl w:val="0"/>
        <w:suppressAutoHyphens/>
        <w:autoSpaceDN w:val="0"/>
        <w:spacing w:after="60"/>
        <w:textAlignment w:val="baseline"/>
        <w:rPr>
          <w:rFonts w:eastAsia="SimSun" w:cs="Mangal"/>
          <w:kern w:val="3"/>
          <w:szCs w:val="24"/>
          <w:lang w:val="sr-Cyrl-RS" w:eastAsia="zh-CN" w:bidi="hi-IN"/>
        </w:rPr>
      </w:pPr>
      <w:r w:rsidRPr="00862061">
        <w:rPr>
          <w:rFonts w:eastAsia="Times New Roman" w:cs="Times New Roman"/>
          <w:b/>
          <w:kern w:val="3"/>
          <w:szCs w:val="24"/>
          <w:lang w:val="sr-Cyrl-RS" w:eastAsia="zh-CN" w:bidi="hi-IN"/>
        </w:rPr>
        <w:t>Повољна макроекономска перспектива Србије, спроведене структурне реформе и унапређен пословни амбијент омогућили су српским предузећима да током пандемије одрже своје пословање.</w:t>
      </w:r>
      <w:r w:rsidRPr="00862061">
        <w:rPr>
          <w:rFonts w:eastAsia="Times New Roman" w:cs="Times New Roman"/>
          <w:kern w:val="3"/>
          <w:szCs w:val="24"/>
          <w:lang w:val="sr-Cyrl-RS" w:eastAsia="zh-CN" w:bidi="hi-IN"/>
        </w:rPr>
        <w:t xml:space="preserve"> Кроз </w:t>
      </w:r>
      <w:r w:rsidRPr="00862061">
        <w:rPr>
          <w:rFonts w:eastAsia="Times New Roman" w:cs="Times New Roman"/>
          <w:i/>
          <w:kern w:val="3"/>
          <w:szCs w:val="24"/>
          <w:lang w:val="sr-Cyrl-RS" w:eastAsia="zh-CN" w:bidi="hi-IN"/>
        </w:rPr>
        <w:t>Програм економских мера</w:t>
      </w:r>
      <w:r w:rsidRPr="00862061">
        <w:rPr>
          <w:rFonts w:eastAsia="Times New Roman" w:cs="Times New Roman"/>
          <w:b/>
          <w:i/>
          <w:kern w:val="3"/>
          <w:szCs w:val="24"/>
          <w:lang w:val="sr-Cyrl-RS" w:eastAsia="zh-CN" w:bidi="hi-IN"/>
        </w:rPr>
        <w:t xml:space="preserve"> </w:t>
      </w:r>
      <w:r w:rsidRPr="00862061">
        <w:rPr>
          <w:rFonts w:eastAsia="Times New Roman" w:cs="Times New Roman"/>
          <w:i/>
          <w:kern w:val="3"/>
          <w:szCs w:val="24"/>
          <w:lang w:val="sr-Cyrl-RS" w:eastAsia="zh-CN" w:bidi="hi-IN"/>
        </w:rPr>
        <w:t>за смањивање негативних ефеката</w:t>
      </w:r>
      <w:r w:rsidRPr="00862061">
        <w:rPr>
          <w:rFonts w:eastAsia="SimSun" w:cs="Mangal"/>
          <w:i/>
          <w:kern w:val="3"/>
          <w:szCs w:val="24"/>
          <w:lang w:val="sr-Cyrl-RS" w:eastAsia="zh-CN" w:bidi="hi-IN"/>
        </w:rPr>
        <w:t xml:space="preserve"> проузрокованих пандемијом вируса Ковид-19 и подршку српској привреди</w:t>
      </w:r>
      <w:r w:rsidRPr="00862061">
        <w:rPr>
          <w:rFonts w:eastAsia="SimSun" w:cs="Mangal"/>
          <w:kern w:val="3"/>
          <w:szCs w:val="24"/>
          <w:lang w:val="sr-Cyrl-RS" w:eastAsia="zh-CN" w:bidi="hi-IN"/>
        </w:rPr>
        <w:t>, уложено је 12,9% БДП-а у 2020. години (и додатних 4,5% БДП у 2021. години). Захваљујући томе, пад привредне активности у 2020. износио је само 1%, уз очување нивоа запослености (раст од 1,9% мг). Основано је близу 20 хиљада предузећа са око 57 хиљада запослених након ванредног стања у периоду мај 2020. – јун 2021.</w:t>
      </w:r>
    </w:p>
    <w:p w14:paraId="3E9D82FD" w14:textId="5A2DD60A" w:rsidR="00DC7F92" w:rsidRPr="004D29BA" w:rsidRDefault="00DC7F92" w:rsidP="00DC7F92">
      <w:pPr>
        <w:pStyle w:val="basic-paragraph"/>
        <w:shd w:val="clear" w:color="auto" w:fill="FFFFFF"/>
        <w:spacing w:before="0" w:beforeAutospacing="0" w:after="60" w:afterAutospacing="0"/>
        <w:jc w:val="both"/>
        <w:rPr>
          <w:color w:val="333333"/>
        </w:rPr>
      </w:pPr>
      <w:r w:rsidRPr="00862061">
        <w:rPr>
          <w:b/>
          <w:color w:val="000000"/>
          <w:kern w:val="3"/>
          <w:lang w:val="sr-Cyrl-RS" w:eastAsia="zh-CN" w:bidi="hi-IN"/>
        </w:rPr>
        <w:t>Транспарентност, поузданост и предвидљивост регулаторног оквира и даље су структурни изазови које треба унапредити.</w:t>
      </w:r>
      <w:r w:rsidRPr="00862061">
        <w:rPr>
          <w:color w:val="000000"/>
          <w:kern w:val="3"/>
          <w:lang w:val="sr-Cyrl-RS" w:eastAsia="zh-CN" w:bidi="hi-IN"/>
        </w:rPr>
        <w:t xml:space="preserve"> Кроз усвајање одређених закона, већ је утврђена обавеза транспарентности припреме нацрта закона и других прописа и аката (нових или измењених и допуњених). Пре свега то су </w:t>
      </w:r>
      <w:r w:rsidRPr="00862061">
        <w:rPr>
          <w:i/>
          <w:color w:val="000000"/>
          <w:kern w:val="3"/>
          <w:lang w:val="sr-Cyrl-RS" w:eastAsia="zh-CN" w:bidi="hi-IN"/>
        </w:rPr>
        <w:t>Закон о изменама и допуна Закона о државној управи</w:t>
      </w:r>
      <w:r>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Pr>
          <w:rFonts w:eastAsia="Calibri"/>
        </w:rPr>
        <w:t xml:space="preserve">79/05, 101/07, 95/10, 99/14, 30/18 – </w:t>
      </w:r>
      <w:r>
        <w:rPr>
          <w:rFonts w:eastAsia="Calibri"/>
          <w:lang w:val="sr-Cyrl-RS"/>
        </w:rPr>
        <w:t xml:space="preserve">др. закон и </w:t>
      </w:r>
      <w:r w:rsidRPr="00862061">
        <w:rPr>
          <w:color w:val="000000"/>
          <w:kern w:val="3"/>
          <w:lang w:val="sr-Cyrl-RS" w:eastAsia="zh-CN" w:bidi="hi-IN"/>
        </w:rPr>
        <w:t xml:space="preserve">47/18), </w:t>
      </w:r>
      <w:r w:rsidRPr="00862061">
        <w:rPr>
          <w:i/>
          <w:color w:val="000000"/>
          <w:kern w:val="3"/>
          <w:lang w:val="sr-Cyrl-RS" w:eastAsia="zh-CN" w:bidi="hi-IN"/>
        </w:rPr>
        <w:t>Закон о планском систему РС</w:t>
      </w:r>
      <w:r>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30/18), </w:t>
      </w:r>
      <w:r w:rsidRPr="00862061">
        <w:rPr>
          <w:i/>
          <w:color w:val="000000"/>
          <w:kern w:val="3"/>
          <w:lang w:val="sr-Cyrl-RS" w:eastAsia="zh-CN" w:bidi="hi-IN"/>
        </w:rPr>
        <w:t>Уредба о методологији управљања јавним политикама, анализи ефеката јавних политика и прописа и садржају појединачних докумената јавних политика</w:t>
      </w:r>
      <w:r w:rsidRPr="00862061">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8/19), </w:t>
      </w:r>
      <w:r w:rsidRPr="00862061">
        <w:rPr>
          <w:i/>
          <w:color w:val="000000"/>
          <w:kern w:val="3"/>
          <w:lang w:val="sr-Cyrl-RS" w:eastAsia="zh-CN" w:bidi="hi-IN"/>
        </w:rPr>
        <w:t>Правилник о смерницама добре праксе за остваривање учешћа јавности у припреми нацрта закона и других прописа и аката</w:t>
      </w:r>
      <w:r w:rsidRPr="00862061">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51/19), као и </w:t>
      </w:r>
      <w:r w:rsidRPr="00862061">
        <w:rPr>
          <w:i/>
          <w:color w:val="000000"/>
          <w:kern w:val="3"/>
          <w:lang w:val="sr-Cyrl-RS" w:eastAsia="zh-CN" w:bidi="hi-IN"/>
        </w:rPr>
        <w:t>Закон о привредним коморама</w:t>
      </w:r>
      <w:r w:rsidRPr="00862061">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112/15). </w:t>
      </w:r>
      <w:r w:rsidRPr="00862061">
        <w:rPr>
          <w:kern w:val="3"/>
          <w:lang w:val="sr-Cyrl-RS" w:eastAsia="zh-CN" w:bidi="hi-IN"/>
        </w:rPr>
        <w:t>Ипак, од 42 усвојена закона у 2020. години, само за 36% (15 закона) је спроведен консултативни процес на начин који је предвиђен регул</w:t>
      </w:r>
      <w:r w:rsidRPr="00862061">
        <w:rPr>
          <w:kern w:val="3"/>
          <w:lang w:eastAsia="zh-CN" w:bidi="hi-IN"/>
        </w:rPr>
        <w:t>a</w:t>
      </w:r>
      <w:r w:rsidRPr="00862061">
        <w:rPr>
          <w:kern w:val="3"/>
          <w:lang w:val="sr-Cyrl-RS" w:eastAsia="zh-CN" w:bidi="hi-IN"/>
        </w:rPr>
        <w:t xml:space="preserve">торним оквиром, што је више за 2 п.п него 2019. године (према евиденцији РСЈП). Припремљен је и јавно доступан </w:t>
      </w:r>
      <w:r w:rsidRPr="00862061">
        <w:rPr>
          <w:i/>
          <w:kern w:val="3"/>
          <w:lang w:val="sr-Cyrl-RS" w:eastAsia="zh-CN" w:bidi="hi-IN"/>
        </w:rPr>
        <w:t>Приручник за учешће јавности у планирању, изради и праћењу спровођења јавних политика и прописа</w:t>
      </w:r>
      <w:r w:rsidRPr="00862061">
        <w:rPr>
          <w:kern w:val="3"/>
          <w:vertAlign w:val="superscript"/>
          <w:lang w:val="sr-Cyrl-RS" w:eastAsia="zh-CN" w:bidi="hi-IN"/>
        </w:rPr>
        <w:footnoteReference w:id="36"/>
      </w:r>
      <w:r w:rsidRPr="00862061">
        <w:rPr>
          <w:i/>
          <w:kern w:val="3"/>
          <w:lang w:val="sr-Cyrl-RS" w:eastAsia="zh-CN" w:bidi="hi-IN"/>
        </w:rPr>
        <w:t xml:space="preserve"> </w:t>
      </w:r>
      <w:r w:rsidRPr="00862061">
        <w:rPr>
          <w:kern w:val="3"/>
          <w:lang w:val="sr-Cyrl-RS" w:eastAsia="zh-CN" w:bidi="hi-IN"/>
        </w:rPr>
        <w:t xml:space="preserve">уз подршку ЕУ. </w:t>
      </w:r>
      <w:r>
        <w:rPr>
          <w:color w:val="333333"/>
          <w:lang w:val="sr-Cyrl-RS"/>
        </w:rPr>
        <w:t xml:space="preserve">У </w:t>
      </w:r>
      <w:r w:rsidRPr="0053720E">
        <w:rPr>
          <w:lang w:val="sr-Cyrl-RS"/>
        </w:rPr>
        <w:t xml:space="preserve">циљу унапређења процеса консултација и јавних расправа, </w:t>
      </w:r>
      <w:r w:rsidRPr="0053720E">
        <w:t>Влада</w:t>
      </w:r>
      <w:r w:rsidRPr="0053720E">
        <w:rPr>
          <w:lang w:val="sr-Cyrl-RS"/>
        </w:rPr>
        <w:t xml:space="preserve"> Републике Србије је донела Одлуку („</w:t>
      </w:r>
      <w:r w:rsidRPr="0053720E">
        <w:t>Службени гласник РС</w:t>
      </w:r>
      <w:r w:rsidRPr="0053720E">
        <w:rPr>
          <w:lang w:val="sr-Cyrl-RS"/>
        </w:rPr>
        <w:t>“</w:t>
      </w:r>
      <w:r w:rsidRPr="0053720E">
        <w:t>, бр. 62</w:t>
      </w:r>
      <w:r w:rsidRPr="0053720E">
        <w:rPr>
          <w:lang w:val="sr-Cyrl-RS"/>
        </w:rPr>
        <w:t>/</w:t>
      </w:r>
      <w:r w:rsidRPr="0053720E">
        <w:t>21</w:t>
      </w:r>
      <w:r w:rsidRPr="0053720E">
        <w:rPr>
          <w:lang w:val="sr-Cyrl-RS"/>
        </w:rPr>
        <w:t>), којом се установљава</w:t>
      </w:r>
      <w:r w:rsidRPr="0053720E">
        <w:t xml:space="preserve"> Портал „еКонсултацијеˮ, који је саставни део Портала еУправа, с циљем да се јавности омогући, на јединствен и равноправан начин, електронским (online) путем, учешће у процесу припреме и усвајања докумената јавних политика и прописа.</w:t>
      </w:r>
      <w:r w:rsidRPr="0053720E">
        <w:rPr>
          <w:lang w:val="sr-Cyrl-RS"/>
        </w:rPr>
        <w:t xml:space="preserve"> Овом одлуком обавезују се сви </w:t>
      </w:r>
      <w:r w:rsidRPr="0053720E">
        <w:t xml:space="preserve">надлежни органи државне управе </w:t>
      </w:r>
      <w:r w:rsidRPr="0053720E">
        <w:rPr>
          <w:lang w:val="sr-Cyrl-RS"/>
        </w:rPr>
        <w:t xml:space="preserve">да, </w:t>
      </w:r>
      <w:r w:rsidRPr="0053720E">
        <w:t>у складу са прописима којима се уређује плански систем и систем државне управе у Републици Србији, благовремено и у потпуности на Порталу „еКонсултације” објављују све релевантне информације о консултацијама и јавним расправама које спроводе у оквиру своје надлежности.</w:t>
      </w:r>
      <w:r w:rsidRPr="0053720E">
        <w:rPr>
          <w:lang w:val="sr-Cyrl-RS"/>
        </w:rPr>
        <w:t xml:space="preserve"> </w:t>
      </w:r>
      <w:r w:rsidRPr="00862061">
        <w:rPr>
          <w:kern w:val="3"/>
          <w:lang w:val="sr-Cyrl-RS" w:eastAsia="zh-CN" w:bidi="hi-IN"/>
        </w:rPr>
        <w:t>У т</w:t>
      </w:r>
      <w:r w:rsidRPr="00862061">
        <w:rPr>
          <w:color w:val="000000"/>
          <w:kern w:val="3"/>
          <w:lang w:val="sr-Cyrl-RS" w:eastAsia="zh-CN" w:bidi="hi-IN"/>
        </w:rPr>
        <w:t xml:space="preserve">оку су обуке органа државне управе за коришћење успостављеног портала </w:t>
      </w:r>
      <w:r w:rsidRPr="00862061">
        <w:rPr>
          <w:b/>
          <w:color w:val="000000"/>
          <w:kern w:val="3"/>
          <w:lang w:val="sr-Cyrl-RS" w:eastAsia="zh-CN" w:bidi="hi-IN"/>
        </w:rPr>
        <w:t>еКонсултације</w:t>
      </w:r>
      <w:r w:rsidRPr="00862061">
        <w:rPr>
          <w:color w:val="000000"/>
          <w:kern w:val="3"/>
          <w:lang w:val="sr-Cyrl-RS" w:eastAsia="zh-CN" w:bidi="hi-IN"/>
        </w:rPr>
        <w:t xml:space="preserve">, на којем ће јавност и све заинтересоване стране имати увид у </w:t>
      </w:r>
      <w:r w:rsidRPr="00862061">
        <w:rPr>
          <w:color w:val="000000"/>
          <w:kern w:val="3"/>
          <w:lang w:val="sr-Cyrl-RS" w:eastAsia="zh-CN" w:bidi="hi-IN"/>
        </w:rPr>
        <w:lastRenderedPageBreak/>
        <w:t xml:space="preserve">све фазе израде нацрта закона и других прописа за које постоји обавеза спровођења консултација и јавне расправе. Очекује се да ће портал бити јавно доступан до краја 2021. године. Иако наведени прописи пружају чврст оквир за укључивање јавности у процес израде прописа, може се очекивати интензивнија примена тих законских одредби у наредном периоду. </w:t>
      </w:r>
    </w:p>
    <w:p w14:paraId="3BB6FAC1" w14:textId="77777777" w:rsidR="00DC7F92" w:rsidRPr="00862061" w:rsidRDefault="00DC7F92" w:rsidP="00DC7F92">
      <w:pPr>
        <w:widowControl w:val="0"/>
        <w:suppressAutoHyphens/>
        <w:autoSpaceDN w:val="0"/>
        <w:spacing w:after="60"/>
        <w:textAlignment w:val="baseline"/>
        <w:rPr>
          <w:rFonts w:eastAsia="Times New Roman" w:cs="Times New Roman"/>
          <w:color w:val="000000"/>
          <w:kern w:val="3"/>
          <w:szCs w:val="24"/>
          <w:lang w:val="sr-Cyrl-RS" w:eastAsia="zh-CN" w:bidi="hi-IN"/>
        </w:rPr>
      </w:pPr>
      <w:r w:rsidRPr="00862061">
        <w:rPr>
          <w:rFonts w:eastAsia="Times New Roman" w:cs="Times New Roman"/>
          <w:b/>
          <w:color w:val="000000"/>
          <w:kern w:val="3"/>
          <w:szCs w:val="24"/>
          <w:lang w:val="sr-Cyrl-RS" w:eastAsia="zh-CN" w:bidi="hi-IN"/>
        </w:rPr>
        <w:t xml:space="preserve">Поред запаженог напретка у смањењу административног терета на привреду последњих година, пословно окружење у Србији и даље је оптерећено трошковима и компликованим административним поступцима, </w:t>
      </w:r>
      <w:r w:rsidRPr="00862061">
        <w:rPr>
          <w:rFonts w:eastAsia="Times New Roman" w:cs="Times New Roman"/>
          <w:color w:val="000000"/>
          <w:kern w:val="3"/>
          <w:szCs w:val="24"/>
          <w:lang w:val="sr-Cyrl-RS" w:eastAsia="zh-CN" w:bidi="hi-IN"/>
        </w:rPr>
        <w:t xml:space="preserve">што неповољно утиче на инвестиције и развој и раст сектора малих и средњих предузећа. </w:t>
      </w:r>
      <w:r w:rsidRPr="00FD1764">
        <w:rPr>
          <w:rFonts w:eastAsia="Times New Roman" w:cs="Times New Roman"/>
          <w:color w:val="000000"/>
          <w:kern w:val="3"/>
          <w:szCs w:val="24"/>
          <w:lang w:val="sr-Cyrl-RS" w:eastAsia="zh-CN" w:bidi="hi-IN"/>
        </w:rPr>
        <w:t>Административно оптерећење привреде у Србији смањено је на 3,0% БДП у 2020</w:t>
      </w:r>
      <w:r w:rsidRPr="00FD1764">
        <w:rPr>
          <w:rFonts w:eastAsia="Times New Roman" w:cs="Times New Roman"/>
          <w:color w:val="000000"/>
          <w:kern w:val="3"/>
          <w:szCs w:val="24"/>
          <w:vertAlign w:val="superscript"/>
          <w:lang w:val="sr-Cyrl-RS" w:eastAsia="zh-CN" w:bidi="hi-IN"/>
        </w:rPr>
        <w:footnoteReference w:id="37"/>
      </w:r>
      <w:r w:rsidRPr="00FD1764">
        <w:rPr>
          <w:rFonts w:eastAsia="Times New Roman" w:cs="Times New Roman"/>
          <w:color w:val="000000"/>
          <w:kern w:val="3"/>
          <w:szCs w:val="24"/>
          <w:lang w:val="sr-Cyrl-RS" w:eastAsia="zh-CN" w:bidi="hi-IN"/>
        </w:rPr>
        <w:t>. години, са 4,07% БДП у 2010. години.</w:t>
      </w:r>
      <w:r w:rsidRPr="00862061">
        <w:rPr>
          <w:rFonts w:eastAsia="Times New Roman" w:cs="Times New Roman"/>
          <w:color w:val="000000"/>
          <w:kern w:val="3"/>
          <w:szCs w:val="24"/>
          <w:lang w:val="sr-Cyrl-RS" w:eastAsia="zh-CN" w:bidi="hi-IN"/>
        </w:rPr>
        <w:t xml:space="preserve"> Доношењем </w:t>
      </w:r>
      <w:r w:rsidRPr="00862061">
        <w:rPr>
          <w:rFonts w:eastAsia="Times New Roman" w:cs="Times New Roman"/>
          <w:i/>
          <w:color w:val="000000"/>
          <w:kern w:val="3"/>
          <w:szCs w:val="24"/>
          <w:lang w:val="sr-Cyrl-RS" w:eastAsia="zh-CN" w:bidi="hi-IN"/>
        </w:rPr>
        <w:t xml:space="preserve">Закона о накнадама за коришћење јавних добара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color w:val="000000"/>
          <w:kern w:val="3"/>
          <w:szCs w:val="24"/>
          <w:lang w:val="sr-Cyrl-RS" w:eastAsia="zh-CN" w:bidi="hi-IN"/>
        </w:rPr>
        <w:t xml:space="preserve">95/18), обједињене су на једном месту све накнаде које се плаћају за коришћење природних богатстава, добара од општег интереса и добара у општој употреби (ове накнаде су биле предмет уређивања у 19 посебних закона), а у току је и успостављање јавног регистра непореских намета. </w:t>
      </w:r>
      <w:r w:rsidRPr="00862061">
        <w:rPr>
          <w:rFonts w:eastAsia="Times New Roman" w:cs="Times New Roman"/>
          <w:kern w:val="3"/>
          <w:szCs w:val="24"/>
          <w:lang w:val="sr-Cyrl-RS" w:eastAsia="zh-CN" w:bidi="hi-IN"/>
        </w:rPr>
        <w:t xml:space="preserve">Пописано је и анализирано око 2.600 административних поступака у 97 органа јавне управе у периоду од </w:t>
      </w:r>
      <w:r w:rsidRPr="00862061">
        <w:rPr>
          <w:rFonts w:eastAsia="Times New Roman" w:cs="Times New Roman"/>
          <w:kern w:val="3"/>
          <w:szCs w:val="24"/>
          <w:lang w:eastAsia="zh-CN" w:bidi="hi-IN"/>
        </w:rPr>
        <w:t>201</w:t>
      </w:r>
      <w:r w:rsidRPr="00862061">
        <w:rPr>
          <w:rFonts w:eastAsia="Times New Roman" w:cs="Times New Roman"/>
          <w:kern w:val="3"/>
          <w:szCs w:val="24"/>
          <w:lang w:val="sr-Cyrl-RS" w:eastAsia="zh-CN" w:bidi="hi-IN"/>
        </w:rPr>
        <w:t xml:space="preserve">6-2020. године. </w:t>
      </w:r>
      <w:r w:rsidRPr="00862061">
        <w:rPr>
          <w:rFonts w:eastAsia="Times New Roman" w:cs="Times New Roman"/>
          <w:i/>
          <w:color w:val="000000"/>
          <w:kern w:val="3"/>
          <w:szCs w:val="24"/>
          <w:lang w:val="sr-Cyrl-RS" w:eastAsia="zh-CN" w:bidi="hi-IN"/>
        </w:rPr>
        <w:t>Програмом за поједностављење административних поступака и регулативе „еПапир”</w:t>
      </w:r>
      <w:r w:rsidRPr="00862061">
        <w:rPr>
          <w:rFonts w:eastAsia="Times New Roman" w:cs="Times New Roman"/>
          <w:color w:val="000000"/>
          <w:kern w:val="3"/>
          <w:szCs w:val="24"/>
          <w:lang w:val="sr-Cyrl-RS" w:eastAsia="zh-CN" w:bidi="hi-IN"/>
        </w:rPr>
        <w:t xml:space="preserve"> </w:t>
      </w:r>
      <w:r w:rsidRPr="00862061">
        <w:rPr>
          <w:rFonts w:eastAsia="Times New Roman" w:cs="Times New Roman"/>
          <w:kern w:val="3"/>
          <w:szCs w:val="24"/>
          <w:lang w:val="sr-Cyrl-RS" w:eastAsia="zh-CN" w:bidi="hi-IN"/>
        </w:rPr>
        <w:t xml:space="preserve">за период 2019-2021. године са ревидираним </w:t>
      </w:r>
      <w:r w:rsidRPr="00862061">
        <w:rPr>
          <w:rFonts w:eastAsia="Times New Roman" w:cs="Times New Roman"/>
          <w:i/>
          <w:kern w:val="3"/>
          <w:szCs w:val="24"/>
          <w:lang w:val="sr-Cyrl-RS" w:eastAsia="zh-CN" w:bidi="hi-IN"/>
        </w:rPr>
        <w:t>Акционим планом за спровођење Програма</w:t>
      </w:r>
      <w:r w:rsidRPr="00862061">
        <w:rPr>
          <w:rFonts w:eastAsia="Times New Roman" w:cs="Times New Roman"/>
          <w:b/>
          <w:kern w:val="3"/>
          <w:szCs w:val="24"/>
          <w:lang w:val="sr-Cyrl-RS" w:eastAsia="zh-CN" w:bidi="hi-IN"/>
        </w:rPr>
        <w:t xml:space="preserve"> </w:t>
      </w:r>
      <w:r w:rsidRPr="00862061">
        <w:rPr>
          <w:rFonts w:eastAsia="Times New Roman" w:cs="Times New Roman"/>
          <w:kern w:val="3"/>
          <w:szCs w:val="24"/>
          <w:lang w:val="sr-Cyrl-RS" w:eastAsia="zh-CN" w:bidi="hi-IN"/>
        </w:rPr>
        <w:t xml:space="preserve">(усвојен у јуну 2020.) предвиђено је поједностављење 890 поступака и дигитализација 100 поступака. До августа 2021. године, дигитализовано је и јавно доступно 37 поступака, имплементиране су препоруке за поједностављење 235 поступака (од чега је 13 поступака укинуто) и на тај начин постигнута је уштеда за привреду око 33 мил. </w:t>
      </w:r>
      <w:r>
        <w:rPr>
          <w:rFonts w:eastAsia="Times New Roman" w:cs="Times New Roman"/>
          <w:kern w:val="3"/>
          <w:szCs w:val="24"/>
          <w:lang w:val="sr-Cyrl-RS" w:eastAsia="zh-CN" w:bidi="hi-IN"/>
        </w:rPr>
        <w:t>евра</w:t>
      </w:r>
      <w:r w:rsidRPr="00862061">
        <w:rPr>
          <w:rFonts w:eastAsia="Times New Roman" w:cs="Times New Roman"/>
          <w:kern w:val="3"/>
          <w:szCs w:val="24"/>
          <w:lang w:val="sr-Cyrl-RS" w:eastAsia="zh-CN" w:bidi="hi-IN"/>
        </w:rPr>
        <w:t xml:space="preserve"> годишње. На основу </w:t>
      </w:r>
      <w:r w:rsidRPr="00862061">
        <w:rPr>
          <w:rFonts w:eastAsia="Times New Roman" w:cs="Times New Roman"/>
          <w:i/>
          <w:kern w:val="3"/>
          <w:szCs w:val="24"/>
          <w:lang w:val="sr-Cyrl-RS" w:eastAsia="zh-CN" w:bidi="hi-IN"/>
        </w:rPr>
        <w:t>Закона о регистру административних поступака</w:t>
      </w:r>
      <w:r w:rsidRPr="00862061">
        <w:rPr>
          <w:rFonts w:eastAsia="Times New Roman" w:cs="Times New Roman"/>
          <w:kern w:val="3"/>
          <w:szCs w:val="24"/>
          <w:lang w:val="sr-Cyrl-RS" w:eastAsia="zh-CN" w:bidi="hi-IN"/>
        </w:rPr>
        <w:t xml:space="preserve">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kern w:val="3"/>
          <w:szCs w:val="24"/>
          <w:lang w:val="sr-Cyrl-RS" w:eastAsia="zh-CN" w:bidi="hi-IN"/>
        </w:rPr>
        <w:t xml:space="preserve">44/2021), успостављен је </w:t>
      </w:r>
      <w:r w:rsidRPr="00862061">
        <w:rPr>
          <w:rFonts w:eastAsia="Times New Roman" w:cs="Times New Roman"/>
          <w:i/>
          <w:kern w:val="3"/>
          <w:szCs w:val="24"/>
          <w:lang w:val="sr-Cyrl-RS" w:eastAsia="zh-CN" w:bidi="hi-IN"/>
        </w:rPr>
        <w:t>Регистар административних поступака</w:t>
      </w:r>
      <w:r w:rsidRPr="00862061">
        <w:rPr>
          <w:rFonts w:eastAsia="Times New Roman" w:cs="Times New Roman"/>
          <w:b/>
          <w:kern w:val="3"/>
          <w:szCs w:val="24"/>
          <w:lang w:val="sr-Cyrl-RS" w:eastAsia="zh-CN" w:bidi="hi-IN"/>
        </w:rPr>
        <w:t xml:space="preserve"> </w:t>
      </w:r>
      <w:r w:rsidRPr="00862061">
        <w:rPr>
          <w:rFonts w:eastAsia="Times New Roman" w:cs="Times New Roman"/>
          <w:kern w:val="3"/>
          <w:szCs w:val="24"/>
          <w:lang w:val="sr-Cyrl-RS" w:eastAsia="zh-CN" w:bidi="hi-IN"/>
        </w:rPr>
        <w:t xml:space="preserve">(у функцији </w:t>
      </w:r>
      <w:r w:rsidRPr="00862061">
        <w:rPr>
          <w:rFonts w:eastAsia="Times New Roman" w:cs="Times New Roman"/>
          <w:color w:val="000000"/>
          <w:kern w:val="3"/>
          <w:szCs w:val="24"/>
          <w:lang w:val="sr-Cyrl-RS" w:eastAsia="zh-CN" w:bidi="hi-IN"/>
        </w:rPr>
        <w:t>од јуна 2021.) где се тренутно могу наћи потребне информације за 2.200 поступака (образац захтева и информација о потребној документацији која се прилаже, висина таксе или накнаде и број рачуна на који треба да се изврши уплата, адреса на коју треба упутити захтев ако поступак није дигитализован, информације о радном времену и друго), што омогућава привреди додатну уштеду у времену и новцу</w:t>
      </w:r>
      <w:r w:rsidRPr="00862061">
        <w:rPr>
          <w:rFonts w:eastAsia="Times New Roman" w:cs="Times New Roman"/>
          <w:color w:val="000000"/>
          <w:kern w:val="3"/>
          <w:szCs w:val="24"/>
          <w:lang w:eastAsia="zh-CN" w:bidi="hi-IN"/>
        </w:rPr>
        <w:t xml:space="preserve"> </w:t>
      </w:r>
      <w:r w:rsidRPr="00862061">
        <w:rPr>
          <w:rFonts w:eastAsia="Times New Roman" w:cs="Times New Roman"/>
          <w:color w:val="000000"/>
          <w:kern w:val="3"/>
          <w:szCs w:val="24"/>
          <w:lang w:val="sr-Cyrl-RS" w:eastAsia="zh-CN" w:bidi="hi-IN"/>
        </w:rPr>
        <w:t>и унапређује правну сигурност, предвидљивост и уједначеност поступања целе јавне управе.</w:t>
      </w:r>
    </w:p>
    <w:p w14:paraId="75BE8598" w14:textId="77777777" w:rsidR="00DC7F92" w:rsidRPr="00862061" w:rsidRDefault="00DC7F92" w:rsidP="00DC7F92">
      <w:pPr>
        <w:widowControl w:val="0"/>
        <w:suppressAutoHyphens/>
        <w:autoSpaceDN w:val="0"/>
        <w:spacing w:after="60"/>
        <w:textAlignment w:val="baseline"/>
        <w:rPr>
          <w:rFonts w:eastAsia="Times New Roman" w:cs="Times New Roman"/>
          <w:kern w:val="3"/>
          <w:szCs w:val="24"/>
          <w:lang w:val="sr-Cyrl-RS" w:eastAsia="zh-CN" w:bidi="hi-IN"/>
        </w:rPr>
      </w:pPr>
      <w:r w:rsidRPr="00862061">
        <w:rPr>
          <w:rFonts w:eastAsia="SimSun" w:cs="Mangal"/>
          <w:b/>
          <w:kern w:val="3"/>
          <w:szCs w:val="24"/>
          <w:lang w:val="sr-Cyrl-RS" w:eastAsia="zh-CN" w:bidi="hi-IN"/>
        </w:rPr>
        <w:t>Улога државе у привреди се смањује, али је и даље значајна.</w:t>
      </w:r>
      <w:r w:rsidRPr="00862061">
        <w:rPr>
          <w:rFonts w:eastAsia="SimSun" w:cs="Mangal"/>
          <w:kern w:val="3"/>
          <w:szCs w:val="24"/>
          <w:lang w:val="sr-Cyrl-RS" w:eastAsia="zh-CN" w:bidi="hi-IN"/>
        </w:rPr>
        <w:t xml:space="preserve"> Процес реструктурирања јавних предузећа претходних година дао је резултате (код неких овај процес још увек траје), али ова предузећа (596 или 0,5% укупног броја предузећа) и даље имају велики утицај на остварене резултате нефинансијског сектора привреде у 2020. години. </w:t>
      </w:r>
      <w:r w:rsidRPr="00862061">
        <w:rPr>
          <w:rFonts w:eastAsia="SimSun" w:cs="Mangal"/>
          <w:kern w:val="3"/>
          <w:szCs w:val="24"/>
          <w:lang w:eastAsia="zh-CN" w:bidi="hi-IN"/>
        </w:rPr>
        <w:t>T</w:t>
      </w:r>
      <w:r w:rsidRPr="00862061">
        <w:rPr>
          <w:rFonts w:eastAsia="SimSun" w:cs="Mangal"/>
          <w:kern w:val="3"/>
          <w:szCs w:val="24"/>
          <w:lang w:val="sr-Cyrl-RS" w:eastAsia="zh-CN" w:bidi="hi-IN"/>
        </w:rPr>
        <w:t xml:space="preserve">ако јавна предузећа бележе следеће уделе у 2020. (у поређењу са 2015. годином): 9,4% (11,6% у 2015.) запослености, 20,9% (25,8%) капитала, 6,1% (6,4%) укупног прихода, 5,4% (5,8%) нето добити и 3,2% (5,8%) нето губитака. Како би се унапредило корпоративно управљање државним предузећима, усвојена је </w:t>
      </w:r>
      <w:r w:rsidRPr="00862061">
        <w:rPr>
          <w:rFonts w:eastAsia="SimSun" w:cs="Mangal"/>
          <w:i/>
          <w:kern w:val="3"/>
          <w:szCs w:val="24"/>
          <w:lang w:val="sr-Cyrl-RS" w:eastAsia="zh-CN" w:bidi="hi-IN"/>
        </w:rPr>
        <w:t>Стратегија државног власништва и управљања привредним субјектима који су у власништву Републике Србије за 2021- 2027. године</w:t>
      </w:r>
      <w:r w:rsidRPr="00862061">
        <w:rPr>
          <w:rFonts w:eastAsia="SimSun" w:cs="Mangal"/>
          <w:kern w:val="3"/>
          <w:szCs w:val="24"/>
          <w:lang w:val="sr-Cyrl-RS" w:eastAsia="zh-CN" w:bidi="hi-IN"/>
        </w:rPr>
        <w:t xml:space="preserve">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SimSun" w:cs="Mangal"/>
          <w:kern w:val="3"/>
          <w:szCs w:val="24"/>
          <w:lang w:val="sr-Cyrl-RS" w:eastAsia="zh-CN" w:bidi="hi-IN"/>
        </w:rPr>
        <w:t xml:space="preserve">36/2021) и </w:t>
      </w:r>
      <w:r w:rsidRPr="00862061">
        <w:rPr>
          <w:rFonts w:eastAsia="SimSun" w:cs="Mangal"/>
          <w:i/>
          <w:kern w:val="3"/>
          <w:szCs w:val="24"/>
          <w:lang w:val="sr-Cyrl-RS" w:eastAsia="zh-CN" w:bidi="hi-IN"/>
        </w:rPr>
        <w:t xml:space="preserve">Акциони план за 2021-2023. </w:t>
      </w:r>
      <w:r w:rsidRPr="00862061">
        <w:rPr>
          <w:rFonts w:eastAsia="SimSun" w:cs="Mangal"/>
          <w:kern w:val="3"/>
          <w:szCs w:val="24"/>
          <w:lang w:val="sr-Cyrl-RS" w:eastAsia="zh-CN" w:bidi="hi-IN"/>
        </w:rPr>
        <w:t xml:space="preserve">за њено спровођење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SimSun" w:cs="Mangal"/>
          <w:kern w:val="3"/>
          <w:szCs w:val="24"/>
          <w:lang w:val="sr-Cyrl-RS" w:eastAsia="zh-CN" w:bidi="hi-IN"/>
        </w:rPr>
        <w:t>68/2021). Стратегијом је предвиђен развој централизованог модела власништва, у којем ће централизовани државни ентитет усмеравати и управљати процесом развоја политике државног власништва. То ће омогућити транспарентније системе надзора и евалуације и олакшати спровођење унакрсних политика</w:t>
      </w:r>
      <w:r w:rsidRPr="00862061">
        <w:rPr>
          <w:rFonts w:eastAsia="Times New Roman" w:cs="Times New Roman"/>
          <w:kern w:val="3"/>
          <w:szCs w:val="24"/>
          <w:lang w:val="sr-Cyrl-RS" w:eastAsia="zh-CN" w:bidi="hi-IN"/>
        </w:rPr>
        <w:t xml:space="preserve">. </w:t>
      </w:r>
    </w:p>
    <w:p w14:paraId="2917FD00" w14:textId="77777777" w:rsidR="00DC7F92" w:rsidRPr="00862061" w:rsidRDefault="00DC7F92" w:rsidP="00DC7F92">
      <w:pPr>
        <w:widowControl w:val="0"/>
        <w:suppressAutoHyphens/>
        <w:autoSpaceDN w:val="0"/>
        <w:spacing w:after="60"/>
        <w:textAlignment w:val="baseline"/>
        <w:rPr>
          <w:rFonts w:eastAsia="Times New Roman" w:cs="Times New Roman"/>
          <w:kern w:val="3"/>
          <w:szCs w:val="24"/>
          <w:lang w:val="sr-Cyrl-RS" w:eastAsia="zh-CN" w:bidi="hi-IN"/>
        </w:rPr>
      </w:pPr>
      <w:r w:rsidRPr="00862061">
        <w:rPr>
          <w:rFonts w:eastAsia="Times New Roman" w:cs="Times New Roman"/>
          <w:b/>
          <w:kern w:val="3"/>
          <w:szCs w:val="24"/>
          <w:lang w:val="sr-Cyrl-RS" w:eastAsia="zh-CN" w:bidi="hi-IN"/>
        </w:rPr>
        <w:t xml:space="preserve">Тржиште капитала у Србији није довољно развијено и тренутно не успева у довољној мери да испуни своју главну функцију </w:t>
      </w:r>
      <w:r w:rsidRPr="00862061">
        <w:rPr>
          <w:rFonts w:eastAsia="Times New Roman" w:cs="Times New Roman"/>
          <w:kern w:val="3"/>
          <w:szCs w:val="24"/>
          <w:lang w:val="sr-Cyrl-RS" w:eastAsia="zh-CN" w:bidi="hi-IN"/>
        </w:rPr>
        <w:t xml:space="preserve">- ефикасну алокацију финансијских </w:t>
      </w:r>
      <w:r w:rsidRPr="00862061">
        <w:rPr>
          <w:rFonts w:eastAsia="Times New Roman" w:cs="Times New Roman"/>
          <w:kern w:val="3"/>
          <w:szCs w:val="24"/>
          <w:lang w:val="sr-Cyrl-RS" w:eastAsia="zh-CN" w:bidi="hi-IN"/>
        </w:rPr>
        <w:lastRenderedPageBreak/>
        <w:t xml:space="preserve">ресурса штедње и инвеститора (домаћинстава) ка развоју привредних друштава. Традиционално финансирање кроз банкарске производе (депозити и зајмови) данас превладава у Србији, делимично из историјских разлога. Препреке развоју тржишта капитала у Србији, у поређењу са развијеним економијама света јесу неизбалансирана расподела финансијске имовине домаћинства (највећи део се односи на штедњу), недовољно развијена свест привредних друштава о могућности финансирања редовног пословања и истраживања и развоја путем тржишта капитала и неадекватна понуда домаћих финансијских инструмената доступних инвеститорима. Развој тржишта капитала, уз раст страних инвестиција може додатно да подстакне континуирани привредни раст Србије и стандард њених грађана. </w:t>
      </w:r>
      <w:r w:rsidRPr="00862061">
        <w:rPr>
          <w:rFonts w:eastAsia="Times New Roman" w:cs="Times New Roman"/>
          <w:i/>
          <w:kern w:val="3"/>
          <w:szCs w:val="24"/>
          <w:lang w:val="sr-Cyrl-RS" w:eastAsia="zh-CN" w:bidi="hi-IN"/>
        </w:rPr>
        <w:t>Стратегијом за развој тржишта капитала од 2021-202</w:t>
      </w:r>
      <w:r w:rsidRPr="00862061">
        <w:rPr>
          <w:rFonts w:eastAsia="Times New Roman" w:cs="Times New Roman"/>
          <w:i/>
          <w:kern w:val="3"/>
          <w:szCs w:val="24"/>
          <w:lang w:val="sr-Latn-RS" w:eastAsia="zh-CN" w:bidi="hi-IN"/>
        </w:rPr>
        <w:t>6</w:t>
      </w:r>
      <w:r w:rsidRPr="00862061">
        <w:rPr>
          <w:rFonts w:eastAsia="Times New Roman" w:cs="Times New Roman"/>
          <w:i/>
          <w:kern w:val="3"/>
          <w:szCs w:val="24"/>
          <w:lang w:val="sr-Cyrl-RS" w:eastAsia="zh-CN" w:bidi="hi-IN"/>
        </w:rPr>
        <w:t>. године</w:t>
      </w:r>
      <w:r w:rsidRPr="00862061">
        <w:rPr>
          <w:rFonts w:eastAsia="Times New Roman" w:cs="Times New Roman"/>
          <w:kern w:val="3"/>
          <w:szCs w:val="24"/>
          <w:lang w:val="sr-Cyrl-RS" w:eastAsia="zh-CN" w:bidi="hi-IN"/>
        </w:rPr>
        <w:t xml:space="preserve">, која је усвојена у октобру 2021. године, унапредиће се српско тржиште капитала и створиће се услови за коришћење ширег спектра финансијских инструмената од стране приватног сектора, а очекивани резултати су: смањење зависности малих и средњих предузећа од банкарског финансирања (и државних субвенција), убрзани економски раст, повећање броја радних места као и, додатну подршку улагањима у иновативну индустрију. </w:t>
      </w:r>
    </w:p>
    <w:p w14:paraId="1851A851" w14:textId="2BC5BF37" w:rsidR="00DC7F92" w:rsidRDefault="00DC7F92" w:rsidP="00DC7F92">
      <w:pPr>
        <w:spacing w:after="60"/>
        <w:rPr>
          <w:rFonts w:eastAsia="Calibri" w:cs="Times New Roman"/>
          <w:szCs w:val="24"/>
          <w:lang w:val="sr-Cyrl-RS"/>
        </w:rPr>
      </w:pPr>
      <w:r w:rsidRPr="003231A9">
        <w:rPr>
          <w:rFonts w:eastAsia="Calibri" w:cs="Times New Roman"/>
          <w:b/>
          <w:bCs/>
          <w:szCs w:val="24"/>
          <w:lang w:val="sr-Cyrl-RS"/>
        </w:rPr>
        <w:t>С обзиром на велике инфраструктурне потребе Србије, уочена је неопходност обезбеђивања довољно свеобухватних инвестиционих пројеката, са одговарајућим студијама изводљивости, анализом трошкова и користи и реалном проценом утицаја на животну средину.</w:t>
      </w:r>
      <w:r w:rsidRPr="003231A9">
        <w:rPr>
          <w:rFonts w:eastAsia="Calibri" w:cs="Times New Roman"/>
          <w:szCs w:val="24"/>
          <w:lang w:val="sr-Cyrl-RS"/>
        </w:rPr>
        <w:t xml:space="preserve"> Изазови који су постојали при реализацији капиталних инвестиција (решавање имовинско-правних односа, правовремено прибављање пројектне документације, грађевинских дозвола, пробијање рокова) и даље постоје</w:t>
      </w:r>
      <w:r w:rsidRPr="003231A9">
        <w:rPr>
          <w:rFonts w:eastAsia="Calibri" w:cs="Times New Roman"/>
          <w:szCs w:val="24"/>
        </w:rPr>
        <w:t xml:space="preserve">, </w:t>
      </w:r>
      <w:r w:rsidRPr="003231A9">
        <w:rPr>
          <w:rFonts w:eastAsia="Calibri" w:cs="Times New Roman"/>
          <w:szCs w:val="24"/>
          <w:lang w:val="sr-Cyrl-RS"/>
        </w:rPr>
        <w:t xml:space="preserve">али се постепено превазилазе. Укупне инвестиције, према </w:t>
      </w:r>
      <w:r w:rsidRPr="003231A9">
        <w:rPr>
          <w:rFonts w:eastAsia="Calibri" w:cs="Times New Roman"/>
          <w:i/>
          <w:iCs/>
          <w:szCs w:val="24"/>
          <w:lang w:val="sr-Cyrl-RS"/>
        </w:rPr>
        <w:t>Закону о буџету за 202</w:t>
      </w:r>
      <w:r w:rsidR="00D85FE2">
        <w:rPr>
          <w:rFonts w:eastAsia="Calibri" w:cs="Times New Roman"/>
          <w:i/>
          <w:iCs/>
          <w:szCs w:val="24"/>
          <w:lang w:val="sr-Cyrl-RS"/>
        </w:rPr>
        <w:t>2</w:t>
      </w:r>
      <w:r w:rsidRPr="003231A9">
        <w:rPr>
          <w:rFonts w:eastAsia="Calibri" w:cs="Times New Roman"/>
          <w:i/>
          <w:iCs/>
          <w:szCs w:val="24"/>
          <w:lang w:val="sr-Cyrl-RS"/>
        </w:rPr>
        <w:t>.</w:t>
      </w:r>
      <w:r w:rsidRPr="003231A9">
        <w:rPr>
          <w:rFonts w:eastAsia="Calibri" w:cs="Times New Roman"/>
          <w:szCs w:val="24"/>
          <w:lang w:val="sr-Cyrl-RS"/>
        </w:rPr>
        <w:t xml:space="preserve"> планиране су у износу од око</w:t>
      </w:r>
      <w:r w:rsidR="00D85FE2">
        <w:rPr>
          <w:rFonts w:eastAsia="Calibri" w:cs="Times New Roman"/>
          <w:szCs w:val="24"/>
          <w:lang w:val="sr-Cyrl-RS"/>
        </w:rPr>
        <w:t xml:space="preserve"> 4,1</w:t>
      </w:r>
      <w:r w:rsidRPr="003231A9">
        <w:rPr>
          <w:rFonts w:eastAsia="Calibri" w:cs="Times New Roman"/>
          <w:szCs w:val="24"/>
          <w:lang w:val="sr-Cyrl-RS"/>
        </w:rPr>
        <w:t xml:space="preserve">  млрд. </w:t>
      </w:r>
      <w:r>
        <w:rPr>
          <w:rFonts w:eastAsia="Calibri" w:cs="Times New Roman"/>
          <w:szCs w:val="24"/>
          <w:lang w:val="sr-Cyrl-RS"/>
        </w:rPr>
        <w:t>евра</w:t>
      </w:r>
      <w:r w:rsidRPr="003231A9">
        <w:rPr>
          <w:rFonts w:eastAsia="Calibri" w:cs="Times New Roman"/>
          <w:szCs w:val="24"/>
          <w:lang w:val="sr-Cyrl-RS"/>
        </w:rPr>
        <w:t xml:space="preserve"> или око </w:t>
      </w:r>
      <w:r w:rsidR="00D85FE2">
        <w:rPr>
          <w:rFonts w:eastAsia="Calibri" w:cs="Times New Roman"/>
          <w:szCs w:val="24"/>
          <w:lang w:val="sr-Cyrl-RS"/>
        </w:rPr>
        <w:t>7,3</w:t>
      </w:r>
      <w:r w:rsidRPr="003231A9">
        <w:rPr>
          <w:rFonts w:eastAsia="Calibri" w:cs="Times New Roman"/>
          <w:szCs w:val="24"/>
          <w:lang w:val="sr-Cyrl-RS"/>
        </w:rPr>
        <w:t xml:space="preserve">% БДП. У погледу унапређења системског поступка за оцену и одабир пројеката јавних инвестиција Министарство финансија је 2019. године додатно унапредило правни оквир у овој области доношењем нове Уредбе о управљању капиталним пројектима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3231A9">
        <w:rPr>
          <w:rFonts w:eastAsia="Calibri" w:cs="Times New Roman"/>
          <w:szCs w:val="24"/>
          <w:lang w:val="sr-Cyrl-RS"/>
        </w:rPr>
        <w:t>51/19) и пратећих правилника. Сходно наведеној Уредби</w:t>
      </w:r>
      <w:r>
        <w:rPr>
          <w:rFonts w:eastAsia="Calibri" w:cs="Times New Roman"/>
          <w:szCs w:val="24"/>
          <w:lang w:val="sr-Cyrl-RS"/>
        </w:rPr>
        <w:t>,</w:t>
      </w:r>
      <w:r w:rsidRPr="003231A9">
        <w:rPr>
          <w:rFonts w:eastAsia="Calibri" w:cs="Times New Roman"/>
          <w:szCs w:val="24"/>
          <w:lang w:val="sr-Cyrl-RS"/>
        </w:rPr>
        <w:t xml:space="preserve"> формирана је и Комисија за капиталне инвестиције, која је до сада одржала пет заседања. Комисија је надлежна за потврду стратешке релевантности капиталних пројеката, усвајање листе успешно оцењених пројеката који су прошли предимплементациону фазу и промовисање системског планирања инвестиција у инфраструктуру,</w:t>
      </w:r>
      <w:r w:rsidRPr="003231A9">
        <w:rPr>
          <w:rFonts w:eastAsia="Calibri" w:cs="Times New Roman"/>
          <w:color w:val="FF0000"/>
          <w:szCs w:val="24"/>
          <w:lang w:val="sr-Cyrl-RS"/>
        </w:rPr>
        <w:t xml:space="preserve"> </w:t>
      </w:r>
      <w:r w:rsidRPr="00F56E80">
        <w:rPr>
          <w:rFonts w:eastAsia="Calibri" w:cs="Times New Roman"/>
          <w:szCs w:val="24"/>
          <w:lang w:val="sr-Cyrl-RS"/>
        </w:rPr>
        <w:t>без обзира на извор финансирања капиталних пројеката који се прате на републичком нивоу.</w:t>
      </w:r>
    </w:p>
    <w:p w14:paraId="0FB2F190" w14:textId="77777777" w:rsidR="00DC7F92" w:rsidRDefault="00DC7F92" w:rsidP="00DC7F92">
      <w:pPr>
        <w:tabs>
          <w:tab w:val="left" w:pos="2970"/>
        </w:tabs>
        <w:spacing w:after="60"/>
        <w:rPr>
          <w:rFonts w:eastAsia="Calibri" w:cs="Times New Roman"/>
          <w:szCs w:val="24"/>
          <w:lang w:val="sr-Cyrl-RS"/>
        </w:rPr>
      </w:pPr>
      <w:r w:rsidRPr="00862061">
        <w:rPr>
          <w:rFonts w:eastAsia="Calibri" w:cs="Times New Roman"/>
          <w:b/>
          <w:szCs w:val="24"/>
          <w:lang w:val="sr-Cyrl-RS"/>
        </w:rPr>
        <w:t>Значајни напори уложени су у борбу против неформалног пословања, али се реформе споро спроводе</w:t>
      </w:r>
      <w:r w:rsidRPr="00862061">
        <w:rPr>
          <w:rFonts w:eastAsia="Calibri" w:cs="Times New Roman"/>
          <w:szCs w:val="24"/>
          <w:lang w:val="sr-Cyrl-RS"/>
        </w:rPr>
        <w:t xml:space="preserve">. Спровођењем </w:t>
      </w:r>
      <w:r w:rsidRPr="00862061">
        <w:rPr>
          <w:rFonts w:eastAsia="Calibri" w:cs="Times New Roman"/>
          <w:i/>
          <w:szCs w:val="24"/>
          <w:lang w:val="sr-Cyrl-RS"/>
        </w:rPr>
        <w:t xml:space="preserve">Националног </w:t>
      </w:r>
      <w:r w:rsidRPr="00862061">
        <w:rPr>
          <w:rFonts w:eastAsia="Times New Roman" w:cs="Times New Roman"/>
          <w:i/>
          <w:color w:val="000000"/>
          <w:szCs w:val="24"/>
          <w:lang w:val="sr-Cyrl-RS"/>
        </w:rPr>
        <w:t xml:space="preserve">програма за сузбијање сиве економије </w:t>
      </w:r>
      <w:r w:rsidRPr="00862061">
        <w:rPr>
          <w:rFonts w:eastAsia="Times New Roman" w:cs="Times New Roman"/>
          <w:color w:val="000000"/>
          <w:szCs w:val="24"/>
          <w:lang w:val="sr-Cyrl-RS"/>
        </w:rPr>
        <w:t>од 2016. године који је праћен акционим плановима,</w:t>
      </w:r>
      <w:r w:rsidRPr="00862061">
        <w:rPr>
          <w:rFonts w:eastAsia="Times New Roman" w:cs="Times New Roman"/>
          <w:b/>
          <w:color w:val="000000"/>
          <w:szCs w:val="24"/>
          <w:lang w:val="sr-Cyrl-RS"/>
        </w:rPr>
        <w:t xml:space="preserve"> </w:t>
      </w:r>
      <w:r w:rsidRPr="00862061">
        <w:rPr>
          <w:rFonts w:eastAsia="Times New Roman" w:cs="Times New Roman"/>
          <w:color w:val="000000"/>
          <w:szCs w:val="24"/>
          <w:lang w:val="sr-Cyrl-RS"/>
        </w:rPr>
        <w:t xml:space="preserve">успостављени су бројни механизми за ефикасније сузбијање сиве економије, те је кључно да се у наредном периоду осигура континуитет имплементације, као и санкционисање оних који послују у сивој зони </w:t>
      </w:r>
      <w:r w:rsidRPr="00862061">
        <w:rPr>
          <w:rFonts w:eastAsia="Times New Roman" w:cs="Times New Roman"/>
          <w:szCs w:val="24"/>
          <w:lang w:val="sr-Cyrl-RS"/>
        </w:rPr>
        <w:t>(</w:t>
      </w:r>
      <w:r w:rsidRPr="00862061">
        <w:rPr>
          <w:rFonts w:eastAsia="Times New Roman" w:cs="Times New Roman"/>
          <w:kern w:val="3"/>
          <w:szCs w:val="24"/>
          <w:lang w:val="sr-Cyrl-RS" w:eastAsia="zh-CN" w:bidi="hi-IN"/>
        </w:rPr>
        <w:t>доношење новог стратешког документа очекује се до краја 2021. године).</w:t>
      </w:r>
      <w:r w:rsidRPr="00862061">
        <w:rPr>
          <w:rFonts w:eastAsia="Times New Roman" w:cs="Times New Roman"/>
          <w:szCs w:val="24"/>
          <w:lang w:val="sr-Cyrl-RS"/>
        </w:rPr>
        <w:t xml:space="preserve"> </w:t>
      </w:r>
      <w:r w:rsidRPr="00862061">
        <w:rPr>
          <w:rFonts w:eastAsia="Times New Roman" w:cs="Times New Roman"/>
          <w:kern w:val="3"/>
          <w:szCs w:val="24"/>
          <w:lang w:val="sr-Cyrl-RS" w:eastAsia="zh-CN" w:bidi="hi-IN"/>
        </w:rPr>
        <w:t>Учешће неформалне запослености у укупној запослености на крају 2020. године износило је 16,4% (22,0% у 2016)</w:t>
      </w:r>
      <w:r w:rsidRPr="00862061">
        <w:rPr>
          <w:rFonts w:eastAsia="Times New Roman" w:cs="Times New Roman"/>
          <w:kern w:val="3"/>
          <w:szCs w:val="24"/>
          <w:vertAlign w:val="superscript"/>
          <w:lang w:val="sr-Cyrl-RS" w:eastAsia="zh-CN" w:bidi="hi-IN"/>
        </w:rPr>
        <w:footnoteReference w:id="38"/>
      </w:r>
      <w:r w:rsidRPr="00862061">
        <w:rPr>
          <w:rFonts w:eastAsia="Times New Roman" w:cs="Times New Roman"/>
          <w:kern w:val="3"/>
          <w:szCs w:val="24"/>
          <w:lang w:val="sr-Cyrl-RS" w:eastAsia="zh-CN" w:bidi="hi-IN"/>
        </w:rPr>
        <w:t xml:space="preserve">. Применом </w:t>
      </w:r>
      <w:r w:rsidRPr="00862061">
        <w:rPr>
          <w:rFonts w:eastAsia="Times New Roman" w:cs="Times New Roman"/>
          <w:i/>
          <w:kern w:val="3"/>
          <w:szCs w:val="24"/>
          <w:lang w:val="sr-Cyrl-RS" w:eastAsia="zh-CN" w:bidi="hi-IN"/>
        </w:rPr>
        <w:t>Закона о поједностављеном радном ангажовању на сезонским пословима у одређеним делатностима, у пољопривреди</w:t>
      </w:r>
      <w:r w:rsidRPr="00862061">
        <w:rPr>
          <w:rFonts w:eastAsia="Times New Roman" w:cs="Times New Roman"/>
          <w:kern w:val="3"/>
          <w:szCs w:val="24"/>
          <w:lang w:val="sr-Cyrl-RS" w:eastAsia="zh-CN" w:bidi="hi-IN"/>
        </w:rPr>
        <w:t xml:space="preserve"> легално је ангажовано </w:t>
      </w:r>
      <w:r w:rsidRPr="00862061">
        <w:rPr>
          <w:rFonts w:eastAsia="Times New Roman" w:cs="Times New Roman"/>
          <w:kern w:val="3"/>
          <w:szCs w:val="24"/>
          <w:lang w:val="sr-Latn-RS" w:eastAsia="zh-CN" w:bidi="hi-IN"/>
        </w:rPr>
        <w:t>31.025</w:t>
      </w:r>
      <w:r w:rsidRPr="00862061">
        <w:rPr>
          <w:rFonts w:eastAsia="Times New Roman" w:cs="Times New Roman"/>
          <w:kern w:val="3"/>
          <w:szCs w:val="24"/>
          <w:lang w:val="sr-Cyrl-RS" w:eastAsia="zh-CN" w:bidi="hi-IN"/>
        </w:rPr>
        <w:t xml:space="preserve"> сезонских радника у 20</w:t>
      </w:r>
      <w:r w:rsidRPr="00862061">
        <w:rPr>
          <w:rFonts w:eastAsia="Times New Roman" w:cs="Times New Roman"/>
          <w:kern w:val="3"/>
          <w:szCs w:val="24"/>
          <w:lang w:val="sr-Latn-RS" w:eastAsia="zh-CN" w:bidi="hi-IN"/>
        </w:rPr>
        <w:t>20</w:t>
      </w:r>
      <w:r w:rsidRPr="00862061">
        <w:rPr>
          <w:rFonts w:eastAsia="Times New Roman" w:cs="Times New Roman"/>
          <w:kern w:val="3"/>
          <w:szCs w:val="24"/>
          <w:lang w:val="sr-Cyrl-RS" w:eastAsia="zh-CN" w:bidi="hi-IN"/>
        </w:rPr>
        <w:t xml:space="preserve">. што је за 4,2% више него у 2019. години. Новим </w:t>
      </w:r>
      <w:r w:rsidRPr="00862061">
        <w:rPr>
          <w:rFonts w:eastAsia="Times New Roman" w:cs="Times New Roman"/>
          <w:i/>
          <w:kern w:val="3"/>
          <w:szCs w:val="24"/>
          <w:lang w:val="sr-Cyrl-RS" w:eastAsia="zh-CN" w:bidi="hi-IN"/>
        </w:rPr>
        <w:t>Законом о радном ангажовању на сезонским и другим повременим пословима у одређеним делатностима</w:t>
      </w:r>
      <w:r w:rsidRPr="00862061">
        <w:rPr>
          <w:rFonts w:eastAsia="Times New Roman" w:cs="Times New Roman"/>
          <w:kern w:val="3"/>
          <w:szCs w:val="24"/>
          <w:lang w:val="sr-Cyrl-RS" w:eastAsia="zh-CN" w:bidi="hi-IN"/>
        </w:rPr>
        <w:t xml:space="preserve">, чије се усвајање очекује до краја ове године, поред сектора пољопривреде, прошириће се обухват и на послове у сектору грађевинарства (физички помоћни послови), услуга смештаја и исхране, туризма, као и </w:t>
      </w:r>
      <w:r w:rsidRPr="00862061">
        <w:rPr>
          <w:rFonts w:eastAsia="Times New Roman" w:cs="Times New Roman"/>
          <w:kern w:val="3"/>
          <w:szCs w:val="24"/>
          <w:lang w:val="sr-Cyrl-RS" w:eastAsia="zh-CN" w:bidi="hi-IN"/>
        </w:rPr>
        <w:lastRenderedPageBreak/>
        <w:t>на послове помоћи у кући за потребе физичких лица и послове чишћења за потребе стамбених зграда.</w:t>
      </w:r>
    </w:p>
    <w:p w14:paraId="5EE9D563" w14:textId="77777777" w:rsidR="00DC7F92" w:rsidRPr="00A07950" w:rsidRDefault="00DC7F92" w:rsidP="00DC7F92">
      <w:pPr>
        <w:tabs>
          <w:tab w:val="left" w:pos="2970"/>
        </w:tabs>
        <w:spacing w:after="60"/>
        <w:rPr>
          <w:rFonts w:eastAsia="Calibri" w:cs="Times New Roman"/>
          <w:szCs w:val="24"/>
          <w:lang w:val="sr-Cyrl-RS"/>
        </w:rPr>
      </w:pPr>
      <w:r w:rsidRPr="00862061">
        <w:rPr>
          <w:rFonts w:eastAsia="Times New Roman" w:cs="Times New Roman"/>
          <w:b/>
          <w:kern w:val="3"/>
          <w:szCs w:val="24"/>
          <w:lang w:val="sr-Cyrl-RS" w:eastAsia="zh-CN" w:bidi="hi-IN"/>
        </w:rPr>
        <w:t>У даљем оснаживању владавине права и јачању независности и одговорности правосуђа, неопходна је промена Устава</w:t>
      </w:r>
      <w:r w:rsidRPr="00862061">
        <w:rPr>
          <w:rFonts w:eastAsia="Times New Roman" w:cs="Times New Roman"/>
          <w:kern w:val="3"/>
          <w:szCs w:val="24"/>
          <w:lang w:val="sr-Cyrl-RS" w:eastAsia="zh-CN" w:bidi="hi-IN"/>
        </w:rPr>
        <w:t xml:space="preserve">, што је дефинисано </w:t>
      </w:r>
      <w:r w:rsidRPr="00862061">
        <w:rPr>
          <w:rFonts w:eastAsia="Times New Roman" w:cs="Times New Roman"/>
          <w:i/>
          <w:kern w:val="3"/>
          <w:szCs w:val="24"/>
          <w:lang w:val="sr-Cyrl-RS" w:eastAsia="zh-CN" w:bidi="hi-IN"/>
        </w:rPr>
        <w:t>Стратегијом развоја правосуђа за период 2020–2025. године</w:t>
      </w:r>
      <w:r w:rsidRPr="00862061">
        <w:rPr>
          <w:rFonts w:eastAsia="Times New Roman" w:cs="Times New Roman"/>
          <w:kern w:val="3"/>
          <w:szCs w:val="24"/>
          <w:lang w:val="sr-Cyrl-RS" w:eastAsia="zh-CN" w:bidi="hi-IN"/>
        </w:rPr>
        <w:t xml:space="preserve"> и ревидираном </w:t>
      </w:r>
      <w:r w:rsidRPr="00862061">
        <w:rPr>
          <w:rFonts w:eastAsia="Times New Roman" w:cs="Times New Roman"/>
          <w:i/>
          <w:kern w:val="3"/>
          <w:szCs w:val="24"/>
          <w:lang w:val="sr-Cyrl-RS" w:eastAsia="zh-CN" w:bidi="hi-IN"/>
        </w:rPr>
        <w:t>Акционом планом за Поглавље 23</w:t>
      </w:r>
      <w:r w:rsidRPr="00862061">
        <w:rPr>
          <w:rFonts w:eastAsia="Times New Roman" w:cs="Times New Roman"/>
          <w:kern w:val="3"/>
          <w:szCs w:val="24"/>
          <w:lang w:val="sr-Cyrl-RS" w:eastAsia="zh-CN" w:bidi="hi-IN"/>
        </w:rPr>
        <w:t>, које је Влада Р</w:t>
      </w:r>
      <w:r>
        <w:rPr>
          <w:rFonts w:eastAsia="Times New Roman" w:cs="Times New Roman"/>
          <w:kern w:val="3"/>
          <w:szCs w:val="24"/>
          <w:lang w:val="sr-Cyrl-RS" w:eastAsia="zh-CN" w:bidi="hi-IN"/>
        </w:rPr>
        <w:t xml:space="preserve">С усвојила у јулу 2020. године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kern w:val="3"/>
          <w:szCs w:val="24"/>
          <w:lang w:val="sr-Cyrl-RS" w:eastAsia="zh-CN" w:bidi="hi-IN"/>
        </w:rPr>
        <w:t>101/2020).</w:t>
      </w:r>
      <w:r w:rsidRPr="00862061">
        <w:rPr>
          <w:rFonts w:eastAsia="Times New Roman" w:cs="Times New Roman"/>
          <w:kern w:val="3"/>
          <w:szCs w:val="24"/>
          <w:lang w:eastAsia="zh-CN" w:bidi="hi-IN"/>
        </w:rPr>
        <w:t xml:space="preserve"> </w:t>
      </w:r>
      <w:r w:rsidRPr="00862061">
        <w:rPr>
          <w:rFonts w:eastAsia="Times New Roman" w:cs="Times New Roman"/>
          <w:kern w:val="3"/>
          <w:szCs w:val="24"/>
          <w:lang w:val="sr-Cyrl-RS" w:eastAsia="zh-CN" w:bidi="hi-IN"/>
        </w:rPr>
        <w:t xml:space="preserve">Народна скупштина РС је донела </w:t>
      </w:r>
      <w:r w:rsidRPr="00862061">
        <w:rPr>
          <w:rFonts w:eastAsia="Times New Roman" w:cs="Times New Roman"/>
          <w:i/>
          <w:kern w:val="3"/>
          <w:szCs w:val="24"/>
          <w:lang w:val="sr-Cyrl-RS" w:eastAsia="zh-CN" w:bidi="hi-IN"/>
        </w:rPr>
        <w:t>Одлуку о прихватању Предлога Владе РС за промену Устава Републике Србије</w:t>
      </w:r>
      <w:r w:rsidRPr="00862061">
        <w:rPr>
          <w:rFonts w:eastAsia="Times New Roman" w:cs="Times New Roman"/>
          <w:kern w:val="3"/>
          <w:szCs w:val="24"/>
          <w:lang w:val="sr-Cyrl-RS" w:eastAsia="zh-CN" w:bidi="hi-IN"/>
        </w:rPr>
        <w:t xml:space="preserve"> у јуну 2021.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kern w:val="3"/>
          <w:szCs w:val="24"/>
          <w:lang w:val="sr-Cyrl-RS" w:eastAsia="zh-CN" w:bidi="hi-IN"/>
        </w:rPr>
        <w:t xml:space="preserve">58/2021). Израђен је текст </w:t>
      </w:r>
      <w:r w:rsidRPr="00862061">
        <w:rPr>
          <w:rFonts w:eastAsia="Times New Roman" w:cs="Times New Roman"/>
          <w:i/>
          <w:kern w:val="3"/>
          <w:szCs w:val="24"/>
          <w:lang w:val="sr-Cyrl-RS" w:eastAsia="zh-CN" w:bidi="hi-IN"/>
        </w:rPr>
        <w:t>Нацрта амандамана за промену Устава</w:t>
      </w:r>
      <w:r w:rsidRPr="00862061">
        <w:rPr>
          <w:rFonts w:eastAsia="Times New Roman" w:cs="Times New Roman"/>
          <w:kern w:val="3"/>
          <w:szCs w:val="24"/>
          <w:lang w:val="sr-Cyrl-RS" w:eastAsia="zh-CN" w:bidi="hi-IN"/>
        </w:rPr>
        <w:t xml:space="preserve"> и одржана прва јавна расправа у септембру 2021. </w:t>
      </w:r>
      <w:r w:rsidRPr="00862061">
        <w:rPr>
          <w:rFonts w:eastAsia="Times New Roman" w:cs="Times New Roman"/>
          <w:b/>
          <w:kern w:val="3"/>
          <w:szCs w:val="24"/>
          <w:lang w:val="sr-Cyrl-RS" w:eastAsia="zh-CN" w:bidi="hi-IN"/>
        </w:rPr>
        <w:t>Потребни су даљи напори на побољшању квалитета и смањења оптерећености правосудног система</w:t>
      </w:r>
      <w:r w:rsidRPr="00862061">
        <w:rPr>
          <w:rFonts w:eastAsia="Times New Roman" w:cs="Times New Roman"/>
          <w:kern w:val="3"/>
          <w:szCs w:val="24"/>
          <w:lang w:val="sr-Cyrl-RS" w:eastAsia="zh-CN" w:bidi="hi-IN"/>
        </w:rPr>
        <w:t>. У Србији постоји 159 судова са систематизованих 3.038 судијских места (ефективно 2.570 судија у 2020. години чија је просечна старост 52 године). Број просечно решених предмета по једном судији износио је 784 у 2020. (896 у 2019. години). Примљено је 1,87 мил. нових предмета у 2020. (727 по судији), што је мање него 2019. (879 нових предмета по судији). Иако је и даље висок, број нерешених предмета континуирано се смањује (на око 1,5 милиона</w:t>
      </w:r>
      <w:r w:rsidRPr="00862061">
        <w:rPr>
          <w:rFonts w:eastAsia="Times New Roman" w:cs="Times New Roman"/>
          <w:kern w:val="3"/>
          <w:szCs w:val="24"/>
          <w:lang w:eastAsia="zh-CN" w:bidi="hi-IN"/>
        </w:rPr>
        <w:t xml:space="preserve"> </w:t>
      </w:r>
      <w:r w:rsidRPr="00862061">
        <w:rPr>
          <w:rFonts w:eastAsia="Times New Roman" w:cs="Times New Roman"/>
          <w:kern w:val="3"/>
          <w:szCs w:val="24"/>
          <w:lang w:val="sr-Cyrl-RS" w:eastAsia="zh-CN" w:bidi="hi-IN"/>
        </w:rPr>
        <w:t>у 2020. са 3,2 мил. у 2012. години), као и потребно време за решавање предмета (на 274 дана у 2020. са 534 дана у 2012. години). У просеку се 66% предмета реши у првој години, за 31% предмета време решавања је од две до три године, а за решавање 3% судских предмета потребно је више од три године.</w:t>
      </w:r>
    </w:p>
    <w:p w14:paraId="4BAC1A05" w14:textId="77777777" w:rsidR="00DC7F92" w:rsidRPr="00555354" w:rsidRDefault="00DC7F92" w:rsidP="00DC7F92">
      <w:pPr>
        <w:adjustRightInd w:val="0"/>
        <w:spacing w:after="60"/>
        <w:rPr>
          <w:rFonts w:eastAsia="Calibri" w:cs="Times New Roman"/>
        </w:rPr>
      </w:pPr>
      <w:r w:rsidRPr="00862061">
        <w:rPr>
          <w:rFonts w:eastAsia="Calibri" w:cs="Times New Roman"/>
          <w:b/>
          <w:lang w:val="sr-Cyrl-RS"/>
        </w:rPr>
        <w:t>Ојачана је</w:t>
      </w:r>
      <w:r w:rsidRPr="00862061">
        <w:rPr>
          <w:rFonts w:eastAsia="Calibri" w:cs="Times New Roman"/>
          <w:lang w:val="sr-Cyrl-RS"/>
        </w:rPr>
        <w:t xml:space="preserve"> </w:t>
      </w:r>
      <w:r w:rsidRPr="00862061">
        <w:rPr>
          <w:rFonts w:eastAsia="Calibri" w:cs="Times New Roman"/>
          <w:b/>
          <w:lang w:val="sr-Cyrl-RS"/>
        </w:rPr>
        <w:t>транспарентност процеса јавних набавки</w:t>
      </w:r>
      <w:r w:rsidRPr="00862061">
        <w:rPr>
          <w:rFonts w:eastAsia="Calibri" w:cs="Times New Roman"/>
          <w:lang w:val="sr-Cyrl-RS"/>
        </w:rPr>
        <w:t xml:space="preserve"> доношењем </w:t>
      </w:r>
      <w:r w:rsidRPr="00862061">
        <w:rPr>
          <w:rFonts w:eastAsia="Calibri" w:cs="Times New Roman"/>
          <w:i/>
          <w:lang w:val="sr-Cyrl-RS"/>
        </w:rPr>
        <w:t>Закона о јавним набавкама</w:t>
      </w:r>
      <w:r w:rsidRPr="00862061">
        <w:rPr>
          <w:rFonts w:eastAsia="Calibri" w:cs="Times New Roman"/>
          <w:lang w:val="sr-Cyrl-RS"/>
        </w:rPr>
        <w:t xml:space="preserve"> у 2019. години, али </w:t>
      </w:r>
      <w:r w:rsidRPr="00862061">
        <w:rPr>
          <w:rFonts w:eastAsia="Calibri" w:cs="Times New Roman"/>
          <w:b/>
          <w:lang w:val="sr-Cyrl-RS"/>
        </w:rPr>
        <w:t>треба наставити са повећањем нивоа конкуренције</w:t>
      </w:r>
      <w:r w:rsidRPr="00862061">
        <w:rPr>
          <w:rFonts w:eastAsia="Calibri" w:cs="Times New Roman"/>
          <w:lang w:val="sr-Cyrl-RS"/>
        </w:rPr>
        <w:t xml:space="preserve">. </w:t>
      </w:r>
      <w:r>
        <w:rPr>
          <w:rFonts w:eastAsia="Calibri" w:cs="Times New Roman"/>
          <w:lang w:val="sr-Cyrl-RS"/>
        </w:rPr>
        <w:t>У 2020. години, з</w:t>
      </w:r>
      <w:r w:rsidRPr="00862061">
        <w:rPr>
          <w:rFonts w:eastAsia="Calibri" w:cs="Times New Roman"/>
          <w:lang w:val="sr-Cyrl-RS"/>
        </w:rPr>
        <w:t xml:space="preserve">аступљеност транспарентних и конкурентних поступака у укупној вредности јавних набавки у Србији </w:t>
      </w:r>
      <w:r w:rsidRPr="00555354">
        <w:rPr>
          <w:rFonts w:eastAsia="Calibri" w:cs="Times New Roman"/>
          <w:lang w:val="sr-Cyrl-RS"/>
        </w:rPr>
        <w:t xml:space="preserve">, који су спроведени према Закону о јавним набавкама („Службени гласник РС“, бр. 124/12, 14/15 и 68/15) који је био у примени до 30. јуна 2020. године </w:t>
      </w:r>
      <w:r w:rsidRPr="00555354">
        <w:rPr>
          <w:rFonts w:eastAsia="Calibri" w:cs="Times New Roman"/>
          <w:vertAlign w:val="superscript"/>
          <w:lang w:val="sr-Cyrl-RS"/>
        </w:rPr>
        <w:footnoteReference w:id="39"/>
      </w:r>
      <w:r w:rsidRPr="00555354">
        <w:rPr>
          <w:rFonts w:eastAsia="Calibri" w:cs="Times New Roman"/>
          <w:lang w:val="sr-Cyrl-RS"/>
        </w:rPr>
        <w:t>, износи 97,43% (око 304 млрд. РСД), док је учешће преговарачких поступака без објављивања позива за подношење понуда, спроведених према истом закону, било свега 2,57% (око 8 млрд. РСД). Такође, у 2020. години, , заступљеност транспарентних и конкурентних поступака у укупној вредности јавних набавки, спроведених у складу са Законом о јавним набавкама („Службени гласник РС“, бр. 91/19) који је у примени од 1. јула 2020. године, износила је 76,72% (око 30 млрд. РСД), док је учешће преговарачког поступка без објављивања јавног позива било 23,28% (око 9 млрд. РСД)</w:t>
      </w:r>
      <w:r w:rsidRPr="00862061">
        <w:rPr>
          <w:rFonts w:eastAsia="Calibri" w:cs="Times New Roman"/>
          <w:vertAlign w:val="superscript"/>
          <w:lang w:val="sr-Cyrl-RS"/>
        </w:rPr>
        <w:footnoteReference w:id="40"/>
      </w:r>
      <w:r w:rsidRPr="00862061">
        <w:rPr>
          <w:rFonts w:eastAsia="Calibri" w:cs="Times New Roman"/>
          <w:lang w:val="sr-Cyrl-RS"/>
        </w:rPr>
        <w:t xml:space="preserve">. </w:t>
      </w:r>
      <w:r w:rsidRPr="00862061">
        <w:rPr>
          <w:rFonts w:eastAsia="Calibri" w:cs="Times New Roman"/>
        </w:rPr>
        <w:t xml:space="preserve">Према </w:t>
      </w:r>
      <w:r w:rsidRPr="00862061">
        <w:rPr>
          <w:rFonts w:eastAsia="Calibri" w:cs="Times New Roman"/>
          <w:lang w:val="sr-Cyrl-RS"/>
        </w:rPr>
        <w:t xml:space="preserve">одредбама новог Закона </w:t>
      </w:r>
      <w:r w:rsidRPr="00862061">
        <w:rPr>
          <w:rFonts w:eastAsia="Calibri" w:cs="Times New Roman"/>
        </w:rPr>
        <w:t>о јавним набавкама</w:t>
      </w:r>
      <w:r w:rsidRPr="00862061">
        <w:rPr>
          <w:rFonts w:eastAsia="Calibri" w:cs="Times New Roman"/>
          <w:lang w:val="sr-Cyrl-RS"/>
        </w:rPr>
        <w:t xml:space="preserve"> најчешће коришћен основ за примену преговарачког поступка без објављивања јавног позива</w:t>
      </w:r>
      <w:r>
        <w:rPr>
          <w:rFonts w:eastAsia="Calibri" w:cs="Times New Roman"/>
          <w:lang w:val="sr-Cyrl-RS"/>
        </w:rPr>
        <w:t xml:space="preserve">, </w:t>
      </w:r>
      <w:r w:rsidRPr="00862061">
        <w:rPr>
          <w:rFonts w:eastAsia="Calibri" w:cs="Times New Roman"/>
          <w:lang w:val="sr-Cyrl-RS"/>
        </w:rPr>
        <w:t>био је члан 61. став 1. тачка 2), када због изузетне хитности проузроковане догађајима које наручилац није могао да предвиди, није могуће поступити у роковима одређеним за отворени поступак или рестриктивни поступак или конкурентни поступак са преговарањем или преговарачки поступак са објављивањем. У укупној вредности уговора закључених у преговарачком поступку без објављивања јавног позива учешће овог основа износи од 75,31%, од чега 66,15% чине уговори закључени по основу члана 62. став 9. новог Закона о јавним набавкама, у поступцима у којима Канцеларија за јавне набавке није давала мишљења о основаности примене ове врсте поступка.</w:t>
      </w:r>
      <w:r w:rsidRPr="00862061">
        <w:rPr>
          <w:rFonts w:eastAsia="Calibri" w:cs="Times New Roman"/>
          <w:vertAlign w:val="superscript"/>
          <w:lang w:val="sr-Cyrl-RS"/>
        </w:rPr>
        <w:footnoteReference w:id="41"/>
      </w:r>
      <w:r w:rsidRPr="00862061">
        <w:rPr>
          <w:rFonts w:eastAsia="Calibri" w:cs="Times New Roman"/>
          <w:lang w:val="sr-Cyrl-RS"/>
        </w:rPr>
        <w:t xml:space="preserve"> Нови Портал </w:t>
      </w:r>
      <w:r w:rsidRPr="00862061">
        <w:rPr>
          <w:rFonts w:eastAsia="Calibri" w:cs="Times New Roman"/>
          <w:lang w:val="sr-Cyrl-RS"/>
        </w:rPr>
        <w:lastRenderedPageBreak/>
        <w:t xml:space="preserve">јавних набавки, који је у примени од 1. јула 2020. године, омогућио је електронску комуникацију и размену података у поступцима јавних набавки, што се одразило на скраћење просечног трајања отвореног поступка јавне набавке на 52 дана у 2020. </w:t>
      </w:r>
      <w:r w:rsidRPr="00555354">
        <w:rPr>
          <w:rFonts w:eastAsia="Calibri" w:cs="Times New Roman"/>
          <w:lang w:val="sr-Cyrl-RS"/>
        </w:rPr>
        <w:t xml:space="preserve">(62 у 2019.). </w:t>
      </w:r>
      <w:r w:rsidRPr="00555354">
        <w:rPr>
          <w:rFonts w:eastAsia="Calibri" w:cs="Times New Roman"/>
        </w:rPr>
        <w:t>Нови</w:t>
      </w:r>
      <w:r w:rsidRPr="00555354">
        <w:rPr>
          <w:rFonts w:eastAsia="Calibri" w:cs="Times New Roman"/>
          <w:lang w:val="sr-Cyrl-RS"/>
        </w:rPr>
        <w:t xml:space="preserve"> портал је подстакао и веће укључивање привредних субјеката у процес јавних набавки, с обзиром да је просечан број понуда по поступку јавне набавке повећан на 2,6 у 2020. (са </w:t>
      </w:r>
      <w:r w:rsidRPr="00555354">
        <w:rPr>
          <w:rFonts w:eastAsia="Calibri" w:cs="Times New Roman"/>
        </w:rPr>
        <w:t>2</w:t>
      </w:r>
      <w:r w:rsidRPr="00555354">
        <w:rPr>
          <w:rFonts w:eastAsia="Calibri" w:cs="Times New Roman"/>
          <w:lang w:val="sr-Cyrl-RS"/>
        </w:rPr>
        <w:t>,</w:t>
      </w:r>
      <w:r w:rsidRPr="00555354">
        <w:rPr>
          <w:rFonts w:eastAsia="Calibri" w:cs="Times New Roman"/>
        </w:rPr>
        <w:t>5</w:t>
      </w:r>
      <w:r w:rsidRPr="00555354">
        <w:rPr>
          <w:rFonts w:eastAsia="Calibri" w:cs="Times New Roman"/>
          <w:lang w:val="sr-Cyrl-RS"/>
        </w:rPr>
        <w:t xml:space="preserve"> у 201</w:t>
      </w:r>
      <w:r w:rsidRPr="00555354">
        <w:rPr>
          <w:rFonts w:eastAsia="Calibri" w:cs="Times New Roman"/>
        </w:rPr>
        <w:t>9</w:t>
      </w:r>
      <w:r w:rsidRPr="00555354">
        <w:rPr>
          <w:rFonts w:eastAsia="Calibri" w:cs="Times New Roman"/>
          <w:lang w:val="sr-Cyrl-RS"/>
        </w:rPr>
        <w:t>. години</w:t>
      </w:r>
      <w:r w:rsidRPr="00555354">
        <w:rPr>
          <w:rFonts w:eastAsia="Calibri" w:cs="Times New Roman"/>
          <w:vertAlign w:val="superscript"/>
          <w:lang w:val="sr-Cyrl-RS"/>
        </w:rPr>
        <w:footnoteReference w:id="42"/>
      </w:r>
      <w:r w:rsidRPr="00555354">
        <w:rPr>
          <w:rFonts w:eastAsia="Calibri" w:cs="Times New Roman"/>
          <w:lang w:val="sr-Cyrl-RS"/>
        </w:rPr>
        <w:t xml:space="preserve">). </w:t>
      </w:r>
    </w:p>
    <w:p w14:paraId="246F109A" w14:textId="77777777" w:rsidR="00DC7F92" w:rsidRPr="00862061" w:rsidRDefault="00DC7F92" w:rsidP="00DC7F92">
      <w:pPr>
        <w:adjustRightInd w:val="0"/>
        <w:spacing w:after="60"/>
        <w:rPr>
          <w:rFonts w:eastAsia="Calibri" w:cs="Times New Roman"/>
          <w:szCs w:val="24"/>
          <w:lang w:val="sr-Cyrl-RS"/>
        </w:rPr>
      </w:pPr>
      <w:r w:rsidRPr="00862061">
        <w:rPr>
          <w:rFonts w:eastAsia="Calibri" w:cs="Times New Roman"/>
          <w:b/>
          <w:szCs w:val="24"/>
          <w:lang w:val="sr-Cyrl-RS"/>
        </w:rPr>
        <w:t xml:space="preserve">Успостављање ажурног катастра непокретности у реалном времену </w:t>
      </w:r>
      <w:r w:rsidRPr="00862061">
        <w:rPr>
          <w:rFonts w:eastAsia="Calibri" w:cs="Times New Roman"/>
          <w:szCs w:val="24"/>
          <w:lang w:val="sr-Cyrl-RS"/>
        </w:rPr>
        <w:t>је предуслов да се</w:t>
      </w:r>
      <w:r w:rsidRPr="00862061">
        <w:rPr>
          <w:rFonts w:eastAsia="Calibri" w:cs="Times New Roman"/>
          <w:b/>
          <w:szCs w:val="24"/>
          <w:lang w:val="sr-Cyrl-RS"/>
        </w:rPr>
        <w:t xml:space="preserve"> скрате процедуре потребне за упис права својине у катастар</w:t>
      </w:r>
      <w:r w:rsidRPr="00862061">
        <w:rPr>
          <w:rFonts w:eastAsia="Calibri" w:cs="Times New Roman"/>
          <w:szCs w:val="24"/>
          <w:lang w:val="sr-Cyrl-RS"/>
        </w:rPr>
        <w:t>. Према Глобалном индексу сигурности власништва над непокретностима</w:t>
      </w:r>
      <w:r w:rsidRPr="00862061">
        <w:rPr>
          <w:rFonts w:eastAsia="Calibri" w:cs="Times New Roman"/>
          <w:szCs w:val="24"/>
          <w:vertAlign w:val="superscript"/>
          <w:lang w:val="sr-Cyrl-RS"/>
        </w:rPr>
        <w:footnoteReference w:id="43"/>
      </w:r>
      <w:r w:rsidRPr="00862061">
        <w:rPr>
          <w:rFonts w:eastAsia="Calibri" w:cs="Times New Roman"/>
          <w:szCs w:val="24"/>
          <w:lang w:val="sr-Cyrl-RS"/>
        </w:rPr>
        <w:t xml:space="preserve"> за 2020. годину,</w:t>
      </w:r>
      <w:r w:rsidRPr="00862061">
        <w:rPr>
          <w:rFonts w:eastAsia="Calibri" w:cs="Times New Roman"/>
          <w:b/>
          <w:szCs w:val="24"/>
          <w:lang w:val="sr-Cyrl-RS"/>
        </w:rPr>
        <w:t xml:space="preserve"> </w:t>
      </w:r>
      <w:r w:rsidRPr="00862061">
        <w:rPr>
          <w:rFonts w:eastAsia="Calibri" w:cs="Times New Roman"/>
          <w:szCs w:val="24"/>
          <w:lang w:val="sr-Cyrl-RS"/>
        </w:rPr>
        <w:t xml:space="preserve">Србија је заузела 10. место у Европи, а 14. место у свету </w:t>
      </w:r>
      <w:r w:rsidRPr="00862061">
        <w:rPr>
          <w:rFonts w:eastAsia="Calibri" w:cs="Times New Roman"/>
          <w:bCs/>
          <w:szCs w:val="24"/>
          <w:lang w:val="sr-Cyrl-RS"/>
        </w:rPr>
        <w:t>у</w:t>
      </w:r>
      <w:r w:rsidRPr="00862061">
        <w:rPr>
          <w:rFonts w:eastAsia="Calibri" w:cs="Times New Roman"/>
          <w:szCs w:val="24"/>
          <w:lang w:val="sr-Cyrl-RS"/>
        </w:rPr>
        <w:t xml:space="preserve"> области сигурности власништва. Чак 97% власника некретнина у Србији осећа сигурност да неће мимо своје воље изгубити непокретност, што је важан фактор за привлачење инвеститора.</w:t>
      </w:r>
      <w:r w:rsidRPr="00862061">
        <w:rPr>
          <w:rFonts w:eastAsia="Calibri" w:cs="Times New Roman"/>
          <w:b/>
          <w:szCs w:val="24"/>
          <w:lang w:val="sr-Cyrl-RS"/>
        </w:rPr>
        <w:t xml:space="preserve"> </w:t>
      </w:r>
      <w:r w:rsidRPr="00862061">
        <w:rPr>
          <w:rFonts w:eastAsia="Calibri" w:cs="Times New Roman"/>
          <w:szCs w:val="24"/>
          <w:lang w:val="sr-Cyrl-RS"/>
        </w:rPr>
        <w:t xml:space="preserve">Континуирано се </w:t>
      </w:r>
      <w:r w:rsidRPr="00862061">
        <w:rPr>
          <w:rFonts w:eastAsia="Calibri" w:cs="Times New Roman"/>
          <w:b/>
          <w:szCs w:val="24"/>
          <w:lang w:val="sr-Cyrl-RS"/>
        </w:rPr>
        <w:t>технички унапређује дигитална платформа Национална инфраструктура геопросторних података</w:t>
      </w:r>
      <w:r w:rsidRPr="00862061">
        <w:rPr>
          <w:rFonts w:eastAsia="Calibri" w:cs="Times New Roman"/>
          <w:szCs w:val="24"/>
          <w:lang w:val="sr-Cyrl-RS"/>
        </w:rPr>
        <w:t xml:space="preserve"> (НИГП) додавањем нових сетова геопросторних података и развојем нових сервиса - укупно је доступно </w:t>
      </w:r>
      <w:r w:rsidRPr="00862061">
        <w:rPr>
          <w:rFonts w:eastAsia="Calibri" w:cs="Times New Roman"/>
          <w:b/>
          <w:szCs w:val="24"/>
          <w:lang w:val="sr-Cyrl-RS"/>
        </w:rPr>
        <w:t>310 сетова података и 40 сервиса</w:t>
      </w:r>
      <w:r w:rsidRPr="00862061">
        <w:rPr>
          <w:rFonts w:eastAsia="Calibri" w:cs="Times New Roman"/>
          <w:szCs w:val="24"/>
          <w:lang w:val="sr-Cyrl-RS"/>
        </w:rPr>
        <w:t xml:space="preserve">. Поред података Републичког геодетског завода, ту су и подаци других органа и институција (укупно 31 институција пружа податке путем НИГП-а). Тренутно </w:t>
      </w:r>
      <w:r w:rsidRPr="00862061">
        <w:rPr>
          <w:rFonts w:eastAsia="Calibri" w:cs="Times New Roman"/>
          <w:b/>
          <w:szCs w:val="24"/>
          <w:lang w:val="sr-Cyrl-RS"/>
        </w:rPr>
        <w:t>154 институције користе дигиталну платформу</w:t>
      </w:r>
      <w:r w:rsidRPr="00862061">
        <w:rPr>
          <w:rFonts w:eastAsia="Calibri" w:cs="Times New Roman"/>
          <w:szCs w:val="24"/>
          <w:lang w:val="sr-Cyrl-RS"/>
        </w:rPr>
        <w:t>. Подношење захтева за упис у катастар се одвија преко еШалтера, у дигиталном облику. Грађани могу добити директну правну помоћ у преко 2.000 адвокатских канцеларија које су овлашћени корисници еШалтера, док остале информације могу добити уз помоћ унапређеног Инфо центра РГЗ који је у функцији од 2021. године.</w:t>
      </w:r>
    </w:p>
    <w:p w14:paraId="53DCB52B" w14:textId="77777777"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lang w:val="sr-Cyrl-RS"/>
        </w:rPr>
        <w:t>а) Реформе</w:t>
      </w:r>
    </w:p>
    <w:p w14:paraId="551F0890" w14:textId="6F1362DD"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4</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УНАПРЕЂЕЊЕ КВАЛИТЕТА ПРУЖАЊА ЈАВНИХ УСЛУГА КРОЗ ОПТИМИЗАЦИЈУ И ДИГИТАЛИЗАЦИЈУ АДМИНИСТРАТИВНИХ ПОСТУПАКА – е-ПАПИР</w:t>
      </w:r>
    </w:p>
    <w:p w14:paraId="22986344" w14:textId="77777777" w:rsidR="00DC7F92" w:rsidRPr="00862061" w:rsidRDefault="00DC7F92" w:rsidP="004D22FA">
      <w:pPr>
        <w:widowControl w:val="0"/>
        <w:numPr>
          <w:ilvl w:val="0"/>
          <w:numId w:val="27"/>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4B24F13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Унапређење квалитета пружања јавних услуга је вишегодишњи реформски процес који се, између осталог, одвија кроз поједностављење административних поступака (укидањем сувишних или поједностављењем административних поступака) за привреду и грађане, као и успостављање Јединственог јавног регистра административних поступака и осталих услова пословања (у даљем тексту: Регистар). Регистар представља полазну основу за формирање Јединствене електронске контактне тачке (ЈЕКТ), што је обавеза у складу са Директивом о услугама 2006/123/ЕЗ чије је транспоновање предвиђено чланом 59. ССП.</w:t>
      </w:r>
    </w:p>
    <w:p w14:paraId="63465F5C"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Кроз е-Папир успостављен је Јединствени јавни регистар административних поступака и осталих услова пословања (у даљем тексту: Регистар) који садржи податке о преко 2.600 административних поступака за привреду. Даље, укинуто је 13 поступака, у потпуности оптимизовано 235 и започета оптимизација за још 593 административних поступака (чиме је постигнута уштеда за привреду око 33 мил</w:t>
      </w:r>
      <w:r>
        <w:rPr>
          <w:rFonts w:eastAsia="Times New Roman" w:cs="Times New Roman"/>
          <w:szCs w:val="24"/>
          <w:lang w:val="sr-Cyrl-RS"/>
        </w:rPr>
        <w:t>иона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годишње), дигитализовано је 3</w:t>
      </w:r>
      <w:r>
        <w:rPr>
          <w:rFonts w:eastAsia="Times New Roman" w:cs="Times New Roman"/>
          <w:szCs w:val="24"/>
          <w:lang w:val="sr-Cyrl-RS"/>
        </w:rPr>
        <w:t>9</w:t>
      </w:r>
      <w:r w:rsidRPr="00862061">
        <w:rPr>
          <w:rFonts w:eastAsia="Times New Roman" w:cs="Times New Roman"/>
          <w:szCs w:val="24"/>
          <w:lang w:val="sr-Cyrl-RS"/>
        </w:rPr>
        <w:t xml:space="preserve"> административних поступака, док се дигитализација још 5</w:t>
      </w:r>
      <w:r>
        <w:rPr>
          <w:rFonts w:eastAsia="Times New Roman" w:cs="Times New Roman"/>
          <w:szCs w:val="24"/>
          <w:lang w:val="sr-Cyrl-RS"/>
        </w:rPr>
        <w:t>3</w:t>
      </w:r>
      <w:r w:rsidRPr="00862061">
        <w:rPr>
          <w:rFonts w:eastAsia="Times New Roman" w:cs="Times New Roman"/>
          <w:szCs w:val="24"/>
          <w:lang w:val="sr-Cyrl-RS"/>
        </w:rPr>
        <w:t xml:space="preserve"> поступака очекује до краја 2021. </w:t>
      </w:r>
    </w:p>
    <w:p w14:paraId="1DC535D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lastRenderedPageBreak/>
        <w:t xml:space="preserve">Реформа је дефинисана Стратегијом реформе јавне управе у Републици Србији за период 2021-2030. године и Програмом развоја електронске управе за период 2020-2022. године. </w:t>
      </w:r>
    </w:p>
    <w:p w14:paraId="31AF8F1D"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Реформом се доприноси и спровођењу </w:t>
      </w:r>
      <w:r w:rsidRPr="00862061">
        <w:rPr>
          <w:rFonts w:eastAsia="Times New Roman" w:cs="Times New Roman"/>
          <w:b/>
          <w:szCs w:val="24"/>
          <w:lang w:val="sr-Cyrl-RS"/>
        </w:rPr>
        <w:t>ЦОР 16.10.</w:t>
      </w:r>
      <w:r w:rsidRPr="00862061">
        <w:rPr>
          <w:rFonts w:eastAsia="Times New Roman" w:cs="Times New Roman"/>
          <w:szCs w:val="24"/>
          <w:lang w:val="sr-Cyrl-RS"/>
        </w:rPr>
        <w:t xml:space="preserve"> - Осигурати јавни приступ информацијама и заштиту основних слобода, у складу са националним законодавством и међународним споразумима и </w:t>
      </w:r>
      <w:r w:rsidRPr="00862061">
        <w:rPr>
          <w:rFonts w:eastAsia="Times New Roman" w:cs="Times New Roman"/>
          <w:b/>
          <w:szCs w:val="24"/>
          <w:lang w:val="sr-Cyrl-RS"/>
        </w:rPr>
        <w:t>ЦОР 16.5.</w:t>
      </w:r>
      <w:r w:rsidRPr="00862061">
        <w:rPr>
          <w:rFonts w:eastAsia="Times New Roman" w:cs="Times New Roman"/>
          <w:szCs w:val="24"/>
          <w:lang w:val="sr-Cyrl-RS"/>
        </w:rPr>
        <w:t xml:space="preserve"> - Значајно смањити корупцију и подмићивање у свим њиховим појавним облицима.</w:t>
      </w:r>
    </w:p>
    <w:p w14:paraId="371217BD"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35161283"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C257D1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553C7D26"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C99F193"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08D554EB"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B277DE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67E1F6B6"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2AD0EE5A"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C54C677"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4B4E9FE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259C84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965E1D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49644A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13D4C06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3E6851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D8D84E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92F48F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60ED91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2AA108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149037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9164F0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746C002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2C28F0A"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single" w:sz="8" w:space="0" w:color="auto"/>
              <w:left w:val="single" w:sz="8" w:space="0" w:color="auto"/>
              <w:bottom w:val="single" w:sz="4" w:space="0" w:color="auto"/>
              <w:right w:val="single" w:sz="8" w:space="0" w:color="auto"/>
            </w:tcBorders>
            <w:shd w:val="clear" w:color="auto" w:fill="auto"/>
            <w:vAlign w:val="center"/>
          </w:tcPr>
          <w:p w14:paraId="5CF65430"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Попис административних поступака за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108A24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347879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A2A86D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C84139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1EF684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87F8A0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FDE6D5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316150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306BC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A395C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3B596A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861A10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D0B41C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E4DE9B9"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single" w:sz="8" w:space="0" w:color="auto"/>
            </w:tcBorders>
            <w:shd w:val="clear" w:color="auto" w:fill="auto"/>
            <w:vAlign w:val="center"/>
          </w:tcPr>
          <w:p w14:paraId="3E0C423D"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Попис административних захтева и осталих услова пословања</w:t>
            </w:r>
          </w:p>
        </w:tc>
        <w:tc>
          <w:tcPr>
            <w:tcW w:w="422" w:type="dxa"/>
            <w:tcBorders>
              <w:top w:val="nil"/>
              <w:left w:val="single" w:sz="8" w:space="0" w:color="auto"/>
              <w:bottom w:val="single" w:sz="4" w:space="0" w:color="auto"/>
              <w:right w:val="single" w:sz="4" w:space="0" w:color="auto"/>
            </w:tcBorders>
            <w:shd w:val="clear" w:color="auto" w:fill="auto"/>
            <w:vAlign w:val="center"/>
          </w:tcPr>
          <w:p w14:paraId="7755E48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52C8B4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E8B97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31F5E9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57DDE8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CF39B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E6C6D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0666B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42BD94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13C1AE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E1773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9A794F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22C6DB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3E6DB36"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single" w:sz="8" w:space="0" w:color="auto"/>
            </w:tcBorders>
            <w:shd w:val="clear" w:color="auto" w:fill="auto"/>
            <w:vAlign w:val="center"/>
          </w:tcPr>
          <w:p w14:paraId="5A748CBE"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Оптимизација административних поступака за привреду и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44844F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38A9FC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821872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94A39B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F95A9F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BA6BD0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AD996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CE27CD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7DC83C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1B80E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D1DDB4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D72A4E3"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F456CB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D7A93E5"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nil"/>
              <w:left w:val="single" w:sz="8" w:space="0" w:color="auto"/>
              <w:bottom w:val="single" w:sz="4" w:space="0" w:color="auto"/>
              <w:right w:val="single" w:sz="8" w:space="0" w:color="auto"/>
            </w:tcBorders>
            <w:shd w:val="clear" w:color="auto" w:fill="auto"/>
            <w:vAlign w:val="center"/>
          </w:tcPr>
          <w:p w14:paraId="7288A6C8"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Дигитализација административних поступака за привреду и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F734AC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507B0F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31BFDD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3E7123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2B225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758DD6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731D60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DED048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8D30F5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400A98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874F5A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A014F20"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5EF32E7A"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2567BBFC"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vAlign w:val="center"/>
          </w:tcPr>
          <w:p w14:paraId="17A38BCA"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Унапређење инфраструктуре за пружање електронских услуга (недостајући регистри, модули и сл.)</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783684A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E8C8E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142CF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0B31E57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43BF34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AF17CE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D50AE8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1B43AB3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0E0C055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E36BD5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509A1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2D9597F4"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C4D6FCD" w14:textId="77777777"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14:paraId="324AD90F"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8" w:space="0" w:color="auto"/>
            </w:tcBorders>
            <w:shd w:val="clear" w:color="auto" w:fill="auto"/>
            <w:vAlign w:val="center"/>
          </w:tcPr>
          <w:p w14:paraId="7C75ED03"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Унапређење Регистра административних поступака</w:t>
            </w:r>
          </w:p>
        </w:tc>
        <w:tc>
          <w:tcPr>
            <w:tcW w:w="422" w:type="dxa"/>
            <w:tcBorders>
              <w:top w:val="single" w:sz="4" w:space="0" w:color="auto"/>
              <w:left w:val="nil"/>
              <w:bottom w:val="single" w:sz="8" w:space="0" w:color="auto"/>
              <w:right w:val="single" w:sz="4" w:space="0" w:color="auto"/>
            </w:tcBorders>
            <w:shd w:val="clear" w:color="auto" w:fill="BFBFBF"/>
            <w:vAlign w:val="center"/>
          </w:tcPr>
          <w:p w14:paraId="531280C1"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7E23EEA"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D943F79"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0B53BBBC"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2655C64F"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43A5823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3F8156B1"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5FE78E8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5154B7A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3A1641E2"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2EA4822"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70DDE956" w14:textId="77777777" w:rsidR="00DC7F92" w:rsidRPr="00862061" w:rsidRDefault="00DC7F92" w:rsidP="00DC7F92">
            <w:pPr>
              <w:spacing w:after="0"/>
              <w:jc w:val="center"/>
              <w:rPr>
                <w:rFonts w:eastAsia="Times New Roman" w:cs="Times New Roman"/>
                <w:b/>
                <w:bCs/>
                <w:sz w:val="20"/>
                <w:szCs w:val="20"/>
                <w:lang w:val="sr-Cyrl-RS"/>
              </w:rPr>
            </w:pPr>
          </w:p>
        </w:tc>
      </w:tr>
    </w:tbl>
    <w:p w14:paraId="11C6B0B7" w14:textId="77777777" w:rsidR="00DC7F92" w:rsidRPr="00862061" w:rsidRDefault="00DC7F92" w:rsidP="004D22FA">
      <w:pPr>
        <w:widowControl w:val="0"/>
        <w:numPr>
          <w:ilvl w:val="0"/>
          <w:numId w:val="27"/>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06D987C0" w14:textId="77777777" w:rsidTr="00DC7F92">
        <w:tc>
          <w:tcPr>
            <w:tcW w:w="4106" w:type="dxa"/>
            <w:vAlign w:val="center"/>
          </w:tcPr>
          <w:p w14:paraId="0E761A86"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63E44970"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(2018)</w:t>
            </w:r>
          </w:p>
        </w:tc>
        <w:tc>
          <w:tcPr>
            <w:tcW w:w="1843" w:type="dxa"/>
            <w:vAlign w:val="center"/>
          </w:tcPr>
          <w:p w14:paraId="47E247D2"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(2020)</w:t>
            </w:r>
          </w:p>
        </w:tc>
        <w:tc>
          <w:tcPr>
            <w:tcW w:w="1843" w:type="dxa"/>
            <w:vAlign w:val="center"/>
          </w:tcPr>
          <w:p w14:paraId="4EEA1FFA"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(2024)</w:t>
            </w:r>
          </w:p>
        </w:tc>
      </w:tr>
      <w:tr w:rsidR="00DC7F92" w:rsidRPr="00862061" w14:paraId="4B943656" w14:textId="77777777" w:rsidTr="00DC7F92">
        <w:trPr>
          <w:trHeight w:val="284"/>
        </w:trPr>
        <w:tc>
          <w:tcPr>
            <w:tcW w:w="4106" w:type="dxa"/>
            <w:vAlign w:val="center"/>
          </w:tcPr>
          <w:p w14:paraId="623980A1" w14:textId="77777777" w:rsidR="00DC7F92" w:rsidRPr="00862061" w:rsidRDefault="00DC7F92" w:rsidP="001F4238">
            <w:pPr>
              <w:autoSpaceDE w:val="0"/>
              <w:autoSpaceDN w:val="0"/>
              <w:adjustRightInd w:val="0"/>
              <w:spacing w:after="0"/>
              <w:rPr>
                <w:rFonts w:eastAsia="Times New Roman"/>
                <w:sz w:val="20"/>
                <w:szCs w:val="20"/>
              </w:rPr>
            </w:pPr>
            <w:r w:rsidRPr="00862061">
              <w:rPr>
                <w:rFonts w:eastAsia="Times New Roman"/>
                <w:sz w:val="20"/>
                <w:szCs w:val="20"/>
              </w:rPr>
              <w:t xml:space="preserve">Удео административног оптерећења за грађане и привреду у БДП-у </w:t>
            </w:r>
          </w:p>
        </w:tc>
        <w:tc>
          <w:tcPr>
            <w:tcW w:w="1842" w:type="dxa"/>
            <w:vAlign w:val="center"/>
          </w:tcPr>
          <w:p w14:paraId="53087CF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3,11%</w:t>
            </w:r>
          </w:p>
        </w:tc>
        <w:tc>
          <w:tcPr>
            <w:tcW w:w="1843" w:type="dxa"/>
            <w:vAlign w:val="center"/>
          </w:tcPr>
          <w:p w14:paraId="07AE55AA"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3%</w:t>
            </w:r>
          </w:p>
        </w:tc>
        <w:tc>
          <w:tcPr>
            <w:tcW w:w="1843" w:type="dxa"/>
            <w:vAlign w:val="center"/>
          </w:tcPr>
          <w:p w14:paraId="46191700"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2,80%</w:t>
            </w:r>
          </w:p>
        </w:tc>
      </w:tr>
      <w:tr w:rsidR="00DC7F92" w:rsidRPr="00862061" w14:paraId="557DFE40" w14:textId="77777777" w:rsidTr="00DC7F92">
        <w:trPr>
          <w:trHeight w:val="505"/>
        </w:trPr>
        <w:tc>
          <w:tcPr>
            <w:tcW w:w="4106" w:type="dxa"/>
            <w:vAlign w:val="center"/>
          </w:tcPr>
          <w:p w14:paraId="0FF56B32" w14:textId="77777777" w:rsidR="00DC7F92" w:rsidRPr="00862061" w:rsidRDefault="00DC7F92" w:rsidP="001F4238">
            <w:pPr>
              <w:spacing w:after="0"/>
              <w:rPr>
                <w:rFonts w:eastAsia="Times New Roman"/>
                <w:sz w:val="20"/>
                <w:szCs w:val="20"/>
              </w:rPr>
            </w:pPr>
            <w:r w:rsidRPr="00862061">
              <w:rPr>
                <w:rFonts w:eastAsia="Times New Roman"/>
                <w:sz w:val="20"/>
                <w:szCs w:val="20"/>
              </w:rPr>
              <w:t>Број оптимизованих адм</w:t>
            </w:r>
            <w:r>
              <w:rPr>
                <w:rFonts w:eastAsia="Times New Roman"/>
                <w:sz w:val="20"/>
                <w:szCs w:val="20"/>
                <w:lang w:val="sr-Cyrl-RS"/>
              </w:rPr>
              <w:t>и</w:t>
            </w:r>
            <w:r w:rsidRPr="00862061">
              <w:rPr>
                <w:rFonts w:eastAsia="Times New Roman"/>
                <w:sz w:val="20"/>
                <w:szCs w:val="20"/>
              </w:rPr>
              <w:t>нистративних поступака</w:t>
            </w:r>
          </w:p>
        </w:tc>
        <w:tc>
          <w:tcPr>
            <w:tcW w:w="1842" w:type="dxa"/>
            <w:vAlign w:val="center"/>
          </w:tcPr>
          <w:p w14:paraId="551E0A7F"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vAlign w:val="center"/>
          </w:tcPr>
          <w:p w14:paraId="7C857FDA"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180</w:t>
            </w:r>
          </w:p>
        </w:tc>
        <w:tc>
          <w:tcPr>
            <w:tcW w:w="1843" w:type="dxa"/>
            <w:vAlign w:val="center"/>
          </w:tcPr>
          <w:p w14:paraId="2886C69B"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500</w:t>
            </w:r>
          </w:p>
        </w:tc>
      </w:tr>
      <w:tr w:rsidR="00DC7F92" w:rsidRPr="00862061" w14:paraId="73A6430C" w14:textId="77777777" w:rsidTr="00DC7F92">
        <w:trPr>
          <w:trHeight w:val="284"/>
        </w:trPr>
        <w:tc>
          <w:tcPr>
            <w:tcW w:w="4106" w:type="dxa"/>
            <w:vAlign w:val="center"/>
          </w:tcPr>
          <w:p w14:paraId="5D8FC433" w14:textId="77777777" w:rsidR="00DC7F92" w:rsidRPr="00862061" w:rsidRDefault="00DC7F92" w:rsidP="001F4238">
            <w:pPr>
              <w:spacing w:after="0"/>
              <w:rPr>
                <w:rFonts w:eastAsia="Times New Roman"/>
                <w:sz w:val="20"/>
                <w:szCs w:val="20"/>
              </w:rPr>
            </w:pPr>
            <w:r w:rsidRPr="00862061">
              <w:rPr>
                <w:rFonts w:eastAsia="Times New Roman"/>
                <w:sz w:val="20"/>
                <w:szCs w:val="20"/>
              </w:rPr>
              <w:t>Број дигитализованих адм</w:t>
            </w:r>
            <w:r>
              <w:rPr>
                <w:rFonts w:eastAsia="Times New Roman"/>
                <w:sz w:val="20"/>
                <w:szCs w:val="20"/>
                <w:lang w:val="sr-Cyrl-RS"/>
              </w:rPr>
              <w:t>и</w:t>
            </w:r>
            <w:r w:rsidRPr="00862061">
              <w:rPr>
                <w:rFonts w:eastAsia="Times New Roman"/>
                <w:sz w:val="20"/>
                <w:szCs w:val="20"/>
              </w:rPr>
              <w:t>нистративних поступака</w:t>
            </w:r>
          </w:p>
        </w:tc>
        <w:tc>
          <w:tcPr>
            <w:tcW w:w="1842" w:type="dxa"/>
            <w:vAlign w:val="center"/>
          </w:tcPr>
          <w:p w14:paraId="6F66C865"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vAlign w:val="center"/>
          </w:tcPr>
          <w:p w14:paraId="5522ABCC"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27</w:t>
            </w:r>
          </w:p>
        </w:tc>
        <w:tc>
          <w:tcPr>
            <w:tcW w:w="1843" w:type="dxa"/>
            <w:vAlign w:val="center"/>
          </w:tcPr>
          <w:p w14:paraId="2E259A89"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220</w:t>
            </w:r>
          </w:p>
        </w:tc>
      </w:tr>
    </w:tbl>
    <w:p w14:paraId="4C6715ED" w14:textId="77777777" w:rsidR="00DC7F92" w:rsidRPr="00862061" w:rsidRDefault="00DC7F92" w:rsidP="004D22FA">
      <w:pPr>
        <w:widowControl w:val="0"/>
        <w:numPr>
          <w:ilvl w:val="0"/>
          <w:numId w:val="27"/>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29C0F49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Очекује се смањење административних трошкова за привреду за 15-20%, а на основу анализе и предлога за </w:t>
      </w:r>
      <w:r w:rsidRPr="00BD32DB">
        <w:rPr>
          <w:rFonts w:eastAsia="Times New Roman" w:cs="Times New Roman"/>
          <w:szCs w:val="24"/>
          <w:lang w:val="sr-Cyrl-RS"/>
        </w:rPr>
        <w:t xml:space="preserve">укидање </w:t>
      </w:r>
      <w:r>
        <w:rPr>
          <w:rFonts w:eastAsia="Times New Roman" w:cs="Times New Roman"/>
          <w:szCs w:val="24"/>
          <w:lang w:val="sr-Cyrl-RS"/>
        </w:rPr>
        <w:t>и</w:t>
      </w:r>
      <w:r w:rsidRPr="00862061">
        <w:rPr>
          <w:rFonts w:eastAsia="Times New Roman" w:cs="Times New Roman"/>
          <w:szCs w:val="24"/>
          <w:lang w:val="sr-Cyrl-RS"/>
        </w:rPr>
        <w:t xml:space="preserve"> поједностављење </w:t>
      </w:r>
      <w:r>
        <w:rPr>
          <w:rFonts w:eastAsia="Times New Roman" w:cs="Times New Roman"/>
          <w:szCs w:val="24"/>
          <w:lang w:val="sr-Cyrl-RS"/>
        </w:rPr>
        <w:t xml:space="preserve">тј. </w:t>
      </w:r>
      <w:r w:rsidRPr="00862061">
        <w:rPr>
          <w:rFonts w:eastAsia="Times New Roman" w:cs="Times New Roman"/>
          <w:szCs w:val="24"/>
          <w:lang w:val="sr-Cyrl-RS"/>
        </w:rPr>
        <w:t>оптимизацију, најмање 50% најучесталијих и најскупљих административних поступака. Позитиван утицај на конкурентност ће се остварити и успостављањем Регистра са свим потребним информацијама за привреду у поступцима пред јавном управом чиме се ствара сигурније, транспарентније и предвидљивије пословно окружење. Све потребне информације за пословање доступне на једном месту, омогућиће уштеде у времену и новцу и елиминисаће простор за корупцију, а уједно повећати атрактивности Србије као дестинације за инвестирање.</w:t>
      </w:r>
    </w:p>
    <w:p w14:paraId="6A7460B4"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0DAED267" w14:textId="77777777" w:rsidR="00DC7F92" w:rsidRPr="00862061" w:rsidRDefault="00DC7F92" w:rsidP="00DC7F92">
      <w:pPr>
        <w:widowControl w:val="0"/>
        <w:spacing w:before="120"/>
        <w:rPr>
          <w:rFonts w:eastAsia="Times New Roman" w:cs="Times New Roman"/>
          <w:szCs w:val="24"/>
          <w:lang w:val="sr-Cyrl-RS"/>
        </w:rPr>
      </w:pPr>
      <w:r w:rsidRPr="00862061">
        <w:rPr>
          <w:rFonts w:eastAsia="Times New Roman" w:cs="Times New Roman"/>
          <w:szCs w:val="24"/>
          <w:lang w:val="sr-Cyrl-RS"/>
        </w:rPr>
        <w:t>Спровођење реформе се највећим делом финансира донаторским средствима Европске уније, кроз четворогодишњи ИПА пројекат који спроводи Светска банка. За наведене активности је издвојен укупан износ од укупно 3,05 милиона евра</w:t>
      </w:r>
      <w:r>
        <w:rPr>
          <w:rFonts w:eastAsia="Times New Roman" w:cs="Times New Roman"/>
          <w:szCs w:val="24"/>
          <w:lang w:val="sr-Cyrl-RS"/>
        </w:rPr>
        <w:t>, док је за овај циклус ЕРП-а опредељено 2,6 милиона евра</w:t>
      </w:r>
      <w:r w:rsidRPr="00862061">
        <w:rPr>
          <w:rFonts w:eastAsia="Times New Roman" w:cs="Times New Roman"/>
          <w:szCs w:val="24"/>
          <w:lang w:val="sr-Cyrl-RS"/>
        </w:rPr>
        <w:t>: за попис административних захтева 350 хиљада евра, за оптимизацију поступака 200 хиљада евра, за унапређење инфраструктуре за пружање електронских услуга и дигитализацију поступака 1,9 мил</w:t>
      </w:r>
      <w:r>
        <w:rPr>
          <w:rFonts w:eastAsia="Times New Roman" w:cs="Times New Roman"/>
          <w:szCs w:val="24"/>
          <w:lang w:val="sr-Cyrl-RS"/>
        </w:rPr>
        <w:t>иона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као и 150 </w:t>
      </w:r>
      <w:r w:rsidRPr="00862061">
        <w:rPr>
          <w:rFonts w:eastAsia="Times New Roman" w:cs="Times New Roman"/>
          <w:szCs w:val="24"/>
          <w:lang w:val="sr-Cyrl-RS"/>
        </w:rPr>
        <w:lastRenderedPageBreak/>
        <w:t>хиљ</w:t>
      </w:r>
      <w:r>
        <w:rPr>
          <w:rFonts w:eastAsia="Times New Roman" w:cs="Times New Roman"/>
          <w:szCs w:val="24"/>
          <w:lang w:val="sr-Cyrl-RS"/>
        </w:rPr>
        <w:t>ада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за унапређење Регистра административних поступака. Из буџета Републике Србије нису планирана средства за наведене активности.</w:t>
      </w:r>
    </w:p>
    <w:p w14:paraId="06CA7A4F" w14:textId="77777777" w:rsidR="00DC7F92" w:rsidRPr="00862061" w:rsidRDefault="00DC7F92" w:rsidP="004D22FA">
      <w:pPr>
        <w:widowControl w:val="0"/>
        <w:numPr>
          <w:ilvl w:val="0"/>
          <w:numId w:val="27"/>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0C2E7B7"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Очекује се индиректни ефекат на повећање запослености јер ће се смањити трошкови за привреду у погледу административних баријера и остварити уштеде које могу да утичу на отварање нових радних места. Директан утицај на родни аспект се не може очекивати, јер је реформа родно неутрална.</w:t>
      </w:r>
    </w:p>
    <w:p w14:paraId="7040281A"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684F585E"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Оптимизацијом и дигитализацијом административних поступака значајно се смањује употреба докумената у папирном облику, што ће имати позитиван утицај на заштиту животне средине.</w:t>
      </w:r>
    </w:p>
    <w:p w14:paraId="46FDEFC8"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256CFDA0" w14:textId="77777777" w:rsidTr="00DC7F92">
        <w:trPr>
          <w:trHeight w:val="421"/>
        </w:trPr>
        <w:tc>
          <w:tcPr>
            <w:tcW w:w="3329" w:type="dxa"/>
            <w:vAlign w:val="center"/>
          </w:tcPr>
          <w:p w14:paraId="16E49923"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5AD38025"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7EE800A0"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0275CDB8" w14:textId="77777777" w:rsidTr="00DC7F92">
        <w:trPr>
          <w:trHeight w:val="429"/>
        </w:trPr>
        <w:tc>
          <w:tcPr>
            <w:tcW w:w="3329" w:type="dxa"/>
            <w:vAlign w:val="center"/>
          </w:tcPr>
          <w:p w14:paraId="614AB492" w14:textId="77777777" w:rsidR="00DC7F92" w:rsidRPr="00862061" w:rsidRDefault="00DC7F92" w:rsidP="001F4238">
            <w:pPr>
              <w:autoSpaceDE w:val="0"/>
              <w:autoSpaceDN w:val="0"/>
              <w:adjustRightInd w:val="0"/>
              <w:spacing w:after="0"/>
              <w:rPr>
                <w:rFonts w:eastAsia="Times New Roman"/>
                <w:sz w:val="20"/>
                <w:szCs w:val="20"/>
                <w:lang w:val="sr-Cyrl-RS"/>
              </w:rPr>
            </w:pPr>
            <w:r w:rsidRPr="00862061">
              <w:rPr>
                <w:rFonts w:eastAsia="Times New Roman"/>
                <w:sz w:val="20"/>
                <w:szCs w:val="20"/>
                <w:lang w:val="sr-Cyrl-RS"/>
              </w:rPr>
              <w:t xml:space="preserve">Кашњење пројекта за повезивање Регистра са ЈЕКТ-ом </w:t>
            </w:r>
          </w:p>
        </w:tc>
        <w:tc>
          <w:tcPr>
            <w:tcW w:w="2200" w:type="dxa"/>
          </w:tcPr>
          <w:p w14:paraId="09FE2FE4"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14:paraId="777FF20D" w14:textId="77777777" w:rsidR="00DC7F92" w:rsidRPr="00862061" w:rsidRDefault="00DC7F92" w:rsidP="001F4238">
            <w:pPr>
              <w:autoSpaceDE w:val="0"/>
              <w:autoSpaceDN w:val="0"/>
              <w:adjustRightInd w:val="0"/>
              <w:spacing w:after="0"/>
              <w:rPr>
                <w:rFonts w:eastAsia="Times New Roman"/>
                <w:sz w:val="20"/>
                <w:szCs w:val="20"/>
                <w:lang w:val="sr-Cyrl-RS"/>
              </w:rPr>
            </w:pPr>
            <w:r w:rsidRPr="00862061">
              <w:rPr>
                <w:rFonts w:eastAsia="Times New Roman"/>
                <w:sz w:val="20"/>
                <w:szCs w:val="20"/>
                <w:lang w:val="sr-Cyrl-RS"/>
              </w:rPr>
              <w:t>Доступност података о адмнистративним поступцима преко Портала Регистра</w:t>
            </w:r>
          </w:p>
        </w:tc>
      </w:tr>
    </w:tbl>
    <w:p w14:paraId="7C61BC05" w14:textId="77777777" w:rsidR="00DC7F92" w:rsidRPr="00862061" w:rsidRDefault="00DC7F92" w:rsidP="00DC7F92">
      <w:pPr>
        <w:spacing w:after="60"/>
        <w:rPr>
          <w:rFonts w:eastAsia="Calibri" w:cs="Times New Roman"/>
          <w:szCs w:val="24"/>
          <w:lang w:val="sr-Cyrl-CS"/>
        </w:rPr>
      </w:pPr>
    </w:p>
    <w:p w14:paraId="4C770427" w14:textId="72116675"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5</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ОДРЖИВО И ЕФИКАСНО УПРАВЉАЊЕ ПРИВРЕДНИМ СУБЈЕКТИМА У ВЛАСНИШТВУ РЕПУБЛИКЕ СРБИЈЕ</w:t>
      </w:r>
    </w:p>
    <w:p w14:paraId="0CE73226" w14:textId="77777777" w:rsidR="00DC7F92" w:rsidRPr="00862061" w:rsidRDefault="00DC7F92" w:rsidP="004D22FA">
      <w:pPr>
        <w:widowControl w:val="0"/>
        <w:numPr>
          <w:ilvl w:val="0"/>
          <w:numId w:val="28"/>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1C7B9773"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Остваривање власничких права државе, сходно смерницама OECD, треба да буде јасно идентификовано. Усвојена је </w:t>
      </w:r>
      <w:r w:rsidRPr="00862061">
        <w:rPr>
          <w:rFonts w:eastAsia="Times New Roman" w:cs="Times New Roman"/>
          <w:i/>
          <w:szCs w:val="24"/>
          <w:lang w:val="sr-Cyrl-RS"/>
        </w:rPr>
        <w:t xml:space="preserve">Стратегија државног власништва и управљања привредним субјектима који су у власништву Републике Србије за период 2021-2027. </w:t>
      </w:r>
      <w:r w:rsidRPr="00862061">
        <w:rPr>
          <w:rFonts w:eastAsia="Times New Roman" w:cs="Times New Roman"/>
          <w:szCs w:val="24"/>
          <w:lang w:val="sr-Cyrl-RS"/>
        </w:rPr>
        <w:t xml:space="preserve">(даље: Стратегија) и </w:t>
      </w:r>
      <w:r w:rsidRPr="00862061">
        <w:rPr>
          <w:rFonts w:eastAsia="Times New Roman" w:cs="Times New Roman"/>
          <w:i/>
          <w:szCs w:val="24"/>
          <w:lang w:val="sr-Cyrl-RS"/>
        </w:rPr>
        <w:t>Акциони план за спровођење Стратег</w:t>
      </w:r>
      <w:r>
        <w:rPr>
          <w:rFonts w:eastAsia="Times New Roman" w:cs="Times New Roman"/>
          <w:i/>
          <w:szCs w:val="24"/>
          <w:lang w:val="sr-Cyrl-RS"/>
        </w:rPr>
        <w:t>иј</w:t>
      </w:r>
      <w:r w:rsidRPr="00862061">
        <w:rPr>
          <w:rFonts w:eastAsia="Times New Roman" w:cs="Times New Roman"/>
          <w:i/>
          <w:szCs w:val="24"/>
          <w:lang w:val="sr-Cyrl-RS"/>
        </w:rPr>
        <w:t xml:space="preserve">е у периоду 2021-2023. </w:t>
      </w:r>
      <w:r w:rsidRPr="00862061">
        <w:rPr>
          <w:rFonts w:eastAsia="Times New Roman" w:cs="Times New Roman"/>
          <w:szCs w:val="24"/>
          <w:lang w:val="sr-Cyrl-RS"/>
        </w:rPr>
        <w:t xml:space="preserve">(даље: Акциони план). </w:t>
      </w:r>
    </w:p>
    <w:p w14:paraId="4C6DE0BB"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Сходно Акционом плану, у наредном периоду ће бити спроведена анализа прописа, које ПСРС примењују у раду, ради припреме основе за израду новог правног оквира за реализацију Стратегије. Такође, биће установљена централизована база података свих ПСРС и извршена њихова класификација. У циљу унапређења корпоративног управљања, између осталог, биће спроведена анализа стања за успостављање јединственог система за корпоративно управљање.</w:t>
      </w:r>
      <w:r w:rsidRPr="00862061">
        <w:rPr>
          <w:rFonts w:eastAsia="Times New Roman" w:cs="Times New Roman"/>
          <w:szCs w:val="24"/>
          <w:lang w:val="sr-Latn-RS"/>
        </w:rPr>
        <w:t xml:space="preserve"> </w:t>
      </w:r>
      <w:r w:rsidRPr="00862061">
        <w:rPr>
          <w:rFonts w:eastAsia="Times New Roman" w:cs="Times New Roman"/>
          <w:szCs w:val="24"/>
          <w:lang w:val="sr-Cyrl-RS"/>
        </w:rPr>
        <w:t xml:space="preserve">Реформом се доприноси остварењу </w:t>
      </w:r>
      <w:r w:rsidRPr="00862061">
        <w:rPr>
          <w:rFonts w:eastAsia="Times New Roman" w:cs="Times New Roman"/>
          <w:b/>
          <w:szCs w:val="24"/>
          <w:lang w:val="sr-Cyrl-RS"/>
        </w:rPr>
        <w:t>ЦОР 16.7.</w:t>
      </w:r>
      <w:r w:rsidRPr="00862061">
        <w:rPr>
          <w:rFonts w:eastAsia="Times New Roman" w:cs="Times New Roman"/>
          <w:szCs w:val="24"/>
          <w:lang w:val="sr-Cyrl-RS"/>
        </w:rPr>
        <w:t xml:space="preserve"> - Одговорно и партиципативно доношење одлука.</w:t>
      </w:r>
    </w:p>
    <w:p w14:paraId="2E534A7D"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0040386A"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C5D6E1C"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755F3B3"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7772F776"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08C571E"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auto"/>
            </w:tcBorders>
            <w:shd w:val="clear" w:color="auto" w:fill="auto"/>
            <w:vAlign w:val="center"/>
            <w:hideMark/>
          </w:tcPr>
          <w:p w14:paraId="72F6C714"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7BA5BF58" w14:textId="77777777"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14:paraId="3AC0EE95"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14:paraId="168DAD30"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auto"/>
            <w:vAlign w:val="center"/>
            <w:hideMark/>
          </w:tcPr>
          <w:p w14:paraId="5439D13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491D2A5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7EED236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6A73957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6F3A8E1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3469CC3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59CD2FE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2FB29DE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7260BEF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048A38D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45B2307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5FF957A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1198E653"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20AA8CF4"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1</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49EE3B6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Анализа прописа, које примењују ПСРС и израда и усвајање новог правног оквира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5369417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8027AA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22755F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1A1AD38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230DAB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743C36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DABF1D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486B05B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4CC6907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8A05F3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B72DB1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404AD34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56AEF90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1C8BE38"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7D36296E"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централизоване базе података свих ПСРС и извршена класификација ПСРС</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1E05EE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7A61DE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AD54FF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46AF53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64E9B3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A4A0E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6BECD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0E4A84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17B9F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C46890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03D04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258E0A4"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C14950B" w14:textId="77777777" w:rsidTr="00DC7F92">
        <w:trPr>
          <w:trHeight w:val="300"/>
        </w:trPr>
        <w:tc>
          <w:tcPr>
            <w:tcW w:w="426" w:type="dxa"/>
            <w:tcBorders>
              <w:top w:val="single" w:sz="4" w:space="0" w:color="auto"/>
              <w:left w:val="single" w:sz="8" w:space="0" w:color="auto"/>
              <w:bottom w:val="single" w:sz="8" w:space="0" w:color="auto"/>
              <w:right w:val="nil"/>
            </w:tcBorders>
            <w:shd w:val="clear" w:color="auto" w:fill="auto"/>
          </w:tcPr>
          <w:p w14:paraId="1194485A"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3</w:t>
            </w:r>
          </w:p>
        </w:tc>
        <w:tc>
          <w:tcPr>
            <w:tcW w:w="4120" w:type="dxa"/>
            <w:tcBorders>
              <w:top w:val="single" w:sz="4" w:space="0" w:color="auto"/>
              <w:left w:val="single" w:sz="8" w:space="0" w:color="auto"/>
              <w:bottom w:val="single" w:sz="8" w:space="0" w:color="auto"/>
              <w:right w:val="nil"/>
            </w:tcBorders>
            <w:shd w:val="clear" w:color="auto" w:fill="auto"/>
          </w:tcPr>
          <w:p w14:paraId="00A8712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Анализа стања за успостављање јединственог система за корпоративно управљање у ПСРС</w:t>
            </w: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14:paraId="590896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3986010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64E1B37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41ADF0B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48F836D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755D46F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1679A3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53903F9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FE513D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72372CF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49C413D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0239BD02" w14:textId="77777777" w:rsidR="00DC7F92" w:rsidRPr="00862061" w:rsidRDefault="00DC7F92" w:rsidP="00DC7F92">
            <w:pPr>
              <w:spacing w:after="0"/>
              <w:jc w:val="center"/>
              <w:rPr>
                <w:rFonts w:eastAsia="Times New Roman" w:cs="Times New Roman"/>
                <w:sz w:val="20"/>
                <w:szCs w:val="20"/>
                <w:lang w:val="sr-Cyrl-RS"/>
              </w:rPr>
            </w:pPr>
          </w:p>
        </w:tc>
      </w:tr>
    </w:tbl>
    <w:p w14:paraId="3CA6C45B" w14:textId="77777777" w:rsidR="00DC7F92" w:rsidRPr="00862061" w:rsidRDefault="00DC7F92" w:rsidP="00DC7F92">
      <w:pPr>
        <w:widowControl w:val="0"/>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w:t>
      </w:r>
      <w:r w:rsidRPr="00862061">
        <w:rPr>
          <w:rFonts w:ascii="Calibri" w:eastAsia="Calibri" w:hAnsi="Calibri" w:cs="Times New Roman"/>
        </w:rPr>
        <w:t xml:space="preserve"> </w:t>
      </w:r>
      <w:r w:rsidRPr="00862061">
        <w:rPr>
          <w:rFonts w:eastAsia="Calibri" w:cs="Times New Roman"/>
          <w:sz w:val="20"/>
          <w:szCs w:val="20"/>
          <w:lang w:val="sr-Cyrl-RS" w:eastAsia="sr-Cyrl-CS" w:bidi="sr-Cyrl-CS"/>
        </w:rPr>
        <w:t>Активности након 2023. ће бити дефинисане Акционим плановима за период после 2023. године.</w:t>
      </w:r>
    </w:p>
    <w:p w14:paraId="64C79D1D" w14:textId="77777777" w:rsidR="00DC7F92" w:rsidRPr="00862061" w:rsidRDefault="00DC7F92" w:rsidP="004D22FA">
      <w:pPr>
        <w:widowControl w:val="0"/>
        <w:numPr>
          <w:ilvl w:val="0"/>
          <w:numId w:val="28"/>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248"/>
        <w:gridCol w:w="1700"/>
        <w:gridCol w:w="1843"/>
        <w:gridCol w:w="1843"/>
      </w:tblGrid>
      <w:tr w:rsidR="00DC7F92" w:rsidRPr="00862061" w14:paraId="4902A2B5" w14:textId="77777777" w:rsidTr="00DC7F92">
        <w:tc>
          <w:tcPr>
            <w:tcW w:w="4248" w:type="dxa"/>
            <w:vAlign w:val="center"/>
          </w:tcPr>
          <w:p w14:paraId="58E35B5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lastRenderedPageBreak/>
              <w:t>Показатељ</w:t>
            </w:r>
          </w:p>
        </w:tc>
        <w:tc>
          <w:tcPr>
            <w:tcW w:w="1700" w:type="dxa"/>
            <w:vAlign w:val="center"/>
          </w:tcPr>
          <w:p w14:paraId="25350C54"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(2020)</w:t>
            </w:r>
          </w:p>
        </w:tc>
        <w:tc>
          <w:tcPr>
            <w:tcW w:w="1843" w:type="dxa"/>
            <w:vAlign w:val="center"/>
          </w:tcPr>
          <w:p w14:paraId="7F26AA8F"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(2022)</w:t>
            </w:r>
          </w:p>
        </w:tc>
        <w:tc>
          <w:tcPr>
            <w:tcW w:w="1843" w:type="dxa"/>
            <w:vAlign w:val="center"/>
          </w:tcPr>
          <w:p w14:paraId="096A2B0F"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(2023)</w:t>
            </w:r>
          </w:p>
        </w:tc>
      </w:tr>
      <w:tr w:rsidR="00DC7F92" w:rsidRPr="00862061" w14:paraId="0D77A476" w14:textId="77777777" w:rsidTr="00DC7F92">
        <w:trPr>
          <w:trHeight w:val="284"/>
        </w:trPr>
        <w:tc>
          <w:tcPr>
            <w:tcW w:w="4248" w:type="dxa"/>
          </w:tcPr>
          <w:p w14:paraId="0528E5CE" w14:textId="77777777" w:rsidR="00DC7F92" w:rsidRPr="00862061" w:rsidRDefault="00DC7F92" w:rsidP="001F4238">
            <w:pPr>
              <w:spacing w:after="0"/>
              <w:rPr>
                <w:rFonts w:eastAsia="Times New Roman"/>
                <w:sz w:val="20"/>
                <w:szCs w:val="20"/>
              </w:rPr>
            </w:pPr>
            <w:r w:rsidRPr="00862061">
              <w:rPr>
                <w:rFonts w:eastAsia="Times New Roman"/>
                <w:sz w:val="20"/>
                <w:szCs w:val="20"/>
              </w:rPr>
              <w:t>Израђен нов правни оквир (закони и подзаконски акти) који се примењује на ПСРС</w:t>
            </w:r>
          </w:p>
        </w:tc>
        <w:tc>
          <w:tcPr>
            <w:tcW w:w="1700" w:type="dxa"/>
          </w:tcPr>
          <w:p w14:paraId="0D04C078"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не</w:t>
            </w:r>
          </w:p>
        </w:tc>
        <w:tc>
          <w:tcPr>
            <w:tcW w:w="1843" w:type="dxa"/>
          </w:tcPr>
          <w:p w14:paraId="0A586AA7"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c>
          <w:tcPr>
            <w:tcW w:w="1843" w:type="dxa"/>
          </w:tcPr>
          <w:p w14:paraId="7D003ED6"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r>
      <w:tr w:rsidR="00DC7F92" w:rsidRPr="00862061" w14:paraId="291CAC29" w14:textId="77777777" w:rsidTr="00DC7F92">
        <w:trPr>
          <w:trHeight w:val="284"/>
        </w:trPr>
        <w:tc>
          <w:tcPr>
            <w:tcW w:w="4248" w:type="dxa"/>
          </w:tcPr>
          <w:p w14:paraId="41ECFB23" w14:textId="77777777" w:rsidR="00DC7F92" w:rsidRPr="00862061" w:rsidRDefault="00DC7F92" w:rsidP="001F4238">
            <w:pPr>
              <w:spacing w:after="0"/>
              <w:rPr>
                <w:rFonts w:eastAsia="Times New Roman"/>
                <w:sz w:val="20"/>
                <w:szCs w:val="20"/>
              </w:rPr>
            </w:pPr>
            <w:r w:rsidRPr="00862061">
              <w:rPr>
                <w:rFonts w:eastAsia="Times New Roman"/>
                <w:sz w:val="20"/>
                <w:szCs w:val="20"/>
              </w:rPr>
              <w:t>Успостављена база података ПСРС и извршена класификација ПСРС</w:t>
            </w:r>
          </w:p>
        </w:tc>
        <w:tc>
          <w:tcPr>
            <w:tcW w:w="1700" w:type="dxa"/>
          </w:tcPr>
          <w:p w14:paraId="3B6B575D"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не</w:t>
            </w:r>
          </w:p>
        </w:tc>
        <w:tc>
          <w:tcPr>
            <w:tcW w:w="1843" w:type="dxa"/>
          </w:tcPr>
          <w:p w14:paraId="200368F9"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c>
          <w:tcPr>
            <w:tcW w:w="1843" w:type="dxa"/>
          </w:tcPr>
          <w:p w14:paraId="3DDED84C"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r>
      <w:tr w:rsidR="00DC7F92" w:rsidRPr="00862061" w14:paraId="77D1FC11" w14:textId="77777777" w:rsidTr="00DC7F92">
        <w:trPr>
          <w:trHeight w:val="284"/>
        </w:trPr>
        <w:tc>
          <w:tcPr>
            <w:tcW w:w="4248" w:type="dxa"/>
          </w:tcPr>
          <w:p w14:paraId="4C055E7C" w14:textId="77777777" w:rsidR="00DC7F92" w:rsidRPr="00862061" w:rsidRDefault="00DC7F92" w:rsidP="001F4238">
            <w:pPr>
              <w:spacing w:after="0"/>
              <w:rPr>
                <w:rFonts w:eastAsia="Times New Roman"/>
                <w:sz w:val="20"/>
                <w:szCs w:val="20"/>
              </w:rPr>
            </w:pPr>
            <w:r w:rsidRPr="00862061">
              <w:rPr>
                <w:rFonts w:eastAsia="Times New Roman"/>
                <w:sz w:val="20"/>
                <w:szCs w:val="20"/>
              </w:rPr>
              <w:t>Проценат ПСРС у којима је успостављен систем корпоративног управљања</w:t>
            </w:r>
          </w:p>
        </w:tc>
        <w:tc>
          <w:tcPr>
            <w:tcW w:w="1700" w:type="dxa"/>
          </w:tcPr>
          <w:p w14:paraId="0506A0BA"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недоступни подаци</w:t>
            </w:r>
          </w:p>
        </w:tc>
        <w:tc>
          <w:tcPr>
            <w:tcW w:w="1843" w:type="dxa"/>
          </w:tcPr>
          <w:p w14:paraId="6A50C5B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tcPr>
          <w:p w14:paraId="37BD64D4"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12%</w:t>
            </w:r>
          </w:p>
        </w:tc>
      </w:tr>
    </w:tbl>
    <w:p w14:paraId="4DC01D53" w14:textId="77777777" w:rsidR="00DC7F92" w:rsidRPr="005700A7" w:rsidRDefault="00DC7F92" w:rsidP="00DC7F92">
      <w:pPr>
        <w:widowControl w:val="0"/>
        <w:spacing w:before="120"/>
        <w:rPr>
          <w:rFonts w:eastAsia="Calibri" w:cs="Times New Roman"/>
          <w:sz w:val="20"/>
          <w:szCs w:val="20"/>
          <w:lang w:val="sr-Cyrl-RS" w:eastAsia="sr-Cyrl-CS" w:bidi="sr-Cyrl-CS"/>
        </w:rPr>
      </w:pPr>
      <w:r>
        <w:rPr>
          <w:rFonts w:eastAsia="Calibri" w:cs="Times New Roman"/>
          <w:sz w:val="20"/>
          <w:szCs w:val="20"/>
          <w:lang w:val="sr-Cyrl-RS" w:eastAsia="sr-Cyrl-CS" w:bidi="sr-Cyrl-CS"/>
        </w:rPr>
        <w:t>*Предложена мера је нова, са становишта ЕРП</w:t>
      </w:r>
      <w:r>
        <w:rPr>
          <w:rFonts w:eastAsia="Calibri" w:cs="Times New Roman"/>
          <w:sz w:val="20"/>
          <w:szCs w:val="20"/>
          <w:lang w:eastAsia="sr-Cyrl-CS" w:bidi="sr-Cyrl-CS"/>
        </w:rPr>
        <w:t>-</w:t>
      </w:r>
      <w:r>
        <w:rPr>
          <w:rFonts w:eastAsia="Calibri" w:cs="Times New Roman"/>
          <w:sz w:val="20"/>
          <w:szCs w:val="20"/>
          <w:lang w:val="sr-Cyrl-RS" w:eastAsia="sr-Cyrl-CS" w:bidi="sr-Cyrl-CS"/>
        </w:rPr>
        <w:t xml:space="preserve">а, али се иста спроводи од 2021. године. Из наведеног разлога, као базна година је узета 2020. година. </w:t>
      </w:r>
    </w:p>
    <w:p w14:paraId="5E31CA73"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37307AB0"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Неуједначен правни оквир у коме послују ПСРС треба да буде промењен, како би се успоставила централизована власничка функција државе. Централизовани власнички ентитет омогућиће транспарентнији систем надзора и ефикасније спровођење јавних политика.</w:t>
      </w:r>
    </w:p>
    <w:p w14:paraId="59DF94C4"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Квалитетно корпоративно управљање смањује информациону асиметрију између власника и управе, чиме се појачава мониторинг, олакшава процес привлачења капитала, доприноси јачању поверења у финансијски систем.</w:t>
      </w:r>
    </w:p>
    <w:p w14:paraId="715B1371"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4E05DA00" w14:textId="77777777" w:rsidR="00DC7F92" w:rsidRDefault="00DC7F92" w:rsidP="00DC7F92">
      <w:pPr>
        <w:widowControl w:val="0"/>
        <w:spacing w:after="60"/>
        <w:rPr>
          <w:rFonts w:eastAsia="Times New Roman" w:cs="Times New Roman"/>
          <w:szCs w:val="24"/>
          <w:lang w:val="sr-Cyrl-RS"/>
        </w:rPr>
      </w:pPr>
      <w:r>
        <w:rPr>
          <w:rFonts w:eastAsia="Times New Roman" w:cs="Times New Roman"/>
          <w:szCs w:val="24"/>
          <w:lang w:val="sr-Cyrl-RS"/>
        </w:rPr>
        <w:t xml:space="preserve">Предложена мера подразумева инситуционалну реформу, која ће се спроводити са постојећим кадровима и постојећом опремом, тако да за њено спровођење нису потребни додатни трошкови. </w:t>
      </w:r>
    </w:p>
    <w:p w14:paraId="518906E5" w14:textId="77777777" w:rsidR="00DC7F92" w:rsidRPr="003231A9" w:rsidRDefault="00DC7F92" w:rsidP="004D22FA">
      <w:pPr>
        <w:widowControl w:val="0"/>
        <w:numPr>
          <w:ilvl w:val="0"/>
          <w:numId w:val="28"/>
        </w:numPr>
        <w:spacing w:before="120"/>
        <w:rPr>
          <w:rFonts w:eastAsia="Calibri" w:cs="Times New Roman"/>
          <w:b/>
          <w:szCs w:val="24"/>
          <w:lang w:val="sr-Cyrl-RS" w:eastAsia="sr-Cyrl-CS" w:bidi="sr-Cyrl-CS"/>
        </w:rPr>
      </w:pPr>
      <w:r w:rsidRPr="003231A9">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0DA5151"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Транспарентнији систем надзора над ПСРС доприноси ефикаснијем спровођењу јавних политика, а самим тим, индиректно, побољшању конкурентности и порасту животног стандарда.</w:t>
      </w:r>
    </w:p>
    <w:p w14:paraId="226E46E7"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7BA2C16A"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Предложена реформа је неутрална у односу на животну средину и климатске промене.</w:t>
      </w:r>
    </w:p>
    <w:p w14:paraId="2DE2F3DF"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3950B030" w14:textId="77777777" w:rsidTr="00DC7F92">
        <w:trPr>
          <w:trHeight w:val="421"/>
        </w:trPr>
        <w:tc>
          <w:tcPr>
            <w:tcW w:w="3329" w:type="dxa"/>
            <w:vAlign w:val="center"/>
          </w:tcPr>
          <w:p w14:paraId="76B28F4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3B3035E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4391540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038EFEC1" w14:textId="77777777" w:rsidTr="00DC7F92">
        <w:trPr>
          <w:trHeight w:val="429"/>
        </w:trPr>
        <w:tc>
          <w:tcPr>
            <w:tcW w:w="3329" w:type="dxa"/>
          </w:tcPr>
          <w:p w14:paraId="6783E4A5"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Неуједначеност и обухват правног оквира, који уређује функционисање ПСРС</w:t>
            </w:r>
          </w:p>
        </w:tc>
        <w:tc>
          <w:tcPr>
            <w:tcW w:w="2200" w:type="dxa"/>
          </w:tcPr>
          <w:p w14:paraId="49E78B85"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14:paraId="52E057A4"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Укључивање ресорних министарства и надлежних органа у процес увођења новог правног оквира.</w:t>
            </w:r>
          </w:p>
        </w:tc>
      </w:tr>
      <w:tr w:rsidR="00DC7F92" w:rsidRPr="00862061" w14:paraId="0850B475" w14:textId="77777777" w:rsidTr="00DC7F92">
        <w:trPr>
          <w:trHeight w:val="536"/>
        </w:trPr>
        <w:tc>
          <w:tcPr>
            <w:tcW w:w="3329" w:type="dxa"/>
          </w:tcPr>
          <w:p w14:paraId="1FCFF33A"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 xml:space="preserve">Капацитет и расположивост ресурса у ПСРС неопходних за успостављање јединственог система корпоративног управљања </w:t>
            </w:r>
          </w:p>
        </w:tc>
        <w:tc>
          <w:tcPr>
            <w:tcW w:w="2200" w:type="dxa"/>
          </w:tcPr>
          <w:p w14:paraId="07B2CBFE"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14:paraId="71489388"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Креирање промотивне платформе за тренинге из области корпоративног управљања и успостављање система усавршавања из области корпоративног управљања органа управљања ПСРС.</w:t>
            </w:r>
          </w:p>
        </w:tc>
      </w:tr>
    </w:tbl>
    <w:p w14:paraId="1B279D49" w14:textId="77777777" w:rsidR="00DC7F92" w:rsidRPr="00862061" w:rsidRDefault="00DC7F92" w:rsidP="00DC7F92">
      <w:pPr>
        <w:spacing w:after="60"/>
        <w:rPr>
          <w:rFonts w:eastAsia="Calibri" w:cs="Times New Roman"/>
          <w:szCs w:val="24"/>
          <w:lang w:val="sr-Cyrl-CS"/>
        </w:rPr>
      </w:pPr>
    </w:p>
    <w:p w14:paraId="59C9B683" w14:textId="67E7BE19"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6</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РАЗВОЈ ДОМАЋЕГ ТРЖИШТА КАПИТАЛА КРОЗ УВОЂЕЊЕ НОВИХ ПРАВНИХ ИНСТИТУТА И ОБЕЗБЕЂИВАЊЕ ВЕЋЕГ СТЕПЕНА ЗАШТИТЕ ИНВЕСТИТОРА</w:t>
      </w:r>
    </w:p>
    <w:p w14:paraId="2A6B93E3"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C152C33"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У циљу јачања тржишта капитала, побољшања пословног окружења и пружања подршке приватном сектору, посебно у периоду који је додатно оптерећен изазовима због </w:t>
      </w:r>
      <w:r w:rsidRPr="00862061">
        <w:rPr>
          <w:rFonts w:eastAsia="Times New Roman" w:cs="Times New Roman"/>
          <w:szCs w:val="24"/>
          <w:lang w:val="sr-Cyrl-RS"/>
        </w:rPr>
        <w:lastRenderedPageBreak/>
        <w:t>пандемије Ковид 19, предметном структурном реформом је предвиђено да ће Република Србија развити конкурентно, високо ефикасно, транспарентно и продуктивно тржиште капитала са широким спектром финансијских инструмената и услуга, упоредиво са водећим регионалним и европским финансијским тржиштима. Циљ је креирање и развој финансијских института кој</w:t>
      </w:r>
      <w:r>
        <w:rPr>
          <w:rFonts w:eastAsia="Times New Roman" w:cs="Times New Roman"/>
          <w:szCs w:val="24"/>
          <w:lang w:val="sr-Cyrl-RS"/>
        </w:rPr>
        <w:t>и</w:t>
      </w:r>
      <w:r w:rsidRPr="00862061">
        <w:rPr>
          <w:rFonts w:eastAsia="Times New Roman" w:cs="Times New Roman"/>
          <w:szCs w:val="24"/>
          <w:lang w:val="sr-Cyrl-RS"/>
        </w:rPr>
        <w:t xml:space="preserve"> се нуде на тржишту капитала, ради повећања атрактивности домаћег тржишта како за домаће, тако и за стране инвеститоре. Повећањем транспарентности и квалитета финансијских инструмената вратиће се поверење инвеститора у тржиште, а што ће последично позитивно утицати на повећање броја учесника на домаћем тржишту и на одржив економски раст. Усклађивањем домаћег правног и институционалног оквира са правним тековинама ЕУ обезбедиће се већи степен заштите инвеститора и повећаће се ефикасност тржишта капитала, обезбеђујући већу јасноћу правне регулативе и већи степен правне сигурности. Реформа се у највећој мери базира на Стратегији за развој тржишта капитала за период 2021-2026.</w:t>
      </w:r>
    </w:p>
    <w:p w14:paraId="534D9E5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Ова структурна реформа ће допринети остварењу </w:t>
      </w:r>
      <w:r w:rsidRPr="00862061">
        <w:rPr>
          <w:rFonts w:eastAsia="Times New Roman" w:cs="Times New Roman"/>
          <w:b/>
          <w:szCs w:val="24"/>
          <w:lang w:val="sr-Cyrl-RS"/>
        </w:rPr>
        <w:t>ЦОР 8</w:t>
      </w:r>
      <w:r w:rsidRPr="00862061">
        <w:rPr>
          <w:rFonts w:eastAsia="Times New Roman" w:cs="Times New Roman"/>
          <w:szCs w:val="24"/>
          <w:lang w:val="sr-Cyrl-RS"/>
        </w:rPr>
        <w:t xml:space="preserve"> - Промовисати континуиран, инклузиван и одржив економски раст, пуну и продуктивну запосленост и достојанствен рад за све, потциља </w:t>
      </w:r>
      <w:r w:rsidRPr="00862061">
        <w:rPr>
          <w:rFonts w:eastAsia="Times New Roman" w:cs="Times New Roman"/>
          <w:b/>
          <w:szCs w:val="24"/>
          <w:lang w:val="sr-Cyrl-RS"/>
        </w:rPr>
        <w:t>8.3</w:t>
      </w:r>
      <w:r w:rsidRPr="00862061">
        <w:rPr>
          <w:rFonts w:eastAsia="Times New Roman" w:cs="Times New Roman"/>
          <w:szCs w:val="24"/>
          <w:lang w:val="sr-Cyrl-RS"/>
        </w:rPr>
        <w:t xml:space="preserve"> - 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14:paraId="63BFFBD1"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0D87345D"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572C7211"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5F20DAA7"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A7128C4"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235907D"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BF4E878"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757D79C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16F0956D"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6A12E92"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108464D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21C6E3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7BDB22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367C75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F578AF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C7B9D5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D51055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8471E3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B60148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00151D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7DAE9A05"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E57B31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22B7187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9B4AE23"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53896A6D"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Доношњење Закона о тржишту капитала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9C4BF2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BE5EFB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F293FC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C8187E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0472FB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5FF2D7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97F225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D5538B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6DF83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AD8E64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E06C20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44F5685"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DA04D6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5315EB8"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320BB779"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нових правних института у области тржишта капитала (везани заступници, систематски интернализатори, организована трговачка платформа ОТП, систем одобрених објава, односно АПА)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68A75C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D4039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89AA49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FA88AB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FDF981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FDA174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CBABFE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35FD51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E7F59C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A31F0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AE90D5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9B1308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AFA147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9C5C9B3"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03D79FE3"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Доношење Акционог плана за спровођење Стратегије за развој тржишта капитала за период 2021-2026. године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21D825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11ED46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6C7F44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FF3056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922664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7BA9E4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57575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ABDC7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AB682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C660B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C7995E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F7808E5"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2BD6E2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6EF891E"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5E6C4213"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Доношење Закона о преузимању акционарских друштава и подзаконских аката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A2FCE9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160C3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3E06AC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36D66B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709DE6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A52B0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B703B5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BA1D20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A04005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68CAA8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D777A2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B95F3FA"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E98B5BB"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83787B7"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single" w:sz="8" w:space="0" w:color="auto"/>
              <w:bottom w:val="single" w:sz="4" w:space="0" w:color="auto"/>
              <w:right w:val="nil"/>
            </w:tcBorders>
            <w:shd w:val="clear" w:color="auto" w:fill="auto"/>
          </w:tcPr>
          <w:p w14:paraId="255E3E2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Јачање капацитета за обављање нормативних послова у области тржишта капитала</w:t>
            </w:r>
          </w:p>
        </w:tc>
        <w:tc>
          <w:tcPr>
            <w:tcW w:w="422" w:type="dxa"/>
            <w:tcBorders>
              <w:top w:val="nil"/>
              <w:left w:val="single" w:sz="8" w:space="0" w:color="auto"/>
              <w:bottom w:val="single" w:sz="4" w:space="0" w:color="auto"/>
              <w:right w:val="single" w:sz="4" w:space="0" w:color="auto"/>
            </w:tcBorders>
            <w:shd w:val="clear" w:color="auto" w:fill="auto"/>
            <w:vAlign w:val="center"/>
          </w:tcPr>
          <w:p w14:paraId="2B82A99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EB00C3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2D2AE4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77552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ADE8D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6F571D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11DFAA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62500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4902A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9AEE2B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53CE65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C5E7419" w14:textId="77777777" w:rsidR="00DC7F92" w:rsidRPr="00862061" w:rsidRDefault="00DC7F92" w:rsidP="00DC7F92">
            <w:pPr>
              <w:spacing w:after="0"/>
              <w:jc w:val="center"/>
              <w:rPr>
                <w:rFonts w:eastAsia="Times New Roman" w:cs="Times New Roman"/>
                <w:sz w:val="20"/>
                <w:szCs w:val="20"/>
                <w:lang w:val="sr-Cyrl-RS"/>
              </w:rPr>
            </w:pPr>
          </w:p>
        </w:tc>
      </w:tr>
    </w:tbl>
    <w:p w14:paraId="138087D3"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41140C56" w14:textId="77777777" w:rsidTr="00DC7F92">
        <w:tc>
          <w:tcPr>
            <w:tcW w:w="4106" w:type="dxa"/>
            <w:vAlign w:val="center"/>
          </w:tcPr>
          <w:p w14:paraId="44E768A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7CA738BE"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w:t>
            </w:r>
            <w:r w:rsidRPr="00862061">
              <w:rPr>
                <w:rFonts w:eastAsia="Calibri"/>
                <w:b/>
                <w:sz w:val="20"/>
                <w:szCs w:val="20"/>
                <w:lang w:val="sr-Latn-ME"/>
              </w:rPr>
              <w:t>2020</w:t>
            </w:r>
            <w:r w:rsidRPr="00862061">
              <w:rPr>
                <w:rFonts w:eastAsia="Calibri"/>
                <w:b/>
                <w:sz w:val="20"/>
                <w:szCs w:val="20"/>
                <w:lang w:val="sr-Cyrl-RS"/>
              </w:rPr>
              <w:t>)</w:t>
            </w:r>
          </w:p>
        </w:tc>
        <w:tc>
          <w:tcPr>
            <w:tcW w:w="1843" w:type="dxa"/>
            <w:vAlign w:val="center"/>
          </w:tcPr>
          <w:p w14:paraId="3638BBF2"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w:t>
            </w:r>
            <w:r w:rsidRPr="00862061">
              <w:rPr>
                <w:rFonts w:eastAsia="Calibri"/>
                <w:b/>
                <w:sz w:val="20"/>
                <w:szCs w:val="20"/>
                <w:lang w:val="sr-Latn-ME"/>
              </w:rPr>
              <w:t>2023</w:t>
            </w:r>
            <w:r w:rsidRPr="00862061">
              <w:rPr>
                <w:rFonts w:eastAsia="Calibri"/>
                <w:b/>
                <w:sz w:val="20"/>
                <w:szCs w:val="20"/>
                <w:lang w:val="sr-Cyrl-RS"/>
              </w:rPr>
              <w:t>)</w:t>
            </w:r>
          </w:p>
        </w:tc>
        <w:tc>
          <w:tcPr>
            <w:tcW w:w="1843" w:type="dxa"/>
            <w:vAlign w:val="center"/>
          </w:tcPr>
          <w:p w14:paraId="398F148C"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w:t>
            </w:r>
            <w:r w:rsidRPr="00862061">
              <w:rPr>
                <w:rFonts w:eastAsia="Calibri"/>
                <w:b/>
                <w:sz w:val="20"/>
                <w:szCs w:val="20"/>
                <w:lang w:val="sr-Latn-ME"/>
              </w:rPr>
              <w:t>2024</w:t>
            </w:r>
            <w:r w:rsidRPr="00862061">
              <w:rPr>
                <w:rFonts w:eastAsia="Calibri"/>
                <w:b/>
                <w:sz w:val="20"/>
                <w:szCs w:val="20"/>
                <w:lang w:val="sr-Cyrl-RS"/>
              </w:rPr>
              <w:t>)</w:t>
            </w:r>
          </w:p>
        </w:tc>
      </w:tr>
      <w:tr w:rsidR="00DC7F92" w:rsidRPr="00862061" w14:paraId="71DB274E" w14:textId="77777777" w:rsidTr="00DC7F92">
        <w:trPr>
          <w:trHeight w:val="284"/>
        </w:trPr>
        <w:tc>
          <w:tcPr>
            <w:tcW w:w="4106" w:type="dxa"/>
          </w:tcPr>
          <w:p w14:paraId="392A120A" w14:textId="77777777" w:rsidR="00DC7F92" w:rsidRPr="00862061" w:rsidRDefault="00DC7F92" w:rsidP="001F4238">
            <w:pPr>
              <w:spacing w:after="0"/>
              <w:rPr>
                <w:rFonts w:eastAsia="Times New Roman"/>
                <w:sz w:val="20"/>
                <w:szCs w:val="20"/>
              </w:rPr>
            </w:pPr>
            <w:r w:rsidRPr="00862061">
              <w:rPr>
                <w:rFonts w:eastAsia="Times New Roman"/>
                <w:sz w:val="20"/>
                <w:szCs w:val="20"/>
              </w:rPr>
              <w:t>Нови правни институти у националној регулативи у области тржишта капитала (везани заступници, организована трговачка платформа, систем одобрених објава)</w:t>
            </w:r>
          </w:p>
        </w:tc>
        <w:tc>
          <w:tcPr>
            <w:tcW w:w="1842" w:type="dxa"/>
          </w:tcPr>
          <w:p w14:paraId="1E02D876"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tcPr>
          <w:p w14:paraId="6E36DDA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4</w:t>
            </w:r>
          </w:p>
        </w:tc>
        <w:tc>
          <w:tcPr>
            <w:tcW w:w="1843" w:type="dxa"/>
          </w:tcPr>
          <w:p w14:paraId="49E1ADF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4</w:t>
            </w:r>
          </w:p>
        </w:tc>
      </w:tr>
      <w:tr w:rsidR="00DC7F92" w:rsidRPr="00862061" w14:paraId="022E875B" w14:textId="77777777" w:rsidTr="00DC7F92">
        <w:trPr>
          <w:trHeight w:val="284"/>
        </w:trPr>
        <w:tc>
          <w:tcPr>
            <w:tcW w:w="4106" w:type="dxa"/>
          </w:tcPr>
          <w:p w14:paraId="7F7FC7FA"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rPr>
              <w:t>Повећање тржишне капитализације Београдске берзе</w:t>
            </w:r>
            <w:r w:rsidRPr="00862061">
              <w:rPr>
                <w:rFonts w:eastAsia="Times New Roman"/>
                <w:sz w:val="20"/>
                <w:szCs w:val="20"/>
                <w:lang w:val="sr-Cyrl-RS"/>
              </w:rPr>
              <w:t>, у млрд. ЕУР</w:t>
            </w:r>
          </w:p>
        </w:tc>
        <w:tc>
          <w:tcPr>
            <w:tcW w:w="1842" w:type="dxa"/>
          </w:tcPr>
          <w:p w14:paraId="6427D0B5" w14:textId="77777777"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4,36</w:t>
            </w:r>
          </w:p>
        </w:tc>
        <w:tc>
          <w:tcPr>
            <w:tcW w:w="1843" w:type="dxa"/>
          </w:tcPr>
          <w:p w14:paraId="667E9894" w14:textId="77777777"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6,25</w:t>
            </w:r>
          </w:p>
        </w:tc>
        <w:tc>
          <w:tcPr>
            <w:tcW w:w="1843" w:type="dxa"/>
          </w:tcPr>
          <w:p w14:paraId="21B04407" w14:textId="77777777"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8,33</w:t>
            </w:r>
          </w:p>
        </w:tc>
      </w:tr>
      <w:tr w:rsidR="00DC7F92" w:rsidRPr="00862061" w14:paraId="557773EE" w14:textId="77777777" w:rsidTr="00DC7F92">
        <w:trPr>
          <w:trHeight w:val="284"/>
        </w:trPr>
        <w:tc>
          <w:tcPr>
            <w:tcW w:w="4106" w:type="dxa"/>
          </w:tcPr>
          <w:p w14:paraId="4E0B541F" w14:textId="77777777" w:rsidR="00DC7F92" w:rsidRPr="00862061" w:rsidRDefault="00DC7F92" w:rsidP="001F4238">
            <w:pPr>
              <w:spacing w:after="0"/>
              <w:rPr>
                <w:rFonts w:eastAsia="Times New Roman"/>
                <w:sz w:val="20"/>
                <w:szCs w:val="20"/>
              </w:rPr>
            </w:pPr>
            <w:r w:rsidRPr="00862061">
              <w:rPr>
                <w:rFonts w:eastAsia="Times New Roman"/>
                <w:sz w:val="20"/>
                <w:szCs w:val="20"/>
              </w:rPr>
              <w:t xml:space="preserve">Повећање процента штедње која се пласира на тржишту капитала (улагање у инвестиционе/пензијске фондове или кроз директно инвестирање у </w:t>
            </w:r>
            <w:r w:rsidRPr="00862061">
              <w:rPr>
                <w:rFonts w:eastAsia="Times New Roman"/>
                <w:sz w:val="20"/>
                <w:szCs w:val="20"/>
                <w:lang w:val="sr-Cyrl-RS"/>
              </w:rPr>
              <w:t>ХоВ</w:t>
            </w:r>
            <w:r w:rsidRPr="00862061">
              <w:rPr>
                <w:rFonts w:eastAsia="Times New Roman"/>
                <w:sz w:val="20"/>
                <w:szCs w:val="20"/>
              </w:rPr>
              <w:t>)</w:t>
            </w:r>
          </w:p>
        </w:tc>
        <w:tc>
          <w:tcPr>
            <w:tcW w:w="1842" w:type="dxa"/>
          </w:tcPr>
          <w:p w14:paraId="23A70D98"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2,32%</w:t>
            </w:r>
          </w:p>
        </w:tc>
        <w:tc>
          <w:tcPr>
            <w:tcW w:w="1843" w:type="dxa"/>
          </w:tcPr>
          <w:p w14:paraId="5AC1530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5%</w:t>
            </w:r>
          </w:p>
        </w:tc>
        <w:tc>
          <w:tcPr>
            <w:tcW w:w="1843" w:type="dxa"/>
          </w:tcPr>
          <w:p w14:paraId="459A8F47"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5%</w:t>
            </w:r>
          </w:p>
        </w:tc>
      </w:tr>
    </w:tbl>
    <w:p w14:paraId="62A742D5" w14:textId="77777777" w:rsidR="00DC7F92" w:rsidRPr="00862061" w:rsidRDefault="00DC7F92" w:rsidP="004D22FA">
      <w:pPr>
        <w:widowControl w:val="0"/>
        <w:numPr>
          <w:ilvl w:val="0"/>
          <w:numId w:val="29"/>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45BBC942"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lastRenderedPageBreak/>
        <w:t>Очекивано је да ће унапређење обима и разноврсности понуде финансијских инструмената на тржишту довести до развоја домаћег тржишта капитала, диверсификације извора финансирања, а самим тим и повећања домаћих и страних инвестиција у привреду. Законодавни оквир који промовише правну сигурност и економску стабилност додатно подстичу способност тржишта капитала да служи реалној економији. Очекује се да ће ова структурна реформа допринети ефикасности пословања како приватног, тако и јавног сектора.</w:t>
      </w:r>
    </w:p>
    <w:p w14:paraId="5024C7AF"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Стварањем атрактивнијег привредног окружења и диверсификацијом извора финансирања, заинтересована привредна друштва изласком на тржиште обезбедиће могућност прикупљања капитала за финансирање раста и развоја, док ће се истовремено осигурати виши ниво транспарентности и већа сигурност финансијског система (појачан надзор над применом прописа који уређују пословање субјеката на тржишту; висок квалитет финансијског извештавања и др.), а самим тим и раст поверења инвеститора и њихове заинтересованост за улагања.</w:t>
      </w:r>
    </w:p>
    <w:p w14:paraId="2E0D7531"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5555B2DD" w14:textId="77777777" w:rsidR="00DC7F92" w:rsidRPr="004D6040" w:rsidRDefault="00DC7F92" w:rsidP="00DC7F92">
      <w:pPr>
        <w:spacing w:after="60"/>
        <w:rPr>
          <w:rFonts w:eastAsia="Calibri" w:cs="Times New Roman"/>
          <w:szCs w:val="24"/>
          <w:lang w:eastAsia="sr-Cyrl-CS"/>
        </w:rPr>
      </w:pPr>
      <w:r w:rsidRPr="00862061">
        <w:rPr>
          <w:rFonts w:eastAsia="Calibri" w:cs="Times New Roman"/>
          <w:szCs w:val="24"/>
          <w:lang w:val="sr-Cyrl-RS" w:eastAsia="sr-Cyrl-CS"/>
        </w:rPr>
        <w:t xml:space="preserve">Имајући у виду да су структурном реформом </w:t>
      </w:r>
      <w:r w:rsidRPr="00862061">
        <w:rPr>
          <w:rFonts w:eastAsia="Calibri" w:cs="Times New Roman"/>
          <w:i/>
          <w:iCs/>
          <w:szCs w:val="24"/>
          <w:lang w:val="sr-Cyrl-RS" w:eastAsia="sr-Cyrl-CS"/>
        </w:rPr>
        <w:t xml:space="preserve">„Развој домаћег тржишта капитала кроз увођење нових правних института и обезбеђивање већег степена заштите инвеститора“ </w:t>
      </w:r>
      <w:r w:rsidRPr="00862061">
        <w:rPr>
          <w:rFonts w:eastAsia="Calibri" w:cs="Times New Roman"/>
          <w:szCs w:val="24"/>
          <w:lang w:val="sr-Cyrl-RS" w:eastAsia="sr-Cyrl-CS"/>
        </w:rPr>
        <w:t xml:space="preserve">планиране активности које су већ у надлежности Министарства финансија, једини </w:t>
      </w:r>
      <w:r>
        <w:rPr>
          <w:rFonts w:eastAsia="Calibri" w:cs="Times New Roman"/>
          <w:szCs w:val="24"/>
          <w:lang w:val="sr-Cyrl-RS" w:eastAsia="sr-Cyrl-CS"/>
        </w:rPr>
        <w:t xml:space="preserve">додатни </w:t>
      </w:r>
      <w:r w:rsidRPr="00862061">
        <w:rPr>
          <w:rFonts w:eastAsia="Calibri" w:cs="Times New Roman"/>
          <w:szCs w:val="24"/>
          <w:lang w:val="sr-Cyrl-RS" w:eastAsia="sr-Cyrl-CS"/>
        </w:rPr>
        <w:t xml:space="preserve">трошкови који се јављају </w:t>
      </w:r>
      <w:r w:rsidRPr="004D6040">
        <w:rPr>
          <w:rFonts w:eastAsia="Calibri" w:cs="Times New Roman"/>
          <w:szCs w:val="24"/>
          <w:lang w:val="sr-Cyrl-RS" w:eastAsia="sr-Cyrl-CS"/>
        </w:rPr>
        <w:t xml:space="preserve">за период од 2022. до 2024. године </w:t>
      </w:r>
      <w:r w:rsidRPr="00862061">
        <w:rPr>
          <w:rFonts w:eastAsia="Calibri" w:cs="Times New Roman"/>
          <w:szCs w:val="24"/>
          <w:lang w:val="sr-Cyrl-RS" w:eastAsia="sr-Cyrl-CS"/>
        </w:rPr>
        <w:t>су трошкови запошљавања два државна службеника у Сектору за финансијски систем, у Групи за хартије од вредности и тржиште капитала. Како би се развило конкуретно, високо ефикасно, транспарентно и продуктивно тржиште капитала, потребно је повећати број државних службеника који обављају нормативне послове у области тржишта капитала, због чега су у трошковима ове структурне реформе приказане годишње бруто плате и трошкови превоза (у износу од 10.452 евра за једног државног службеника). Планирано је запошљавање једног државног службеника у 2023. години и још једног државног службеника у 2024. години.</w:t>
      </w:r>
      <w:r>
        <w:rPr>
          <w:rFonts w:eastAsia="Calibri" w:cs="Times New Roman"/>
          <w:szCs w:val="24"/>
          <w:lang w:eastAsia="sr-Cyrl-CS"/>
        </w:rPr>
        <w:t xml:space="preserve"> </w:t>
      </w:r>
      <w:r w:rsidRPr="004D6040">
        <w:rPr>
          <w:rFonts w:eastAsia="Calibri" w:cs="Times New Roman"/>
          <w:szCs w:val="24"/>
          <w:lang w:val="sr-Cyrl-RS" w:eastAsia="sr-Cyrl-CS"/>
        </w:rPr>
        <w:t>Базна година предметне структурне реформе у односу које су исказани процењени трошкови активности и извори финансирања је 2021. година.</w:t>
      </w:r>
    </w:p>
    <w:p w14:paraId="53BBAEDC"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6230214F" w14:textId="77777777" w:rsidR="00DC7F92" w:rsidRDefault="00DC7F92" w:rsidP="00DC7F92">
      <w:pPr>
        <w:spacing w:after="60"/>
        <w:rPr>
          <w:rFonts w:eastAsia="Times New Roman" w:cs="Times New Roman"/>
          <w:szCs w:val="24"/>
          <w:lang w:val="sr-Cyrl-RS"/>
        </w:rPr>
      </w:pPr>
      <w:r w:rsidRPr="00862061">
        <w:rPr>
          <w:rFonts w:eastAsia="Times New Roman" w:cs="Times New Roman"/>
          <w:szCs w:val="24"/>
          <w:lang w:val="sr-Cyrl-RS"/>
        </w:rPr>
        <w:t>Општи циљ усаглашавања домаћег регулаторног оквира у области тржишта капитала са правним прописима Европске уније, поред испуњења свих услова за стицања статуса државе чланице Европске уније, јесте активирање тржишта капитала у функцији економског раста, запошљавања и квалитетнијег живота грађана. Може се очекивати утицај на смањење незапослености. Структурна реформа је родно неутрална.</w:t>
      </w:r>
    </w:p>
    <w:p w14:paraId="6B7AC969"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608DA8B2"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Доношењем новог Закона о тржишту капитала унапредиће се постојеће домаће тржиште кроз диверзификацију финансијских института и повећање транспарентности и поверења учесника на тржишту. Прописивањем нових правних института тржишта капитала предметна стратешка мера би могла да има утицај на животну средину и климатске промене.</w:t>
      </w:r>
    </w:p>
    <w:p w14:paraId="358D8FB4" w14:textId="3E911336" w:rsidR="00DC7F92"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Спровођењем Стратегије за развој тржишта капитала за период од 2021. до 2026. године и Акционог плана предметне стратегије, на које се ослања структурна реформа, доћи ће до активирања неких до сада некоришћених финансијских института, попут зелених обвезница, а који ће се користити искључиво за финансирање пројеката из области екологије и заштите животне средине.</w:t>
      </w:r>
    </w:p>
    <w:p w14:paraId="5E9AD60F" w14:textId="77777777" w:rsidR="00912340" w:rsidRPr="00862061" w:rsidRDefault="00912340" w:rsidP="00DC7F92">
      <w:pPr>
        <w:widowControl w:val="0"/>
        <w:spacing w:after="60"/>
        <w:rPr>
          <w:rFonts w:eastAsia="Calibri" w:cs="Times New Roman"/>
          <w:szCs w:val="24"/>
          <w:lang w:val="sr-Cyrl-RS" w:eastAsia="sr-Cyrl-CS" w:bidi="sr-Cyrl-CS"/>
        </w:rPr>
      </w:pPr>
    </w:p>
    <w:p w14:paraId="12CEBA78"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0921CCF0" w14:textId="77777777" w:rsidTr="00DC7F92">
        <w:trPr>
          <w:trHeight w:val="421"/>
        </w:trPr>
        <w:tc>
          <w:tcPr>
            <w:tcW w:w="3329" w:type="dxa"/>
            <w:vAlign w:val="center"/>
          </w:tcPr>
          <w:p w14:paraId="1FD44B69"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2E5DCF5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5FE902E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57E14945" w14:textId="77777777" w:rsidTr="00DC7F92">
        <w:trPr>
          <w:trHeight w:val="429"/>
        </w:trPr>
        <w:tc>
          <w:tcPr>
            <w:tcW w:w="3329" w:type="dxa"/>
          </w:tcPr>
          <w:p w14:paraId="70BFC550"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Стварање недовољно атрактивних финансијских института и стагнација (или опадање) броја учесника тржишта капитала</w:t>
            </w:r>
          </w:p>
        </w:tc>
        <w:tc>
          <w:tcPr>
            <w:tcW w:w="2200" w:type="dxa"/>
          </w:tcPr>
          <w:p w14:paraId="08017BC3"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Високо</w:t>
            </w:r>
          </w:p>
        </w:tc>
        <w:tc>
          <w:tcPr>
            <w:tcW w:w="4165" w:type="dxa"/>
          </w:tcPr>
          <w:p w14:paraId="3BF59852" w14:textId="77777777"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Ради умањења предметног ризика, обавиће се свеобухватна анализа тренутне ситуације на тржишту капитала и анкету потреба учесника на тржишту</w:t>
            </w:r>
            <w:r w:rsidRPr="00862061">
              <w:rPr>
                <w:rFonts w:eastAsia="Times New Roman"/>
                <w:sz w:val="20"/>
                <w:szCs w:val="20"/>
                <w:lang w:val="sr-Latn-ME"/>
              </w:rPr>
              <w:t>.</w:t>
            </w:r>
          </w:p>
        </w:tc>
      </w:tr>
      <w:tr w:rsidR="00DC7F92" w:rsidRPr="00862061" w14:paraId="0FDFC6BD" w14:textId="77777777" w:rsidTr="00DC7F92">
        <w:trPr>
          <w:trHeight w:val="429"/>
        </w:trPr>
        <w:tc>
          <w:tcPr>
            <w:tcW w:w="3329" w:type="dxa"/>
          </w:tcPr>
          <w:p w14:paraId="78C4C0D8"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Нови Закон о тржишту капитала неће бити усвојен на време</w:t>
            </w:r>
          </w:p>
        </w:tc>
        <w:tc>
          <w:tcPr>
            <w:tcW w:w="2200" w:type="dxa"/>
          </w:tcPr>
          <w:p w14:paraId="2F270413"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Ниско</w:t>
            </w:r>
          </w:p>
        </w:tc>
        <w:tc>
          <w:tcPr>
            <w:tcW w:w="4165" w:type="dxa"/>
          </w:tcPr>
          <w:p w14:paraId="06D40C12" w14:textId="77777777"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Континуирани рад са члановима Радне групе за развој тржишта капитала на нацрту овог Закона, као и укључивање већег броја представника привреде, ради размене мишљења и избора најбољих опција</w:t>
            </w:r>
            <w:r w:rsidRPr="00862061">
              <w:rPr>
                <w:rFonts w:eastAsia="Times New Roman"/>
                <w:sz w:val="20"/>
                <w:szCs w:val="20"/>
                <w:lang w:val="sr-Latn-ME"/>
              </w:rPr>
              <w:t>.</w:t>
            </w:r>
          </w:p>
        </w:tc>
      </w:tr>
      <w:tr w:rsidR="00DC7F92" w:rsidRPr="00862061" w14:paraId="61265049" w14:textId="77777777" w:rsidTr="00DC7F92">
        <w:trPr>
          <w:trHeight w:val="536"/>
        </w:trPr>
        <w:tc>
          <w:tcPr>
            <w:tcW w:w="3329" w:type="dxa"/>
          </w:tcPr>
          <w:p w14:paraId="16D7FCFB"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Недовољни капацитети Министарства финансија за обављање планираних нормативних послова</w:t>
            </w:r>
          </w:p>
        </w:tc>
        <w:tc>
          <w:tcPr>
            <w:tcW w:w="2200" w:type="dxa"/>
          </w:tcPr>
          <w:p w14:paraId="7710E520"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Ниско</w:t>
            </w:r>
          </w:p>
        </w:tc>
        <w:tc>
          <w:tcPr>
            <w:tcW w:w="4165" w:type="dxa"/>
          </w:tcPr>
          <w:p w14:paraId="5E32E273" w14:textId="77777777"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Запошљавање у организационој јединици која обавља нормативне послове у области тржишта капитала</w:t>
            </w:r>
            <w:r w:rsidRPr="00862061">
              <w:rPr>
                <w:rFonts w:eastAsia="Times New Roman"/>
                <w:sz w:val="20"/>
                <w:szCs w:val="20"/>
                <w:lang w:val="sr-Latn-ME"/>
              </w:rPr>
              <w:t>.</w:t>
            </w:r>
          </w:p>
        </w:tc>
      </w:tr>
    </w:tbl>
    <w:p w14:paraId="15E2D9B0" w14:textId="77777777" w:rsidR="00DC7F92" w:rsidRDefault="00DC7F92" w:rsidP="00DC7F92">
      <w:pPr>
        <w:spacing w:after="240"/>
        <w:rPr>
          <w:rFonts w:cs="Times New Roman"/>
          <w:szCs w:val="24"/>
          <w:lang w:val="sr-Cyrl-RS"/>
        </w:rPr>
      </w:pPr>
    </w:p>
    <w:p w14:paraId="3AC5EE42" w14:textId="77777777" w:rsidR="00DC7F92" w:rsidRPr="00862061" w:rsidRDefault="00DC7F92" w:rsidP="00DC7F92">
      <w:pPr>
        <w:shd w:val="clear" w:color="auto" w:fill="D9D9D9"/>
        <w:spacing w:before="120"/>
        <w:rPr>
          <w:rFonts w:eastAsia="Calibri" w:cs="Times New Roman"/>
          <w:b/>
          <w:i/>
          <w:szCs w:val="24"/>
          <w:lang w:val="sr-Cyrl-RS"/>
        </w:rPr>
      </w:pPr>
      <w:r w:rsidRPr="00862061">
        <w:rPr>
          <w:rFonts w:eastAsia="Calibri" w:cs="Times New Roman"/>
          <w:b/>
          <w:i/>
          <w:szCs w:val="24"/>
          <w:lang w:val="sr-Cyrl-RS"/>
        </w:rPr>
        <w:t>Кључни изазов број 3: Ефикасније коришћење енергије уз даље отварање енергетског тржишта</w:t>
      </w:r>
    </w:p>
    <w:p w14:paraId="56523217"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Енергетски сектор у Србији чини око 4% БДП. </w:t>
      </w:r>
      <w:r w:rsidRPr="00862061">
        <w:rPr>
          <w:rFonts w:eastAsia="Calibri" w:cs="Times New Roman"/>
          <w:szCs w:val="24"/>
          <w:lang w:val="sr-Cyrl-RS"/>
        </w:rPr>
        <w:t>Карактерише га зависност од фосилних горива, низак ниво енергетске ефикасности, недовољно коришћење обновљивих извора енергије. Од укупно произведене електричне енергије у Србији, термоелектране на угаљ су произвеле 68,6%, хидроелектране 26,5%, ветроелектране прикључене на преносни систем 2,5%, а остале електране 2,4% електричне енергије (ЈП ЕПС произведе 96% укупне електричне енергије)</w:t>
      </w:r>
      <w:r w:rsidRPr="00862061">
        <w:rPr>
          <w:rFonts w:eastAsia="Calibri" w:cs="Times New Roman"/>
          <w:szCs w:val="24"/>
          <w:vertAlign w:val="superscript"/>
          <w:lang w:val="sr-Cyrl-RS"/>
        </w:rPr>
        <w:footnoteReference w:id="44"/>
      </w:r>
      <w:r w:rsidRPr="00862061">
        <w:rPr>
          <w:rFonts w:eastAsia="Calibri" w:cs="Times New Roman"/>
          <w:szCs w:val="24"/>
          <w:lang w:val="sr-Cyrl-RS"/>
        </w:rPr>
        <w:t xml:space="preserve">. Даљој енергетској трансформацији ка климатској неутралности допринеће и закони усвојени средином 2021. године: </w:t>
      </w:r>
      <w:r w:rsidRPr="00862061">
        <w:rPr>
          <w:rFonts w:eastAsia="Calibri" w:cs="Times New Roman"/>
          <w:i/>
          <w:szCs w:val="24"/>
          <w:lang w:val="sr-Cyrl-RS"/>
        </w:rPr>
        <w:t>Закон о изменама и допунама Закона о енергетици</w:t>
      </w:r>
      <w:r w:rsidRPr="00862061">
        <w:rPr>
          <w:rFonts w:eastAsia="Calibri" w:cs="Times New Roman"/>
          <w:szCs w:val="24"/>
          <w:lang w:val="sr-Cyrl-RS"/>
        </w:rPr>
        <w:t xml:space="preserve">, </w:t>
      </w:r>
      <w:r w:rsidRPr="00862061">
        <w:rPr>
          <w:rFonts w:eastAsia="Calibri" w:cs="Times New Roman"/>
          <w:i/>
          <w:szCs w:val="24"/>
          <w:lang w:val="sr-Cyrl-RS"/>
        </w:rPr>
        <w:t>Закон о енергетској ефикасности и рационалној употреби енергије</w:t>
      </w:r>
      <w:r w:rsidRPr="00862061">
        <w:rPr>
          <w:rFonts w:eastAsia="Calibri" w:cs="Times New Roman"/>
          <w:szCs w:val="24"/>
          <w:lang w:val="sr-Cyrl-RS"/>
        </w:rPr>
        <w:t xml:space="preserve"> и </w:t>
      </w:r>
      <w:r w:rsidRPr="00862061">
        <w:rPr>
          <w:rFonts w:eastAsia="Calibri" w:cs="Times New Roman"/>
          <w:i/>
          <w:szCs w:val="24"/>
          <w:lang w:val="sr-Cyrl-RS"/>
        </w:rPr>
        <w:t>Закон о коришћењу обновљивих извора енергије</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 РС“, бр.</w:t>
      </w:r>
      <w:r w:rsidRPr="00862061">
        <w:rPr>
          <w:rFonts w:eastAsia="Calibri" w:cs="Times New Roman"/>
          <w:szCs w:val="24"/>
          <w:lang w:val="sr-Cyrl-RS"/>
        </w:rPr>
        <w:t xml:space="preserve"> 40/2021). Ови закони су основ за израду </w:t>
      </w:r>
      <w:r w:rsidRPr="00862061">
        <w:rPr>
          <w:rFonts w:eastAsia="Calibri" w:cs="Times New Roman"/>
          <w:i/>
          <w:szCs w:val="24"/>
          <w:lang w:val="sr-Cyrl-RS"/>
        </w:rPr>
        <w:t xml:space="preserve">Интегрисаног националног енергетског и климатског плана до 2030. године са пројекцијом до 2050. године  </w:t>
      </w:r>
      <w:r w:rsidRPr="00862061">
        <w:rPr>
          <w:rFonts w:eastAsia="Calibri" w:cs="Times New Roman"/>
          <w:szCs w:val="24"/>
          <w:lang w:val="sr-Cyrl-RS"/>
        </w:rPr>
        <w:t>(којим ће се дефинисати активности за повећање енерегетске  безбедности, енергетске ефикасности и удела обновљивих извора енергије, смањење емисија штетних гасова</w:t>
      </w:r>
      <w:r w:rsidRPr="00862061">
        <w:rPr>
          <w:rFonts w:ascii="Calibri" w:eastAsia="Calibri" w:hAnsi="Calibri" w:cs="Times New Roman"/>
        </w:rPr>
        <w:t xml:space="preserve"> </w:t>
      </w:r>
      <w:r w:rsidRPr="00862061">
        <w:rPr>
          <w:rFonts w:eastAsia="Calibri" w:cs="Times New Roman"/>
          <w:szCs w:val="24"/>
          <w:lang w:val="sr-Cyrl-RS"/>
        </w:rPr>
        <w:t xml:space="preserve">и  развоја унутрашњег енергетског тржишта) и </w:t>
      </w:r>
      <w:r w:rsidRPr="00862061">
        <w:rPr>
          <w:rFonts w:eastAsia="Calibri" w:cs="Times New Roman"/>
          <w:i/>
          <w:szCs w:val="24"/>
          <w:lang w:val="sr-Cyrl-RS"/>
        </w:rPr>
        <w:t>Стратегије развоја енергетике (са Програмом остваривања Стратегије) за период до 2040. године, са пројекцијом до 2050. године</w:t>
      </w:r>
      <w:r w:rsidRPr="00862061">
        <w:rPr>
          <w:rFonts w:eastAsia="Calibri" w:cs="Times New Roman"/>
          <w:szCs w:val="24"/>
          <w:lang w:val="sr-Cyrl-RS"/>
        </w:rPr>
        <w:t xml:space="preserve"> (којом се у потпуности дефинише производња енергената у Србији, како би се обезбедила сигурност снабдевања енергијом уз поштовање свих стандарда заштите животне средине). Израда нацрта ова два документа је у току. </w:t>
      </w:r>
      <w:r w:rsidRPr="00862061">
        <w:rPr>
          <w:rFonts w:eastAsia="Calibri" w:cs="Times New Roman"/>
          <w:i/>
          <w:szCs w:val="24"/>
          <w:lang w:val="sr-Cyrl-RS"/>
        </w:rPr>
        <w:t>Законом о климатским променама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26/2021) омогућен је већи степен планског усклађивања енергетског сектора са климатским променама. У циљу спровођења енергетске транзиције и очувања животне средине, овим законом је утврђено доношење </w:t>
      </w:r>
      <w:r w:rsidRPr="00862061">
        <w:rPr>
          <w:rFonts w:eastAsia="Calibri" w:cs="Times New Roman"/>
          <w:i/>
          <w:szCs w:val="24"/>
          <w:lang w:val="sr-Cyrl-RS"/>
        </w:rPr>
        <w:t>Стратегије нискоугљеничног развоја са Акционим планом</w:t>
      </w:r>
      <w:r w:rsidRPr="00862061">
        <w:rPr>
          <w:rFonts w:eastAsia="Calibri" w:cs="Times New Roman"/>
          <w:szCs w:val="24"/>
          <w:lang w:val="sr-Cyrl-RS"/>
        </w:rPr>
        <w:t xml:space="preserve">, као и </w:t>
      </w:r>
      <w:r w:rsidRPr="00862061">
        <w:rPr>
          <w:rFonts w:eastAsia="Calibri" w:cs="Times New Roman"/>
          <w:i/>
          <w:szCs w:val="24"/>
          <w:lang w:val="sr-Cyrl-RS"/>
        </w:rPr>
        <w:t>Програм прилагођавања на измењене климатске услове</w:t>
      </w:r>
      <w:r w:rsidRPr="00862061">
        <w:rPr>
          <w:rFonts w:eastAsia="Calibri" w:cs="Times New Roman"/>
          <w:szCs w:val="24"/>
          <w:lang w:val="sr-Cyrl-RS"/>
        </w:rPr>
        <w:t xml:space="preserve"> (израда ових докумената је у току). </w:t>
      </w:r>
    </w:p>
    <w:p w14:paraId="2A588D93"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Постојећа енергетска постројења емитују велике количине штетних гасова у ваздух посебно азотних и сумпорних оксида, као и суспендованих честица, што се неповољно одражава на животну средину и здравље људи.</w:t>
      </w:r>
      <w:r w:rsidRPr="00862061">
        <w:rPr>
          <w:rFonts w:eastAsia="Calibri" w:cs="Times New Roman"/>
          <w:szCs w:val="24"/>
          <w:lang w:val="sr-Cyrl-RS"/>
        </w:rPr>
        <w:t xml:space="preserve"> Емисија сумпордиоксида (SО</w:t>
      </w:r>
      <w:r w:rsidRPr="00862061">
        <w:rPr>
          <w:rFonts w:eastAsia="Calibri" w:cs="Times New Roman"/>
          <w:szCs w:val="24"/>
          <w:vertAlign w:val="subscript"/>
          <w:lang w:val="sr-Cyrl-RS"/>
        </w:rPr>
        <w:t>2</w:t>
      </w:r>
      <w:r w:rsidRPr="00862061">
        <w:rPr>
          <w:rFonts w:eastAsia="Calibri" w:cs="Times New Roman"/>
          <w:szCs w:val="24"/>
          <w:lang w:val="sr-Cyrl-RS"/>
        </w:rPr>
        <w:t>) у 2019. години износила је 395,4 килотона (Gg), што је за 14,0% више у односу на претходну годину. Највећа емисија SO</w:t>
      </w:r>
      <w:r w:rsidRPr="00862061">
        <w:rPr>
          <w:rFonts w:eastAsia="Calibri" w:cs="Times New Roman"/>
          <w:szCs w:val="24"/>
          <w:vertAlign w:val="subscript"/>
          <w:lang w:val="sr-Cyrl-RS"/>
        </w:rPr>
        <w:t>2</w:t>
      </w:r>
      <w:r w:rsidRPr="00862061">
        <w:rPr>
          <w:rFonts w:eastAsia="Calibri" w:cs="Times New Roman"/>
          <w:szCs w:val="24"/>
          <w:lang w:val="sr-Cyrl-RS"/>
        </w:rPr>
        <w:t xml:space="preserve"> потиче из сектора Снабдевање електричном </w:t>
      </w:r>
      <w:r w:rsidRPr="00862061">
        <w:rPr>
          <w:rFonts w:eastAsia="Calibri" w:cs="Times New Roman"/>
          <w:szCs w:val="24"/>
          <w:lang w:val="sr-Cyrl-RS"/>
        </w:rPr>
        <w:lastRenderedPageBreak/>
        <w:t>енергијом, гасом и паром (пре свега термоелектрана које користе лигнит) са уделом од 91,5% и бележи раст од 16,6% у поређењу са 2018. годином</w:t>
      </w:r>
      <w:r w:rsidRPr="00862061">
        <w:rPr>
          <w:rFonts w:eastAsia="Calibri" w:cs="Times New Roman"/>
          <w:szCs w:val="24"/>
          <w:vertAlign w:val="superscript"/>
          <w:lang w:val="sr-Cyrl-RS"/>
        </w:rPr>
        <w:footnoteReference w:id="45"/>
      </w:r>
      <w:r w:rsidRPr="00862061">
        <w:rPr>
          <w:rFonts w:eastAsia="Calibri" w:cs="Times New Roman"/>
          <w:szCs w:val="24"/>
          <w:lang w:val="sr-Cyrl-RS"/>
        </w:rPr>
        <w:t xml:space="preserve">. </w:t>
      </w:r>
      <w:r w:rsidRPr="00862061">
        <w:rPr>
          <w:rFonts w:eastAsia="Calibri" w:cs="Times New Roman"/>
          <w:i/>
          <w:szCs w:val="24"/>
          <w:lang w:val="sr-Cyrl-RS"/>
        </w:rPr>
        <w:t>Националним планом за смањење емисија главних загађујућих материја које потичу из старих великих постројење за сагоревање</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10/2020) дефинисане су максималне емисије из старих постројења. Инвестицијама у системе за управљање квалитетом угља, системе за смањење сумпорних и азотних оксида и постављањем електрофилтера смањено је прашкасто загађење ваздуха и остварен допринос у денитрификацији и одсумпоравању димних гасова. Постројење за одсумпоравање димних гасова (ОДГ) у ТЕ „Костолац Б“ је у функцији од фебруара 2020. године, а очекује се да изградња система за ОДГ у ТЕНТ А Обреновац буде завршена до средине 2022. године, чиме ће се емисије SO</w:t>
      </w:r>
      <w:r w:rsidRPr="00862061">
        <w:rPr>
          <w:rFonts w:eastAsia="Calibri" w:cs="Times New Roman"/>
          <w:szCs w:val="24"/>
          <w:vertAlign w:val="subscript"/>
          <w:lang w:val="sr-Cyrl-RS"/>
        </w:rPr>
        <w:t>2</w:t>
      </w:r>
      <w:r w:rsidRPr="00862061">
        <w:rPr>
          <w:rFonts w:eastAsia="Calibri" w:cs="Times New Roman"/>
          <w:szCs w:val="24"/>
          <w:lang w:val="sr-Cyrl-RS"/>
        </w:rPr>
        <w:t xml:space="preserve"> из ове електране смањити 30 пута, а емитовање прашкастих материја из исте на 20 mg/Nm</w:t>
      </w:r>
      <w:r w:rsidRPr="00862061">
        <w:rPr>
          <w:rFonts w:eastAsia="Calibri" w:cs="Times New Roman"/>
          <w:szCs w:val="24"/>
          <w:vertAlign w:val="superscript"/>
          <w:lang w:val="sr-Cyrl-RS"/>
        </w:rPr>
        <w:t>3</w:t>
      </w:r>
      <w:r w:rsidRPr="00862061">
        <w:rPr>
          <w:rFonts w:eastAsia="Calibri" w:cs="Times New Roman"/>
          <w:szCs w:val="24"/>
          <w:lang w:val="sr-Cyrl-RS"/>
        </w:rPr>
        <w:t xml:space="preserve">. Пројекат ОДГ на ТЕНТ Б је започет и треба да се заврши почетком 2024. године. Велики загађивачи животне средине су и индивидуална ложишта, којих у Србији има око 1,2 милиона (укупан број домаћинства износи 2,6 милиона) у којима се за сагоревање користе угаљ и мазут. У плану је субвенционисање домаћинства за прелазак на чистије изворе енергије (пелет, гас, електрична енергија). </w:t>
      </w:r>
      <w:r w:rsidRPr="00862061">
        <w:rPr>
          <w:rFonts w:eastAsia="Calibri" w:cs="Times New Roman"/>
          <w:i/>
          <w:szCs w:val="24"/>
          <w:lang w:val="sr-Cyrl-RS"/>
        </w:rPr>
        <w:t>Законом о накнадама за коришћење јавних добара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49/2019) уведене су накнаде за заштиту и унапређење животне средине и прописани износи које загађивачи плаћају у зависности од врсте и количине загађења. Висину накнаде утврђују јединице локалне самоуправе за сваку календарску годину. Остварени приходи од накнада се уплаћују у буџете градова и општина. </w:t>
      </w:r>
    </w:p>
    <w:p w14:paraId="223C057D"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Спровођење мера енергетске ефикасности и успостављање институционалног приступа у финансирању је приоритет узимајући у обзир изузетно високу енергетску интензивност.</w:t>
      </w:r>
      <w:r w:rsidRPr="00862061">
        <w:rPr>
          <w:rFonts w:eastAsia="Calibri" w:cs="Times New Roman"/>
          <w:szCs w:val="24"/>
          <w:lang w:val="sr-Cyrl-RS"/>
        </w:rPr>
        <w:t xml:space="preserve"> Побољшање енергетске ефикасности захтева повећање финансијских средстава</w:t>
      </w:r>
      <w:r w:rsidRPr="00862061">
        <w:rPr>
          <w:rFonts w:ascii="Calibri" w:eastAsia="Calibri" w:hAnsi="Calibri" w:cs="Times New Roman"/>
        </w:rPr>
        <w:t xml:space="preserve"> </w:t>
      </w:r>
      <w:r w:rsidRPr="00862061">
        <w:rPr>
          <w:rFonts w:eastAsia="Calibri" w:cs="Times New Roman"/>
          <w:szCs w:val="24"/>
          <w:lang w:val="sr-Cyrl-RS"/>
        </w:rPr>
        <w:t>намењених у ове сврхе, успостављање бољег институционалног оквира, као и сарадњу и координацију са заинтересованим странама. Енергетска интензивност у Србији је 4 пута већа од просека земаља ОЕЦД. Просечна потрошња топлотне енергије по домаћинству у Србији процењује се на око 214 KWh/m2 годишње док је просек на нивоу ЕУ око 112 KWh/m2 годишње.</w:t>
      </w:r>
      <w:r>
        <w:rPr>
          <w:rFonts w:eastAsia="Calibri" w:cs="Times New Roman"/>
          <w:szCs w:val="24"/>
          <w:lang w:val="sr-Cyrl-RS"/>
        </w:rPr>
        <w:t xml:space="preserve"> </w:t>
      </w:r>
      <w:r w:rsidRPr="00862061">
        <w:rPr>
          <w:rFonts w:eastAsia="Calibri" w:cs="Times New Roman"/>
          <w:szCs w:val="24"/>
          <w:lang w:val="sr-Cyrl-RS"/>
        </w:rPr>
        <w:t xml:space="preserve">Такође је значајна и чињеница да се око 38% од укупне потрошње енергије у домаћинствима утроши у облику електричне енергије, док је овај проценат у ЕУ око 25%. </w:t>
      </w:r>
      <w:r w:rsidRPr="00862061">
        <w:rPr>
          <w:rFonts w:eastAsia="Calibri" w:cs="Times New Roman"/>
          <w:i/>
          <w:szCs w:val="24"/>
          <w:lang w:val="sr-Cyrl-RS"/>
        </w:rPr>
        <w:t>Законом о енергетској ефикасности и рационалној употреби енергије</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створени се услови за смањење коришћења енергије за 20-30% годишње (регулисано је енергетско означавање производа, увођење захтева еко-дизајна као и унапређење енергетских прегледа и</w:t>
      </w:r>
      <w:r w:rsidRPr="00862061">
        <w:rPr>
          <w:rFonts w:ascii="Calibri" w:eastAsia="Calibri" w:hAnsi="Calibri" w:cs="Times New Roman"/>
        </w:rPr>
        <w:t xml:space="preserve"> </w:t>
      </w:r>
      <w:r w:rsidRPr="00862061">
        <w:rPr>
          <w:rFonts w:eastAsia="Calibri" w:cs="Times New Roman"/>
          <w:szCs w:val="24"/>
          <w:lang w:val="sr-Cyrl-RS"/>
        </w:rPr>
        <w:t xml:space="preserve">спровођење енергетског менаџмента) и формирање Управе за финансирање и подстицање енергетске ефикасности. Кроз пројекат ,,Озелењавање јавног сектора“ и „Енергетска ефикасност у зградама центрлене власти“ и другим пројектима унапредиће се енергетска ефикасност у зградама јавне намене и коришћење обновљивих извора енергије. </w:t>
      </w:r>
      <w:r w:rsidRPr="00862061">
        <w:rPr>
          <w:rFonts w:eastAsia="Calibri" w:cs="Times New Roman"/>
          <w:i/>
          <w:szCs w:val="24"/>
          <w:lang w:val="sr-Cyrl-RS"/>
        </w:rPr>
        <w:t>Програмом Рехабилитација система даљинског грејања у Србији</w:t>
      </w:r>
      <w:r w:rsidRPr="00862061">
        <w:rPr>
          <w:rFonts w:eastAsia="Calibri" w:cs="Times New Roman"/>
          <w:szCs w:val="24"/>
          <w:lang w:val="sr-Cyrl-RS"/>
        </w:rPr>
        <w:t xml:space="preserve"> доприноси се унапређењу</w:t>
      </w:r>
      <w:r w:rsidRPr="00862061">
        <w:rPr>
          <w:rFonts w:ascii="Calibri" w:eastAsia="Calibri" w:hAnsi="Calibri" w:cs="Times New Roman"/>
        </w:rPr>
        <w:t xml:space="preserve"> </w:t>
      </w:r>
      <w:r w:rsidRPr="00862061">
        <w:rPr>
          <w:rFonts w:eastAsia="Calibri" w:cs="Times New Roman"/>
          <w:szCs w:val="24"/>
          <w:lang w:val="sr-Cyrl-RS"/>
        </w:rPr>
        <w:t>системима даљинског грејања. У циљу примене обновљивих извора енергије у сектору даљинског грејања у току је и реализација Програма: Подстицање развоја обновљиве енергије – развој тржишта биомасе у Републици Србији</w:t>
      </w:r>
      <w:r>
        <w:rPr>
          <w:rFonts w:eastAsia="Calibri" w:cs="Times New Roman"/>
          <w:szCs w:val="24"/>
          <w:lang w:val="sr-Latn-RS"/>
        </w:rPr>
        <w:t>,</w:t>
      </w:r>
      <w:r w:rsidRPr="00862061">
        <w:rPr>
          <w:rFonts w:eastAsia="Calibri" w:cs="Times New Roman"/>
          <w:szCs w:val="24"/>
          <w:lang w:val="sr-Cyrl-RS"/>
        </w:rPr>
        <w:t xml:space="preserve"> а у припреми је реализација низа других пројеката са циљем коришћења обновљивих извора енергије у овим системима. </w:t>
      </w:r>
      <w:r w:rsidRPr="00862061">
        <w:rPr>
          <w:rFonts w:eastAsia="Calibri" w:cs="Times New Roman"/>
          <w:i/>
          <w:szCs w:val="24"/>
          <w:lang w:val="sr-Cyrl-RS"/>
        </w:rPr>
        <w:t>Законом о накнадама за коришћење јавних добара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49/2019) уведена је накнада за енергетску ефикасност. Висина накнаде овим законом је утврђена по јединици испоручене количине енергије и енергента (деривати нафте, електрична енергија и природан гас). Средства се сливају у </w:t>
      </w:r>
      <w:r>
        <w:rPr>
          <w:rFonts w:eastAsia="Calibri" w:cs="Times New Roman"/>
          <w:szCs w:val="24"/>
          <w:lang w:val="sr-Cyrl-RS"/>
        </w:rPr>
        <w:t>б</w:t>
      </w:r>
      <w:r w:rsidRPr="00862061">
        <w:rPr>
          <w:rFonts w:eastAsia="Calibri" w:cs="Times New Roman"/>
          <w:szCs w:val="24"/>
          <w:lang w:val="sr-Cyrl-RS"/>
        </w:rPr>
        <w:t xml:space="preserve">уџет РС. У циљу унапређења енергетске ефикасности током 2021. године ресорно министарство </w:t>
      </w:r>
      <w:r w:rsidRPr="00862061">
        <w:rPr>
          <w:rFonts w:eastAsia="Calibri" w:cs="Times New Roman"/>
          <w:szCs w:val="24"/>
          <w:lang w:val="sr-Cyrl-RS"/>
        </w:rPr>
        <w:lastRenderedPageBreak/>
        <w:t>је, у сарадњи са јединицама локалне самоуправе покренуло пилот пројекте замене столарије, котлова за грејање и постављања соларних панела</w:t>
      </w:r>
      <w:r w:rsidRPr="00862061">
        <w:rPr>
          <w:rFonts w:ascii="Calibri" w:eastAsia="Calibri" w:hAnsi="Calibri" w:cs="Times New Roman"/>
        </w:rPr>
        <w:t xml:space="preserve"> </w:t>
      </w:r>
      <w:r w:rsidRPr="00862061">
        <w:rPr>
          <w:rFonts w:eastAsia="Calibri" w:cs="Times New Roman"/>
          <w:szCs w:val="24"/>
          <w:lang w:val="sr-Cyrl-RS"/>
        </w:rPr>
        <w:t>у сектору домаћинстава а у припреми су и пројекти унапређења енергетске ефикаснсоти који ће се реализовати у сарадњи са међународним финансијским институцијама.</w:t>
      </w:r>
    </w:p>
    <w:p w14:paraId="73AB5204" w14:textId="6C47C3D3"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Потребна је изградња нових производних капацитета који би испуњавали све критеријуме из области заштите животне средине и допринели задовољењу повећаних потреба за електричном енергијом и гасом. </w:t>
      </w:r>
      <w:r w:rsidRPr="00862061">
        <w:rPr>
          <w:rFonts w:eastAsia="Calibri" w:cs="Times New Roman"/>
          <w:szCs w:val="24"/>
          <w:lang w:val="sr-Cyrl-RS"/>
        </w:rPr>
        <w:t>Развој електроенергетског сектора и регионалне сарадње ограничавају застарели и неефикасни производни капацитети (просечна старост преко 30 година). Учешће обновљивих извора у бруто финалној потрошњи енергије се повећава, али не у довољној мери (20,32% у 2018. и 21,44% у 2019. години</w:t>
      </w:r>
      <w:r w:rsidRPr="00862061">
        <w:rPr>
          <w:rFonts w:eastAsia="Calibri" w:cs="Times New Roman"/>
          <w:szCs w:val="24"/>
          <w:vertAlign w:val="superscript"/>
          <w:lang w:val="sr-Cyrl-RS"/>
        </w:rPr>
        <w:footnoteReference w:id="46"/>
      </w:r>
      <w:r w:rsidRPr="00862061">
        <w:rPr>
          <w:rFonts w:eastAsia="Calibri" w:cs="Times New Roman"/>
          <w:szCs w:val="24"/>
          <w:lang w:val="sr-Cyrl-RS"/>
        </w:rPr>
        <w:t>).</w:t>
      </w:r>
      <w:r w:rsidRPr="00862061">
        <w:rPr>
          <w:rFonts w:eastAsia="Calibri" w:cs="Times New Roman"/>
          <w:b/>
          <w:szCs w:val="24"/>
          <w:lang w:val="sr-Cyrl-RS"/>
        </w:rPr>
        <w:t xml:space="preserve"> </w:t>
      </w:r>
      <w:r w:rsidRPr="00862061">
        <w:rPr>
          <w:rFonts w:eastAsia="Calibri" w:cs="Times New Roman"/>
          <w:szCs w:val="24"/>
          <w:lang w:val="sr-Cyrl-RS"/>
        </w:rPr>
        <w:t>Ревитализовани су агрегати у ХЕ Зворник и ХЕ Ђердап 1 (један од 6 агрегата треба да се заврши до краја 2022.) и планиран је почетак радова на ревитализацији агрегата у ХЕ Ђердап 2, што ће обезбедити већу производњу електричне енергије и мање трошкове одржавања.</w:t>
      </w:r>
      <w:r w:rsidRPr="00862061">
        <w:rPr>
          <w:rFonts w:eastAsia="Calibri" w:cs="Times New Roman"/>
          <w:b/>
          <w:szCs w:val="24"/>
          <w:lang w:val="sr-Cyrl-RS"/>
        </w:rPr>
        <w:t xml:space="preserve"> </w:t>
      </w:r>
      <w:r w:rsidRPr="00862061">
        <w:rPr>
          <w:rFonts w:eastAsia="Calibri" w:cs="Times New Roman"/>
          <w:szCs w:val="24"/>
          <w:lang w:val="sr-Cyrl-RS"/>
        </w:rPr>
        <w:t xml:space="preserve">Изграђено је укупно 143 мини хидроелектрана укупне снаге 104 МW. Започети су радови на изградњи ХЕ Бук Бјела снаге 114,5 МW. Наставиће се са развојем пројеката из неискоришћених хидропотенцијала (Морава, Ибар и Дрина), као и пројекта реверзибилне хидроелектране Бистрица и Ђердап 3. </w:t>
      </w:r>
    </w:p>
    <w:p w14:paraId="0E7659D8"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До сада је изграђено укупно осам ветроелектран</w:t>
      </w:r>
      <w:r w:rsidRPr="00862061">
        <w:rPr>
          <w:rFonts w:eastAsia="Calibri" w:cs="Times New Roman"/>
          <w:szCs w:val="24"/>
        </w:rPr>
        <w:t>a</w:t>
      </w:r>
      <w:r w:rsidRPr="00862061">
        <w:rPr>
          <w:rFonts w:eastAsia="Calibri" w:cs="Times New Roman"/>
          <w:szCs w:val="24"/>
          <w:lang w:val="sr-Cyrl-RS"/>
        </w:rPr>
        <w:t xml:space="preserve"> укупне снаге око 398 MW, а у току су радови на два ветропарка укупне снаге око 168 MW. У 2021 години издате су енергетске  дозволе за изградњу 5 ветропаркова укупне снаге 279,1 МW, од тога ветроелектрана Црни врх снаге 150 MW  и ветропарк Пупин снаге 95,5 MW. Настављени су радови на изградњи биогасних електрана, што ће обезбедити 100 МW инсталисаних капацитета. </w:t>
      </w:r>
    </w:p>
    <w:p w14:paraId="6D6166A4"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За изградњу нових производних капацитета посебно је значајно доношење Закона о коришћењу обновљивих извора и енергије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усмереног ка томе да се омогуће нове инвестиције и повећа учешће обновљивих извора енергије, у циљу заштите животне средине.</w:t>
      </w:r>
      <w:r w:rsidRPr="00862061">
        <w:rPr>
          <w:rFonts w:eastAsia="Calibri" w:cs="Times New Roman"/>
          <w:i/>
          <w:szCs w:val="24"/>
          <w:lang w:val="sr-Cyrl-RS"/>
        </w:rPr>
        <w:t xml:space="preserve"> </w:t>
      </w:r>
      <w:r w:rsidRPr="00862061">
        <w:rPr>
          <w:rFonts w:eastAsia="Calibri" w:cs="Times New Roman"/>
          <w:szCs w:val="24"/>
          <w:lang w:val="sr-Cyrl-RS"/>
        </w:rPr>
        <w:t>У сектору електричне енергије уведене су погодности за све инвеститоре који не користе подстицаје: имају право на приоритетан приступ електроенергетском систему и немају балансну одговорност до успостављања ликвидног унутардневног тржишта. За произвођаче електричне енергије из ОИЕ уведен је нови систем подстицаја у виду тржишних премија, док су фид-ин тарифе задржане само за мала постројења. Право на обе врсте подстицаја стиче се у поступку аукција, а подстицајни период продужен је са</w:t>
      </w:r>
      <w:r w:rsidRPr="00862061">
        <w:rPr>
          <w:rFonts w:eastAsia="Calibri" w:cs="Times New Roman"/>
          <w:b/>
          <w:szCs w:val="24"/>
          <w:lang w:val="sr-Cyrl-RS"/>
        </w:rPr>
        <w:t xml:space="preserve"> </w:t>
      </w:r>
      <w:r w:rsidRPr="00862061">
        <w:rPr>
          <w:rFonts w:eastAsia="Calibri" w:cs="Times New Roman"/>
          <w:szCs w:val="24"/>
          <w:lang w:val="sr-Cyrl-RS"/>
        </w:rPr>
        <w:t>12 на 15 година. Створени су услови за стабилност подстицајних мера. Уведен је и нови начин реализације пројеката ОИЕ, када аукције нису довољне мере да се остваре циљеви или када то захтевају потребе енергетске транзиције, изградња нових електрана на ОИЕ може се реализовати кроз јавни тендер за избор стратешког партнера. Уведен је корпоративни уговор о откупу електричне енергије који омогућава произвођачима електричне енергије из ОИЕ да закључе уговор о откупу електричне енергије директно са крајњим купцем (без посредовања снабдевача како је правило на тржишту). Уведен је нови правни институт купац-произвођач (prosumer), који има право да свој објекат на ОИЕ прикључи за своје потребе, а вишак енергије коју произведе, а не потроши, испоручи у систем и за то му се умањи рачун. Законом су предвиђене и заједнице обновљивих извора енергије (energy communities) у којима се физичка и правна лица удружују ради производње енергије из ОИЕ. Предвиђено је коришћење ОИЕ у топлотној енергији и у саобраћају. У сектору топлотне енергије први пут је прецизирано за коју врсту ОИЕ се могу стећи подстицајне мере (топлотне пумпе, биомаса, соларна енергија, геотермална енергија).</w:t>
      </w:r>
    </w:p>
    <w:p w14:paraId="4CABA41A"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lastRenderedPageBreak/>
        <w:t>Створени су услови за коришћење и подстицање иновационих технологија у раном развоју које користе нове обновљиве изворе, као што је обновљиви водоник.</w:t>
      </w:r>
    </w:p>
    <w:p w14:paraId="6FC36377"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Уведен је правни основ за е-енергетику, као и мера прибављања документације из службених евиденција, чиме ће се поступци знатно убрзати и смањити трошкови за привреду и грађане.</w:t>
      </w:r>
    </w:p>
    <w:p w14:paraId="35CBCD42"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Припремљен је нови план инвестиција са пројектима у енергетици и рударству вредним око 17 милијарди евра, од чега је око 12 милијарди евра планирано за пројекте који се односе на ветропаркове, соларне електране и хидроелектране. У случају реализације свих пројеката из инвестиционог плана укупна емисија CO2 била би смањена за око 23 милиона тона.  </w:t>
      </w:r>
    </w:p>
    <w:p w14:paraId="668E2EB9"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Поред ветропарка Костолац снаге 66 MW у власништву ЈП ЕПС, који је већ у изградњи, могуће локације за реализацију пројеката државних ветроелектрана су још Забела и Ковин – Дубовац, као и ЈПП са компанијом Fintel Energija a.d. за изградњу ветропарка Maestrale Ring снаге приближно 600 MW и др. (укупна снага око 3.000 MW, укупна вредност пројеката око 3 милијарде евра). </w:t>
      </w:r>
    </w:p>
    <w:p w14:paraId="77A34F90" w14:textId="77777777" w:rsidR="00DC7F92" w:rsidRPr="00862061" w:rsidRDefault="00DC7F92" w:rsidP="00DC7F92">
      <w:pPr>
        <w:spacing w:after="60"/>
        <w:rPr>
          <w:rFonts w:eastAsia="Calibri" w:cs="Times New Roman"/>
          <w:b/>
          <w:szCs w:val="24"/>
          <w:lang w:val="sr-Cyrl-RS"/>
        </w:rPr>
      </w:pPr>
      <w:r w:rsidRPr="00862061">
        <w:rPr>
          <w:rFonts w:eastAsia="Calibri" w:cs="Times New Roman"/>
          <w:szCs w:val="24"/>
          <w:lang w:val="sr-Cyrl-RS"/>
        </w:rPr>
        <w:t>Државни пројекти соларних електрана реализовали би се на државном земљишту где доминира више од 200.000 хектара упарложеног пољопривредног земљишта на коме је могућа градња око 2.000 MW соларних електрана (у оквиру овог плана потписан је Споразум о сарадњи између Министарства рударства и енергетике и компаније UGT Renewables LLC, са којом се преговара о изградњи соларних панела укупне снаге око 1.000 MW, на површини од око 2.000 хектара и десетак локација широм Србије, чиме би се добио додатни капацитет од једног гигавата елкетричне енергије и смањила емисија угљен-диоксида за 1,9 милиона тона годишње). На земљишту које припада ЈП ЕПС (депоније термоелектрана) могућа је изградња око 300 MW соларних електрана укупне вредности око 200 милиона евра). Започета је реализација великог државног пројекта промовисања новог института купац-продавац, у оквиру којег је извршена процена укупне површине кровова у Републици Србији која износи око 600 km2. Постављање кровних соларних панела на 10% ове површине обезбедило би инсталисану снагу од 6.000 MW (70% укупно инсталисане снаге данас), односно годишњу производњу од 7 ТWh (око 20% укупне актуелне годишње производње). Укупно државни пројекти соларних електрана доносе нових 8.300 MW снаге, укупне вредности 6,2 милијарде евра).</w:t>
      </w:r>
      <w:r w:rsidRPr="00862061">
        <w:rPr>
          <w:rFonts w:eastAsia="Calibri" w:cs="Times New Roman"/>
          <w:b/>
          <w:szCs w:val="24"/>
          <w:lang w:val="sr-Cyrl-RS"/>
        </w:rPr>
        <w:t xml:space="preserve"> </w:t>
      </w:r>
    </w:p>
    <w:p w14:paraId="4F3037C7" w14:textId="38AF92C0" w:rsidR="00DC7F92" w:rsidRPr="00862061" w:rsidRDefault="00DC7F92" w:rsidP="00DC7F92">
      <w:pPr>
        <w:spacing w:after="60"/>
        <w:rPr>
          <w:rFonts w:eastAsia="Calibri" w:cs="Times New Roman"/>
          <w:b/>
          <w:szCs w:val="24"/>
          <w:lang w:val="sr-Cyrl-RS"/>
        </w:rPr>
      </w:pPr>
      <w:r w:rsidRPr="00862061">
        <w:rPr>
          <w:rFonts w:eastAsia="Calibri" w:cs="Times New Roman"/>
          <w:b/>
          <w:szCs w:val="24"/>
          <w:lang w:val="sr-Cyrl-RS"/>
        </w:rPr>
        <w:t xml:space="preserve">Неопходно је унапређење дистрибутивне мреже енергената на територији Србије кроз инсталирање савремене опреме и увођење савременог управљачког и надзорног система. </w:t>
      </w:r>
      <w:r w:rsidRPr="00862061">
        <w:rPr>
          <w:rFonts w:eastAsia="Calibri" w:cs="Times New Roman"/>
          <w:szCs w:val="24"/>
          <w:lang w:val="sr-Cyrl-RS"/>
        </w:rPr>
        <w:t xml:space="preserve">Укупни губици у преносу и дистрибуцији електричне енергије у односу на бруто потрошњу електричне енергије износе 13% у </w:t>
      </w:r>
      <w:r w:rsidRPr="00882DE6">
        <w:rPr>
          <w:rFonts w:eastAsia="Calibri" w:cs="Times New Roman"/>
          <w:szCs w:val="24"/>
          <w:lang w:val="sr-Cyrl-RS"/>
        </w:rPr>
        <w:t>2020</w:t>
      </w:r>
      <w:r w:rsidR="006125A9" w:rsidRPr="00882DE6">
        <w:rPr>
          <w:rStyle w:val="FootnoteReference"/>
          <w:rFonts w:eastAsia="Calibri" w:cs="Times New Roman"/>
          <w:szCs w:val="24"/>
          <w:lang w:val="sr-Cyrl-RS"/>
        </w:rPr>
        <w:footnoteReference w:id="47"/>
      </w:r>
      <w:r w:rsidRPr="00882DE6">
        <w:rPr>
          <w:rFonts w:eastAsia="Calibri" w:cs="Times New Roman"/>
          <w:szCs w:val="24"/>
          <w:lang w:val="sr-Cyrl-RS"/>
        </w:rPr>
        <w:t>.</w:t>
      </w:r>
      <w:r w:rsidRPr="00862061">
        <w:rPr>
          <w:rFonts w:eastAsia="Calibri" w:cs="Times New Roman"/>
          <w:szCs w:val="24"/>
          <w:lang w:val="sr-Cyrl-RS"/>
        </w:rPr>
        <w:t xml:space="preserve"> (12,8% у 2019.). У сектору гаса укупни губици у испоруци, дисрибуцији и за сопствену потрошњу износе 22 мил</w:t>
      </w:r>
      <w:r>
        <w:rPr>
          <w:rFonts w:eastAsia="Calibri" w:cs="Times New Roman"/>
          <w:szCs w:val="24"/>
          <w:lang w:val="sr-Cyrl-RS"/>
        </w:rPr>
        <w:t>иона</w:t>
      </w:r>
      <w:r w:rsidRPr="00862061">
        <w:rPr>
          <w:rFonts w:eastAsia="Calibri" w:cs="Times New Roman"/>
          <w:szCs w:val="24"/>
          <w:lang w:val="sr-Cyrl-RS"/>
        </w:rPr>
        <w:t xml:space="preserve"> m</w:t>
      </w:r>
      <w:r w:rsidRPr="00862061">
        <w:rPr>
          <w:rFonts w:eastAsia="Calibri" w:cs="Times New Roman"/>
          <w:szCs w:val="24"/>
          <w:vertAlign w:val="superscript"/>
          <w:lang w:val="sr-Cyrl-RS"/>
        </w:rPr>
        <w:t xml:space="preserve">3 </w:t>
      </w:r>
      <w:r w:rsidRPr="00862061">
        <w:rPr>
          <w:rFonts w:eastAsia="Calibri" w:cs="Times New Roman"/>
          <w:szCs w:val="24"/>
          <w:lang w:val="sr-Cyrl-RS"/>
        </w:rPr>
        <w:t>(26 мил</w:t>
      </w:r>
      <w:r>
        <w:rPr>
          <w:rFonts w:eastAsia="Calibri" w:cs="Times New Roman"/>
          <w:szCs w:val="24"/>
          <w:lang w:val="sr-Cyrl-RS"/>
        </w:rPr>
        <w:t>иона</w:t>
      </w:r>
      <w:r w:rsidRPr="00862061">
        <w:rPr>
          <w:rFonts w:eastAsia="Calibri" w:cs="Times New Roman"/>
          <w:szCs w:val="24"/>
          <w:lang w:val="sr-Cyrl-RS"/>
        </w:rPr>
        <w:t xml:space="preserve"> m</w:t>
      </w:r>
      <w:r w:rsidRPr="00862061">
        <w:rPr>
          <w:rFonts w:eastAsia="Calibri" w:cs="Times New Roman"/>
          <w:szCs w:val="24"/>
          <w:vertAlign w:val="superscript"/>
          <w:lang w:val="sr-Cyrl-RS"/>
        </w:rPr>
        <w:t xml:space="preserve">3 </w:t>
      </w:r>
      <w:r w:rsidRPr="00862061">
        <w:rPr>
          <w:rFonts w:eastAsia="Calibri" w:cs="Times New Roman"/>
          <w:szCs w:val="24"/>
          <w:lang w:val="sr-Cyrl-RS"/>
        </w:rPr>
        <w:t>у 2019.)</w:t>
      </w:r>
      <w:r w:rsidRPr="00862061">
        <w:rPr>
          <w:rFonts w:eastAsia="Calibri" w:cs="Times New Roman"/>
          <w:szCs w:val="24"/>
          <w:vertAlign w:val="superscript"/>
          <w:lang w:val="sr-Cyrl-RS"/>
        </w:rPr>
        <w:t xml:space="preserve"> </w:t>
      </w:r>
      <w:r w:rsidRPr="00862061">
        <w:rPr>
          <w:rFonts w:eastAsia="Calibri" w:cs="Times New Roman"/>
          <w:szCs w:val="24"/>
          <w:vertAlign w:val="superscript"/>
          <w:lang w:val="sr-Cyrl-RS"/>
        </w:rPr>
        <w:footnoteReference w:id="48"/>
      </w:r>
      <w:r w:rsidRPr="00862061">
        <w:rPr>
          <w:rFonts w:eastAsia="Calibri" w:cs="Times New Roman"/>
          <w:szCs w:val="24"/>
          <w:lang w:val="sr-Cyrl-RS"/>
        </w:rPr>
        <w:t>.</w:t>
      </w:r>
      <w:r w:rsidRPr="00862061">
        <w:rPr>
          <w:rFonts w:eastAsia="Calibri" w:cs="Times New Roman"/>
          <w:szCs w:val="24"/>
          <w:vertAlign w:val="superscript"/>
          <w:lang w:val="sr-Cyrl-RS"/>
        </w:rPr>
        <w:t xml:space="preserve"> </w:t>
      </w:r>
      <w:r w:rsidRPr="00862061">
        <w:rPr>
          <w:rFonts w:eastAsia="Calibri" w:cs="Times New Roman"/>
          <w:szCs w:val="24"/>
          <w:lang w:val="sr-Cyrl-RS"/>
        </w:rPr>
        <w:t>Једн</w:t>
      </w:r>
      <w:r w:rsidRPr="00862061">
        <w:rPr>
          <w:rFonts w:eastAsia="Calibri" w:cs="Times New Roman"/>
          <w:szCs w:val="24"/>
          <w:lang w:val="sr-Latn-RS"/>
        </w:rPr>
        <w:t>o</w:t>
      </w:r>
      <w:r w:rsidRPr="00862061">
        <w:rPr>
          <w:rFonts w:eastAsia="Calibri" w:cs="Times New Roman"/>
          <w:szCs w:val="24"/>
          <w:lang w:val="sr-Cyrl-RS"/>
        </w:rPr>
        <w:t xml:space="preserve"> од основних средстава за смањење губитака електричне енергије и редукцију оптерећења постојећих преносних капацитета </w:t>
      </w:r>
      <w:r w:rsidRPr="00862061">
        <w:rPr>
          <w:rFonts w:eastAsia="Calibri" w:cs="Times New Roman"/>
          <w:szCs w:val="24"/>
          <w:lang w:val="sr-Latn-RS"/>
        </w:rPr>
        <w:t xml:space="preserve">je </w:t>
      </w:r>
      <w:r w:rsidRPr="00862061">
        <w:rPr>
          <w:rFonts w:eastAsia="Calibri" w:cs="Times New Roman"/>
          <w:szCs w:val="24"/>
          <w:lang w:val="sr-Cyrl-RS"/>
        </w:rPr>
        <w:t>изградња нове електроенергетске инфраструктуре, при чему jе, од планираних пројеката из ове области, битна изградња Трансбалканског коридора за пренос електричне енергије</w:t>
      </w:r>
      <w:r w:rsidRPr="00862061">
        <w:rPr>
          <w:rFonts w:eastAsia="Calibri" w:cs="Times New Roman"/>
          <w:szCs w:val="24"/>
          <w:lang w:val="sr-Latn-RS"/>
        </w:rPr>
        <w:t xml:space="preserve">. </w:t>
      </w:r>
      <w:r w:rsidRPr="00862061">
        <w:rPr>
          <w:rFonts w:eastAsia="Calibri" w:cs="Times New Roman"/>
          <w:szCs w:val="24"/>
          <w:lang w:val="sr-Cyrl-RS"/>
        </w:rPr>
        <w:t xml:space="preserve">Као део овог пројекта, настављена је изградња 400 kV далековода на релацији Крагујевац-Краљево, а обезбеђена су и средства за изградњу далековода 400 kV на релацији Обреновац-Бајина Башта, као и подизање напонског нивоа ТС Бајина Башта на 400 kV. У циљу смањења комерцијалних и техничких губитака у </w:t>
      </w:r>
      <w:r w:rsidRPr="00862061">
        <w:rPr>
          <w:rFonts w:eastAsia="Calibri" w:cs="Times New Roman"/>
          <w:szCs w:val="24"/>
          <w:lang w:val="sr-Cyrl-RS"/>
        </w:rPr>
        <w:lastRenderedPageBreak/>
        <w:t>дистрибутивном систему и  унапређења  ефикасности  управљања и контроле над дистрибутивним системом електричне енергије планира се реализација Пројек</w:t>
      </w:r>
      <w:r w:rsidR="00B046C3">
        <w:rPr>
          <w:rFonts w:eastAsia="Calibri" w:cs="Times New Roman"/>
          <w:szCs w:val="24"/>
          <w:lang w:val="sr-Cyrl-RS"/>
        </w:rPr>
        <w:t>т</w:t>
      </w:r>
      <w:r w:rsidRPr="00862061">
        <w:rPr>
          <w:rFonts w:eastAsia="Calibri" w:cs="Times New Roman"/>
          <w:szCs w:val="24"/>
          <w:lang w:val="sr-Cyrl-RS"/>
        </w:rPr>
        <w:t>а увођења паметних бројила и Пројекта аутоматизације дистрибутивне мреже чија је укупна вередност  вредност око 230 мил</w:t>
      </w:r>
      <w:r>
        <w:rPr>
          <w:rFonts w:eastAsia="Calibri" w:cs="Times New Roman"/>
          <w:szCs w:val="24"/>
          <w:lang w:val="sr-Cyrl-RS"/>
        </w:rPr>
        <w:t>иона</w:t>
      </w:r>
      <w:r w:rsidRPr="00862061">
        <w:rPr>
          <w:rFonts w:eastAsia="Calibri" w:cs="Times New Roman"/>
          <w:szCs w:val="24"/>
          <w:lang w:val="sr-Cyrl-RS"/>
        </w:rPr>
        <w:t xml:space="preserve"> евра. Интензивирани су радови на инсталацији нових трансформаторских станица и увођењу мобилних трансформаторских станица, градњи и пуштању у рад далековода, а наставиће се са </w:t>
      </w:r>
      <w:r w:rsidRPr="00862061">
        <w:rPr>
          <w:rFonts w:eastAsia="Calibri" w:cs="Times New Roman"/>
          <w:bCs/>
          <w:szCs w:val="24"/>
          <w:lang w:val="sr-Cyrl-RS"/>
        </w:rPr>
        <w:t>аутоматизацијом и модернизацијом дистрибутивне мреже.</w:t>
      </w:r>
      <w:r w:rsidRPr="00862061">
        <w:rPr>
          <w:rFonts w:eastAsia="Calibri" w:cs="Times New Roman"/>
          <w:szCs w:val="24"/>
          <w:lang w:val="sr-Cyrl-RS"/>
        </w:rPr>
        <w:t xml:space="preserve"> </w:t>
      </w:r>
    </w:p>
    <w:p w14:paraId="07D8BFDD" w14:textId="02794BBB"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Правно и функционално раздвајање</w:t>
      </w:r>
      <w:r w:rsidRPr="00862061">
        <w:rPr>
          <w:rFonts w:eastAsia="Calibri" w:cs="Times New Roman"/>
          <w:szCs w:val="24"/>
          <w:lang w:val="sr-Cyrl-RS"/>
        </w:rPr>
        <w:t xml:space="preserve"> опратора дистрибутивног система електричне енергије  је завршено. Одлуком о изменама и допунама  оснивачког акта оператора дистрибутивног система ЕПС Дистрибуција д.о.о. коју је Влада донела 28. јануара 2021. године оснивач друштва и једини члан оснивача са 100% удела је Република Србија. Промењено је пословно име Друштва у Електродистрибуција Србије д.о.о.   Електродистрибуција Србије је 6.</w:t>
      </w:r>
      <w:r>
        <w:rPr>
          <w:rFonts w:eastAsia="Calibri" w:cs="Times New Roman"/>
          <w:szCs w:val="24"/>
          <w:lang w:val="sr-Cyrl-RS"/>
        </w:rPr>
        <w:t xml:space="preserve"> </w:t>
      </w:r>
      <w:r w:rsidRPr="00862061">
        <w:rPr>
          <w:rFonts w:eastAsia="Calibri" w:cs="Times New Roman"/>
          <w:szCs w:val="24"/>
          <w:lang w:val="sr-Cyrl-RS"/>
        </w:rPr>
        <w:t>априла 2021. године прибавила лиценцу за обављање енергетске делатности дистрибуција електричне енергије и управљање дистрибутивни</w:t>
      </w:r>
      <w:r w:rsidR="001F4238">
        <w:rPr>
          <w:rFonts w:eastAsia="Calibri" w:cs="Times New Roman"/>
          <w:szCs w:val="24"/>
          <w:lang w:val="sr-Cyrl-RS"/>
        </w:rPr>
        <w:t>м системом електричне енергије.</w:t>
      </w:r>
    </w:p>
    <w:p w14:paraId="21452A59"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Започете реформе тржишта гаса треба интензивирати како би се осигурала сигурност снабдевања гасом</w:t>
      </w:r>
      <w:r w:rsidRPr="00862061">
        <w:rPr>
          <w:rFonts w:eastAsia="Calibri" w:cs="Times New Roman"/>
          <w:szCs w:val="24"/>
          <w:lang w:val="sr-Cyrl-RS"/>
        </w:rPr>
        <w:t>. Издвојени су Транспортгас Србија доо (оператор транспортног система за природни гас) и Дистрибуцијагас Србија доо (оператор дистрибутивног система природног гаса) из ЈП Србијагаса, у складу са Планом реорганизације</w:t>
      </w:r>
      <w:r w:rsidRPr="00862061">
        <w:rPr>
          <w:rFonts w:eastAsia="Calibri" w:cs="Times New Roman"/>
          <w:szCs w:val="24"/>
          <w:vertAlign w:val="superscript"/>
          <w:lang w:val="sr-Cyrl-RS"/>
        </w:rPr>
        <w:footnoteReference w:id="49"/>
      </w:r>
      <w:r w:rsidRPr="00862061">
        <w:rPr>
          <w:rFonts w:eastAsia="Calibri" w:cs="Times New Roman"/>
          <w:szCs w:val="24"/>
          <w:lang w:val="sr-Cyrl-RS"/>
        </w:rPr>
        <w:t>. Пренето је власништво Транспортгаса на Републику Србију у циљу стварања независног оператора транспортног система. Усвојен је План развоја транспортног гасоводног система за период 2020-2029. године, у циљу обезбеђивања веће сигурности испоруке гаса, као и развоја транспортног система кроз проширење гасоводне мреже и изградњу интерконектора са транспортним системима суседних држава.</w:t>
      </w:r>
      <w:r w:rsidRPr="00862061">
        <w:rPr>
          <w:rFonts w:ascii="Calibri" w:eastAsia="Calibri" w:hAnsi="Calibri" w:cs="Times New Roman"/>
          <w:lang w:val="sr-Cyrl-RS"/>
        </w:rPr>
        <w:t xml:space="preserve"> </w:t>
      </w:r>
    </w:p>
    <w:p w14:paraId="7576607C"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Потребно је повећати степен гасификације и извршити диверсификацију правца и извора снабдевања гасом. </w:t>
      </w:r>
      <w:r w:rsidRPr="00862061">
        <w:rPr>
          <w:rFonts w:eastAsia="Calibri" w:cs="Times New Roman"/>
          <w:szCs w:val="24"/>
          <w:lang w:val="sr-Cyrl-RS"/>
        </w:rPr>
        <w:t>Гасификовано је око 60% територије Републике Србије, док је свега 10% домаћинства прикључено на гас</w:t>
      </w:r>
      <w:r w:rsidRPr="00862061">
        <w:rPr>
          <w:rFonts w:eastAsia="Calibri" w:cs="Times New Roman"/>
          <w:szCs w:val="24"/>
          <w:vertAlign w:val="superscript"/>
          <w:lang w:val="sr-Cyrl-RS"/>
        </w:rPr>
        <w:footnoteReference w:id="50"/>
      </w:r>
      <w:r w:rsidRPr="00862061">
        <w:rPr>
          <w:rFonts w:eastAsia="Calibri" w:cs="Times New Roman"/>
          <w:szCs w:val="24"/>
          <w:lang w:val="sr-Cyrl-RS"/>
        </w:rPr>
        <w:t xml:space="preserve">. Домаћом производњом је могуће задовољити 10,7% укупних потреба за природним гасом. Линијски транспортни систем са само два улаза у земљу (из Мађарске и Бугарске) ограничава развој тржишта гаса. Изградњом гасовода Балкански ток, и отпочело је снабдевање Републике Србије кроз овај гасовод од 1. јануара 2021. године. Овај гасовод је омогућио да се од октобра 2021. преко Србије транспортују прве количине транзитног гаса за средњу Европу. Потписан је уговор о зајму ЕИБ за изградњу гасовода Ниш-Димитровград, за који се очекује да ће бити оперативан од 2023. године. </w:t>
      </w:r>
    </w:p>
    <w:p w14:paraId="5960722D" w14:textId="77777777" w:rsidR="00DC7F92" w:rsidRDefault="00DC7F92" w:rsidP="00DC7F92">
      <w:pPr>
        <w:spacing w:after="60"/>
        <w:rPr>
          <w:rFonts w:eastAsia="Calibri" w:cs="Times New Roman"/>
          <w:szCs w:val="24"/>
          <w:lang w:val="sr-Cyrl-RS"/>
        </w:rPr>
      </w:pPr>
      <w:r w:rsidRPr="00862061">
        <w:rPr>
          <w:rFonts w:eastAsia="Calibri" w:cs="Times New Roman"/>
          <w:b/>
          <w:szCs w:val="24"/>
          <w:lang w:val="sr-Cyrl-RS"/>
        </w:rPr>
        <w:t>Потребно је успоставити цену електричне енергије</w:t>
      </w:r>
      <w:r w:rsidRPr="00862061">
        <w:rPr>
          <w:rFonts w:eastAsia="Calibri" w:cs="Times New Roman"/>
          <w:b/>
          <w:szCs w:val="24"/>
          <w:vertAlign w:val="superscript"/>
          <w:lang w:val="sr-Cyrl-RS"/>
        </w:rPr>
        <w:footnoteReference w:id="51"/>
      </w:r>
      <w:r w:rsidRPr="00862061">
        <w:rPr>
          <w:rFonts w:eastAsia="Calibri" w:cs="Times New Roman"/>
          <w:b/>
          <w:szCs w:val="24"/>
          <w:lang w:val="sr-Cyrl-RS"/>
        </w:rPr>
        <w:t xml:space="preserve"> тако да одражава трошкове регулисаних делатности (мрежарине), као и тржишне цене за електричну енергију, водећи рачуна о животном стандарду и заштити енергетски угрожених купаца. </w:t>
      </w:r>
      <w:r w:rsidRPr="00862061">
        <w:rPr>
          <w:rFonts w:eastAsia="Calibri" w:cs="Times New Roman"/>
          <w:szCs w:val="24"/>
          <w:lang w:val="sr-Cyrl-RS"/>
        </w:rPr>
        <w:t xml:space="preserve">Цена електричне енергије у Србији износи 7,38 евроценти по киловат-часу у 2020. (21,34 просек ЕУ-27, Еуростат) и у просеку je нижа за 20-45% од цене у другим земљама ЈИЕ. У сектору електричне енергије, енергетске тарифе за пренос и дистрибуцију одражавају потребан ниво инвестиција и одржавања. </w:t>
      </w:r>
    </w:p>
    <w:p w14:paraId="64090F5F"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Нерегулисано тржиште је чинило 4</w:t>
      </w:r>
      <w:r>
        <w:rPr>
          <w:rFonts w:eastAsia="Calibri" w:cs="Times New Roman"/>
          <w:szCs w:val="24"/>
          <w:lang w:val="sr-Cyrl-RS"/>
        </w:rPr>
        <w:t>8</w:t>
      </w:r>
      <w:r w:rsidRPr="00862061">
        <w:rPr>
          <w:rFonts w:eastAsia="Calibri" w:cs="Times New Roman"/>
          <w:szCs w:val="24"/>
          <w:lang w:val="sr-Cyrl-RS"/>
        </w:rPr>
        <w:t xml:space="preserve">% укупне потрошње електричне енергије </w:t>
      </w:r>
      <w:r>
        <w:rPr>
          <w:rFonts w:eastAsia="Calibri" w:cs="Times New Roman"/>
          <w:szCs w:val="24"/>
          <w:lang w:val="sr-Cyrl-RS"/>
        </w:rPr>
        <w:t>крајњих купаца у 2020. години</w:t>
      </w:r>
      <w:r w:rsidRPr="00862061">
        <w:rPr>
          <w:rFonts w:eastAsia="Calibri" w:cs="Times New Roman"/>
          <w:szCs w:val="24"/>
          <w:lang w:val="sr-Cyrl-RS"/>
        </w:rPr>
        <w:t xml:space="preserve"> и 84,1% укупне потрошње гаса од стране крајњих потрошача у 2019. години. </w:t>
      </w:r>
    </w:p>
    <w:p w14:paraId="4A9FA659"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lastRenderedPageBreak/>
        <w:t>Заштита енергетски угрожених купаца електричне енергије и природног гаса у Републици Србији  пружа се у складу са Уредбом о енергетски угроженом купцу („Службени гласник РС”, бр. 113/15 и 59/18).</w:t>
      </w:r>
    </w:p>
    <w:p w14:paraId="69BD8151" w14:textId="2A201541"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Право угроженог купца на умањење рачуна за електричну енергију у  периоду јануар-децембар 2020. године користило је просечно месечно 72.694 домаћинстава, а на умањење рачуна за природни гас 68 домаћинстав, што представља низак ниво заштите угрожених домаћинстава у односу на процењени број домаћинстава са најнижим приходима, корисника новчане социјалне помоћи и дечијег додатка.</w:t>
      </w:r>
      <w:r>
        <w:rPr>
          <w:rFonts w:eastAsia="Calibri" w:cs="Times New Roman"/>
          <w:szCs w:val="24"/>
          <w:lang w:val="sr-Cyrl-RS"/>
        </w:rPr>
        <w:t xml:space="preserve"> </w:t>
      </w:r>
      <w:r w:rsidRPr="00862061">
        <w:rPr>
          <w:rFonts w:eastAsia="Calibri" w:cs="Times New Roman"/>
          <w:szCs w:val="24"/>
          <w:lang w:val="sr-Cyrl-RS"/>
        </w:rPr>
        <w:t>( Извештај АЕРС)</w:t>
      </w:r>
    </w:p>
    <w:p w14:paraId="2616EA3A" w14:textId="77777777" w:rsidR="00DC7F92" w:rsidRPr="00862061" w:rsidRDefault="00DC7F92" w:rsidP="00DC7F92">
      <w:pPr>
        <w:spacing w:after="60"/>
        <w:rPr>
          <w:rFonts w:eastAsia="Calibri" w:cs="Times New Roman"/>
          <w:szCs w:val="24"/>
          <w:lang w:val="sr-Cyrl-RS"/>
        </w:rPr>
      </w:pPr>
      <w:r>
        <w:rPr>
          <w:rFonts w:eastAsia="Calibri" w:cs="Times New Roman"/>
          <w:szCs w:val="24"/>
          <w:lang w:val="sr-Cyrl-RS"/>
        </w:rPr>
        <w:t>Законом о и</w:t>
      </w:r>
      <w:r w:rsidRPr="00862061">
        <w:rPr>
          <w:rFonts w:eastAsia="Calibri" w:cs="Times New Roman"/>
          <w:szCs w:val="24"/>
          <w:lang w:val="sr-Cyrl-RS"/>
        </w:rPr>
        <w:t>зменама и допунама Закона о енергетици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као енергетски угрожени купци су, поред купаца електричне енергије и гаса, обухваћени и купци топлотне енергије. </w:t>
      </w:r>
    </w:p>
    <w:p w14:paraId="582478D4" w14:textId="5271A329" w:rsidR="00DC7F92" w:rsidRPr="00862061" w:rsidRDefault="00DC7F92" w:rsidP="00DC7F92">
      <w:pPr>
        <w:spacing w:after="60"/>
        <w:rPr>
          <w:rFonts w:eastAsia="Calibri" w:cs="Times New Roman"/>
          <w:b/>
          <w:szCs w:val="24"/>
          <w:lang w:val="sr-Cyrl-RS"/>
        </w:rPr>
      </w:pPr>
      <w:r w:rsidRPr="00862061">
        <w:rPr>
          <w:rFonts w:eastAsia="Calibri" w:cs="Times New Roman"/>
          <w:szCs w:val="24"/>
          <w:lang w:val="sr-Cyrl-RS"/>
        </w:rPr>
        <w:t>Припремљен је нови предлог Уредбе о енергетски угроженом купцу који је у процедури усвајања на Влади</w:t>
      </w:r>
      <w:r>
        <w:rPr>
          <w:rFonts w:eastAsia="Calibri" w:cs="Times New Roman"/>
          <w:szCs w:val="24"/>
          <w:lang w:val="sr-Cyrl-RS"/>
        </w:rPr>
        <w:t>.</w:t>
      </w:r>
      <w:r w:rsidRPr="00862061">
        <w:rPr>
          <w:rFonts w:eastAsia="Calibri" w:cs="Times New Roman"/>
          <w:szCs w:val="24"/>
          <w:lang w:val="sr-Cyrl-RS"/>
        </w:rPr>
        <w:t xml:space="preserve"> У складу са предложеним условима за стицање статуса енергетски угроженог купца очекује се значајно повећање броја домаћинстава који ће моћи да </w:t>
      </w:r>
      <w:r w:rsidR="006A619A">
        <w:rPr>
          <w:rFonts w:eastAsia="Calibri" w:cs="Times New Roman"/>
          <w:szCs w:val="24"/>
          <w:lang w:val="sr-Cyrl-RS"/>
        </w:rPr>
        <w:t>остваре</w:t>
      </w:r>
      <w:r w:rsidR="006A619A" w:rsidRPr="00862061">
        <w:rPr>
          <w:rFonts w:eastAsia="Calibri" w:cs="Times New Roman"/>
          <w:szCs w:val="24"/>
          <w:lang w:val="sr-Cyrl-RS"/>
        </w:rPr>
        <w:t xml:space="preserve"> </w:t>
      </w:r>
      <w:r w:rsidRPr="00862061">
        <w:rPr>
          <w:rFonts w:eastAsia="Calibri" w:cs="Times New Roman"/>
          <w:szCs w:val="24"/>
          <w:lang w:val="sr-Cyrl-RS"/>
        </w:rPr>
        <w:t>правао на субвенција у плаћању рачуна за електричну енергију, природни гас и топлотну енергију</w:t>
      </w:r>
      <w:r w:rsidRPr="00862061">
        <w:rPr>
          <w:rFonts w:eastAsia="Calibri" w:cs="Times New Roman"/>
          <w:szCs w:val="24"/>
          <w:vertAlign w:val="superscript"/>
          <w:lang w:val="sr-Cyrl-RS"/>
        </w:rPr>
        <w:footnoteReference w:id="52"/>
      </w:r>
      <w:r w:rsidRPr="00862061">
        <w:rPr>
          <w:rFonts w:eastAsia="Calibri" w:cs="Times New Roman"/>
          <w:szCs w:val="24"/>
          <w:lang w:val="sr-Cyrl-RS"/>
        </w:rPr>
        <w:t>.</w:t>
      </w:r>
    </w:p>
    <w:p w14:paraId="0A3C3AFB"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У наредном периоду биће убрзани и поједностављени поступци за остваривање права у области енергетике. </w:t>
      </w:r>
      <w:r w:rsidRPr="005002D3">
        <w:rPr>
          <w:rFonts w:eastAsia="Calibri" w:cs="Times New Roman"/>
          <w:i/>
          <w:szCs w:val="24"/>
          <w:lang w:val="sr-Cyrl-RS"/>
        </w:rPr>
        <w:t>Законом</w:t>
      </w:r>
      <w:r w:rsidRPr="005002D3">
        <w:rPr>
          <w:rFonts w:eastAsia="Calibri" w:cs="Times New Roman"/>
          <w:szCs w:val="24"/>
          <w:lang w:val="sr-Cyrl-RS"/>
        </w:rPr>
        <w:t xml:space="preserve"> о и</w:t>
      </w:r>
      <w:r w:rsidRPr="00862061">
        <w:rPr>
          <w:rFonts w:eastAsia="Calibri" w:cs="Times New Roman"/>
          <w:i/>
          <w:szCs w:val="24"/>
          <w:lang w:val="sr-Cyrl-RS"/>
        </w:rPr>
        <w:t>зменама и допунама Закона о енергетици</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предвиђено је брже и једноставније издавање дозвола и сагласности кроз систем електронског пословања (</w:t>
      </w:r>
      <w:r w:rsidRPr="00862061">
        <w:rPr>
          <w:rFonts w:eastAsia="Calibri" w:cs="Times New Roman"/>
          <w:b/>
          <w:szCs w:val="24"/>
          <w:lang w:val="sr-Cyrl-RS"/>
        </w:rPr>
        <w:t>е-енергетика</w:t>
      </w:r>
      <w:r w:rsidRPr="00862061">
        <w:rPr>
          <w:rFonts w:eastAsia="Calibri" w:cs="Times New Roman"/>
          <w:szCs w:val="24"/>
          <w:lang w:val="sr-Cyrl-RS"/>
        </w:rPr>
        <w:t xml:space="preserve">). </w:t>
      </w:r>
      <w:r w:rsidRPr="00862061">
        <w:rPr>
          <w:rFonts w:eastAsia="Calibri" w:cs="Times New Roman"/>
          <w:i/>
          <w:szCs w:val="24"/>
          <w:lang w:val="sr-Cyrl-RS"/>
        </w:rPr>
        <w:t>Изменама и допунама Закона о рударству и геолошким истраживањима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створена је основа за брже подношења захтева и ефикасније издавање дозвола, праћење и контролу геолошких истраживања и експлоатације минералних сировина, подземних вода и геотермалних ресурса (</w:t>
      </w:r>
      <w:r w:rsidRPr="00862061">
        <w:rPr>
          <w:rFonts w:eastAsia="Calibri" w:cs="Times New Roman"/>
          <w:b/>
          <w:szCs w:val="24"/>
          <w:lang w:val="sr-Cyrl-RS"/>
        </w:rPr>
        <w:t>е-рударство</w:t>
      </w:r>
      <w:r w:rsidRPr="00862061">
        <w:rPr>
          <w:rFonts w:eastAsia="Calibri" w:cs="Times New Roman"/>
          <w:szCs w:val="24"/>
          <w:lang w:val="sr-Cyrl-RS"/>
        </w:rPr>
        <w:t>). Увођењем е-рударства планирано је смањење времена издавања одобрења са актуелних 150 дана на 15-20 дана.</w:t>
      </w:r>
    </w:p>
    <w:p w14:paraId="43AF5A1E" w14:textId="5B9B4F6B"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lang w:val="sr-Cyrl-RS"/>
        </w:rPr>
        <w:t>а) Реформе</w:t>
      </w:r>
    </w:p>
    <w:p w14:paraId="39210DCF" w14:textId="3C68BD87"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7</w:t>
      </w:r>
      <w:r w:rsidRPr="00862061">
        <w:rPr>
          <w:rFonts w:eastAsia="Calibri" w:cs="Times New Roman"/>
          <w:b/>
          <w:i/>
          <w:szCs w:val="24"/>
          <w:u w:val="single"/>
        </w:rPr>
        <w:fldChar w:fldCharType="end"/>
      </w:r>
      <w:r w:rsidRPr="00862061">
        <w:rPr>
          <w:rFonts w:eastAsia="Calibri" w:cs="Times New Roman"/>
          <w:b/>
          <w:szCs w:val="24"/>
          <w:lang w:val="sr-Cyrl-RS"/>
        </w:rPr>
        <w:t xml:space="preserve">: </w:t>
      </w:r>
      <w:r w:rsidRPr="00862061">
        <w:rPr>
          <w:rFonts w:eastAsia="Calibri" w:cs="Times New Roman"/>
          <w:szCs w:val="24"/>
          <w:lang w:val="sr-Cyrl-CS"/>
        </w:rPr>
        <w:t>РАЗВОЈ ЕНЕРГЕТСКОГ ТРЖИШТА УЗ ИЗГРАДЊУ ЕНЕРГЕТСКЕ ИНФРАСТРУКТУРЕ</w:t>
      </w:r>
    </w:p>
    <w:p w14:paraId="441BA108"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2FD79C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Пројекат Tрансбалкански коридор се састоји од четири секције и као циљ има повећање преносног капацитета мреже Западне Србије, повећање сигурности и поузданости напајања електричном енергијом потрошача у Републици Србији, и изградњу нових интерконективних далековода (на границама са Румунијом, БиХ и Црном Гором). Прва секција (двосистемски далековод 400 kV ТС Панчево 2 – граница са Румунијом) је већ изграђена и пуштена у погон са стране Србије крајем 2017. године. Друга секција, коју чини далековод 400 kV ТС Крагујевац – ТС Краљево 3 (уз подизање ТС Краљево 3 на 400 kV напон), тренутно се налази у фази изградње. Трећу секцију пројекта чини далековод 2x400 ТС Обреновац – ТС Бајина Башта са подизањем напонског нивоа ТС Бајина Башта на 400 kV док четврту секцију чини далековод 2x400 kV ТС Бајина Башта – државна граница са ЦГ – државна граница са БиХ.</w:t>
      </w:r>
    </w:p>
    <w:p w14:paraId="0135F19C"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4284D92C"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0D829C3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6AF4903"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6D90E06D"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9FEA025"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85290AB"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74538D1F"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D8C39C8"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0791B4D5"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7BD2F69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749F27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AE6A3E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D2AC05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C229BC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6BE318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97DD50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B62BCC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5F1A19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1D21D7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4C21E4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60F4EE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3FE904F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459D2DA"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lastRenderedPageBreak/>
              <w:t>1</w:t>
            </w:r>
          </w:p>
        </w:tc>
        <w:tc>
          <w:tcPr>
            <w:tcW w:w="4120" w:type="dxa"/>
            <w:tcBorders>
              <w:top w:val="nil"/>
              <w:left w:val="single" w:sz="8" w:space="0" w:color="auto"/>
              <w:bottom w:val="single" w:sz="4" w:space="0" w:color="auto"/>
              <w:right w:val="nil"/>
            </w:tcBorders>
            <w:shd w:val="clear" w:color="auto" w:fill="auto"/>
          </w:tcPr>
          <w:p w14:paraId="44FAC0F3"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Реконструкција и доградња ТС Краљево 3 и реконструкција ТС Крагујевац 2, неопходна за увођење новог далековода Крагујевац - Краљево</w:t>
            </w:r>
          </w:p>
        </w:tc>
        <w:tc>
          <w:tcPr>
            <w:tcW w:w="422" w:type="dxa"/>
            <w:tcBorders>
              <w:top w:val="nil"/>
              <w:left w:val="single" w:sz="8" w:space="0" w:color="auto"/>
              <w:bottom w:val="single" w:sz="4" w:space="0" w:color="auto"/>
              <w:right w:val="single" w:sz="4" w:space="0" w:color="auto"/>
            </w:tcBorders>
            <w:shd w:val="clear" w:color="auto" w:fill="BFBFBF"/>
            <w:vAlign w:val="center"/>
          </w:tcPr>
          <w:p w14:paraId="62C8F64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9BFC7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53268A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9E5CAA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9D19E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8F8731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E63F29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B5ECF1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F3B9AB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CAA635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B3230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652C1FE"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56F318A"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96F58F5"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6FB48CD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Изградња далековода Крагујевац - Краљево</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C8AF14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95762B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874228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A5CCF7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58EB8F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5B3E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A8C468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27A81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D96B5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FF733A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984979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EB80A48"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AE12D38"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5CC5C9D"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14:paraId="3C09D8F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Изградња далековода Обреновац - Бајина Башта</w:t>
            </w:r>
          </w:p>
        </w:tc>
        <w:tc>
          <w:tcPr>
            <w:tcW w:w="422" w:type="dxa"/>
            <w:tcBorders>
              <w:top w:val="nil"/>
              <w:left w:val="single" w:sz="8" w:space="0" w:color="auto"/>
              <w:bottom w:val="single" w:sz="4" w:space="0" w:color="auto"/>
              <w:right w:val="single" w:sz="4" w:space="0" w:color="auto"/>
            </w:tcBorders>
            <w:shd w:val="clear" w:color="auto" w:fill="auto"/>
            <w:vAlign w:val="center"/>
          </w:tcPr>
          <w:p w14:paraId="60D44A3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B30612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A0BACA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CEA23F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D73345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7AAE2F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D2DC6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15E22C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367F69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66BECB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56473C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9BB8B70"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72B60C2"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B907589"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4</w:t>
            </w:r>
          </w:p>
        </w:tc>
        <w:tc>
          <w:tcPr>
            <w:tcW w:w="4120" w:type="dxa"/>
            <w:tcBorders>
              <w:top w:val="nil"/>
              <w:left w:val="single" w:sz="8" w:space="0" w:color="auto"/>
              <w:bottom w:val="single" w:sz="4" w:space="0" w:color="auto"/>
              <w:right w:val="nil"/>
            </w:tcBorders>
            <w:shd w:val="clear" w:color="auto" w:fill="auto"/>
          </w:tcPr>
          <w:p w14:paraId="6FFA11D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Доградња ТС 220/35 kV Бајина Башта на 400 kV напонски ниво</w:t>
            </w:r>
          </w:p>
        </w:tc>
        <w:tc>
          <w:tcPr>
            <w:tcW w:w="422" w:type="dxa"/>
            <w:tcBorders>
              <w:top w:val="nil"/>
              <w:left w:val="single" w:sz="8" w:space="0" w:color="auto"/>
              <w:bottom w:val="single" w:sz="4" w:space="0" w:color="auto"/>
              <w:right w:val="single" w:sz="4" w:space="0" w:color="auto"/>
            </w:tcBorders>
            <w:shd w:val="clear" w:color="auto" w:fill="auto"/>
            <w:vAlign w:val="center"/>
          </w:tcPr>
          <w:p w14:paraId="678A3AF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041C6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1C3322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867D09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1BB1E0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27CE51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C6C78D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863DA3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9B8612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173EC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51952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FD3B09E" w14:textId="77777777" w:rsidR="00DC7F92" w:rsidRPr="00862061" w:rsidRDefault="00DC7F92" w:rsidP="00DC7F92">
            <w:pPr>
              <w:spacing w:after="0"/>
              <w:jc w:val="center"/>
              <w:rPr>
                <w:rFonts w:eastAsia="Times New Roman" w:cs="Times New Roman"/>
                <w:sz w:val="20"/>
                <w:szCs w:val="20"/>
                <w:lang w:val="sr-Cyrl-RS"/>
              </w:rPr>
            </w:pPr>
          </w:p>
        </w:tc>
      </w:tr>
    </w:tbl>
    <w:p w14:paraId="062BD7A2" w14:textId="71A9AED0" w:rsidR="00DC7F92" w:rsidRPr="00862061" w:rsidRDefault="00DC7F92" w:rsidP="00DC7F92">
      <w:pPr>
        <w:spacing w:before="120" w:after="60"/>
        <w:rPr>
          <w:rFonts w:eastAsia="Times New Roman" w:cs="Times New Roman"/>
          <w:szCs w:val="24"/>
          <w:lang w:val="sr-Cyrl-RS"/>
        </w:rPr>
      </w:pPr>
      <w:r w:rsidRPr="00862061">
        <w:rPr>
          <w:rFonts w:eastAsia="Times New Roman" w:cs="Times New Roman"/>
          <w:szCs w:val="24"/>
          <w:lang w:val="sr-Cyrl-RS"/>
        </w:rPr>
        <w:t xml:space="preserve">За секцију III je крајем 2020. године потписан уговор о зајму као и уговор о донацији. Техничка документација за ову секцију би требало да буде завршена до новембра 2021. године, а након тога се очекује решавање имовинско-правних односа. Почетак градње је планиран за први квартал 2023. године, док се завршетак градње предвиђа у последњем кварталу 2025. године. Техничка документација за секцију IV би требало да се заврши до краја 2021. године, док почетак градње зависи од донације WBIF. Уколико се тражени износ донације одобри, градња ове секције би могла да почне </w:t>
      </w:r>
      <w:r>
        <w:rPr>
          <w:rFonts w:eastAsia="Times New Roman" w:cs="Times New Roman"/>
          <w:szCs w:val="24"/>
          <w:lang w:val="sr-Cyrl-RS"/>
        </w:rPr>
        <w:t xml:space="preserve">крајем </w:t>
      </w:r>
      <w:r w:rsidRPr="00862061">
        <w:rPr>
          <w:rFonts w:eastAsia="Times New Roman" w:cs="Times New Roman"/>
          <w:szCs w:val="24"/>
          <w:lang w:val="sr-Cyrl-RS"/>
        </w:rPr>
        <w:t xml:space="preserve">2024. </w:t>
      </w:r>
      <w:r>
        <w:rPr>
          <w:rFonts w:eastAsia="Times New Roman" w:cs="Times New Roman"/>
          <w:szCs w:val="24"/>
          <w:lang w:val="sr-Cyrl-RS"/>
        </w:rPr>
        <w:t>или у првој половини 2025</w:t>
      </w:r>
      <w:r>
        <w:rPr>
          <w:rFonts w:eastAsia="Times New Roman" w:cs="Times New Roman"/>
          <w:szCs w:val="24"/>
        </w:rPr>
        <w:t>.</w:t>
      </w:r>
      <w:r>
        <w:rPr>
          <w:rFonts w:eastAsia="Times New Roman" w:cs="Times New Roman"/>
          <w:szCs w:val="24"/>
          <w:lang w:val="sr-Cyrl-RS"/>
        </w:rPr>
        <w:t xml:space="preserve"> </w:t>
      </w:r>
      <w:r w:rsidRPr="00862061">
        <w:rPr>
          <w:rFonts w:eastAsia="Times New Roman" w:cs="Times New Roman"/>
          <w:szCs w:val="24"/>
          <w:lang w:val="sr-Cyrl-RS"/>
        </w:rPr>
        <w:t>године.</w:t>
      </w:r>
    </w:p>
    <w:p w14:paraId="5AFC1D91"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2"/>
        <w:tblW w:w="9634" w:type="dxa"/>
        <w:tblLayout w:type="fixed"/>
        <w:tblLook w:val="04A0" w:firstRow="1" w:lastRow="0" w:firstColumn="1" w:lastColumn="0" w:noHBand="0" w:noVBand="1"/>
      </w:tblPr>
      <w:tblGrid>
        <w:gridCol w:w="4106"/>
        <w:gridCol w:w="1842"/>
        <w:gridCol w:w="1843"/>
        <w:gridCol w:w="1843"/>
      </w:tblGrid>
      <w:tr w:rsidR="00DC7F92" w:rsidRPr="00862061" w14:paraId="276E238E"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15073AF7"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Показатељ</w:t>
            </w:r>
          </w:p>
        </w:tc>
        <w:tc>
          <w:tcPr>
            <w:tcW w:w="1842" w:type="dxa"/>
          </w:tcPr>
          <w:p w14:paraId="516DCFCD" w14:textId="77777777"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Почетна вредност (година)</w:t>
            </w:r>
          </w:p>
        </w:tc>
        <w:tc>
          <w:tcPr>
            <w:tcW w:w="1843" w:type="dxa"/>
          </w:tcPr>
          <w:p w14:paraId="7CC9BC8B" w14:textId="77777777"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Међурезултат (година)</w:t>
            </w:r>
          </w:p>
        </w:tc>
        <w:tc>
          <w:tcPr>
            <w:tcW w:w="1843" w:type="dxa"/>
          </w:tcPr>
          <w:p w14:paraId="62530EDD" w14:textId="77777777"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Циљна вредност (година)</w:t>
            </w:r>
          </w:p>
        </w:tc>
      </w:tr>
      <w:tr w:rsidR="00DC7F92" w:rsidRPr="00862061" w14:paraId="4C9D47DF" w14:textId="77777777" w:rsidTr="00DC7F92">
        <w:trPr>
          <w:trHeight w:val="284"/>
        </w:trPr>
        <w:tc>
          <w:tcPr>
            <w:tcW w:w="4106" w:type="dxa"/>
          </w:tcPr>
          <w:p w14:paraId="4756CE4F"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Изградња (секција 2)</w:t>
            </w:r>
          </w:p>
        </w:tc>
        <w:tc>
          <w:tcPr>
            <w:tcW w:w="1842" w:type="dxa"/>
          </w:tcPr>
          <w:p w14:paraId="683590BA"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10% (2020)</w:t>
            </w:r>
          </w:p>
        </w:tc>
        <w:tc>
          <w:tcPr>
            <w:tcW w:w="1843" w:type="dxa"/>
          </w:tcPr>
          <w:p w14:paraId="69FE1C37"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85% (2021)</w:t>
            </w:r>
          </w:p>
        </w:tc>
        <w:tc>
          <w:tcPr>
            <w:tcW w:w="1843" w:type="dxa"/>
          </w:tcPr>
          <w:p w14:paraId="548D525B"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100% (2022)</w:t>
            </w:r>
          </w:p>
        </w:tc>
      </w:tr>
      <w:tr w:rsidR="00DC7F92" w:rsidRPr="00862061" w14:paraId="0E8CE5B9" w14:textId="77777777" w:rsidTr="00DC7F92">
        <w:trPr>
          <w:trHeight w:val="284"/>
        </w:trPr>
        <w:tc>
          <w:tcPr>
            <w:tcW w:w="4106" w:type="dxa"/>
          </w:tcPr>
          <w:p w14:paraId="48DB158C"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Потписан уговор о изградњи (секција 3)</w:t>
            </w:r>
          </w:p>
        </w:tc>
        <w:tc>
          <w:tcPr>
            <w:tcW w:w="1842" w:type="dxa"/>
          </w:tcPr>
          <w:p w14:paraId="17D6660B"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0 (2021)</w:t>
            </w:r>
          </w:p>
        </w:tc>
        <w:tc>
          <w:tcPr>
            <w:tcW w:w="1843" w:type="dxa"/>
          </w:tcPr>
          <w:p w14:paraId="171560BB" w14:textId="77777777" w:rsidR="00DC7F92" w:rsidRPr="00862061" w:rsidRDefault="00DC7F92" w:rsidP="001F4238">
            <w:pPr>
              <w:spacing w:before="0" w:after="0"/>
              <w:ind w:left="113" w:right="113"/>
              <w:jc w:val="right"/>
              <w:rPr>
                <w:rFonts w:eastAsia="Calibri" w:cs="Times New Roman"/>
                <w:sz w:val="20"/>
                <w:lang w:val="sr-Cyrl-RS"/>
              </w:rPr>
            </w:pPr>
          </w:p>
        </w:tc>
        <w:tc>
          <w:tcPr>
            <w:tcW w:w="1843" w:type="dxa"/>
          </w:tcPr>
          <w:p w14:paraId="2A2CAA45"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 (2022)</w:t>
            </w:r>
          </w:p>
        </w:tc>
      </w:tr>
      <w:tr w:rsidR="00DC7F92" w:rsidRPr="00862061" w14:paraId="139D3641" w14:textId="77777777" w:rsidTr="00DC7F92">
        <w:trPr>
          <w:trHeight w:val="284"/>
        </w:trPr>
        <w:tc>
          <w:tcPr>
            <w:tcW w:w="4106" w:type="dxa"/>
          </w:tcPr>
          <w:p w14:paraId="4E5596B7"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Изградња (секција 3)</w:t>
            </w:r>
          </w:p>
        </w:tc>
        <w:tc>
          <w:tcPr>
            <w:tcW w:w="1842" w:type="dxa"/>
          </w:tcPr>
          <w:p w14:paraId="4483C046"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0% (2022)</w:t>
            </w:r>
          </w:p>
        </w:tc>
        <w:tc>
          <w:tcPr>
            <w:tcW w:w="1843" w:type="dxa"/>
          </w:tcPr>
          <w:p w14:paraId="0D741673"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20% (2023)</w:t>
            </w:r>
          </w:p>
        </w:tc>
        <w:tc>
          <w:tcPr>
            <w:tcW w:w="1843" w:type="dxa"/>
          </w:tcPr>
          <w:p w14:paraId="398DE529"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40% (2024)</w:t>
            </w:r>
          </w:p>
        </w:tc>
      </w:tr>
    </w:tbl>
    <w:p w14:paraId="113725B8"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0BAECFF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Ова мера може да има утицаја на умањење разлика у велепродајној цени електричне енергије између  региона </w:t>
      </w:r>
      <w:r>
        <w:rPr>
          <w:rFonts w:eastAsia="Times New Roman" w:cs="Times New Roman"/>
          <w:szCs w:val="24"/>
          <w:lang w:val="sr-Cyrl-RS"/>
        </w:rPr>
        <w:t>Западног Балкана</w:t>
      </w:r>
      <w:r w:rsidRPr="00862061">
        <w:rPr>
          <w:rFonts w:eastAsia="Times New Roman" w:cs="Times New Roman"/>
          <w:szCs w:val="24"/>
          <w:lang w:val="sr-Cyrl-RS"/>
        </w:rPr>
        <w:t xml:space="preserve"> и Италије. Велики утицај на умањење разлика у цени има и динамика изградње друге жиле подморског кабла између Црне Горе и Италије. Прва фаза изградње овог кабла је завршена, и кабл капацитета 600 MW је пуштен у погон у новембру 2019. године.</w:t>
      </w:r>
    </w:p>
    <w:p w14:paraId="4C6D4BEA"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18061C4A" w14:textId="77777777"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Изградња пројекта Трансбалкански коридор за пренос електричне енергије финансираће се из сопствених средстава ЕМС АД, донација </w:t>
      </w:r>
      <w:r>
        <w:rPr>
          <w:rFonts w:eastAsia="Times New Roman" w:cs="Times New Roman"/>
          <w:szCs w:val="24"/>
          <w:lang w:val="sr-Latn-RS"/>
        </w:rPr>
        <w:t>WBIF</w:t>
      </w:r>
      <w:r w:rsidRPr="00862061">
        <w:rPr>
          <w:rFonts w:eastAsia="Times New Roman" w:cs="Times New Roman"/>
          <w:szCs w:val="24"/>
          <w:lang w:val="sr-Cyrl-RS"/>
        </w:rPr>
        <w:t xml:space="preserve"> и кредита</w:t>
      </w:r>
      <w:r w:rsidRPr="00067D00">
        <w:rPr>
          <w:rFonts w:eastAsia="Times New Roman" w:cs="Times New Roman"/>
          <w:szCs w:val="24"/>
        </w:rPr>
        <w:t xml:space="preserve"> </w:t>
      </w:r>
      <w:r>
        <w:rPr>
          <w:rFonts w:eastAsia="Times New Roman" w:cs="Times New Roman"/>
          <w:szCs w:val="24"/>
        </w:rPr>
        <w:t>KfW</w:t>
      </w:r>
      <w:r w:rsidRPr="00067D00">
        <w:rPr>
          <w:rFonts w:eastAsia="Times New Roman" w:cs="Times New Roman"/>
          <w:szCs w:val="24"/>
          <w:lang w:val="ru-RU"/>
        </w:rPr>
        <w:t xml:space="preserve"> </w:t>
      </w:r>
      <w:r>
        <w:rPr>
          <w:rFonts w:eastAsia="Times New Roman" w:cs="Times New Roman"/>
          <w:szCs w:val="24"/>
          <w:lang w:val="sr-Cyrl-RS"/>
        </w:rPr>
        <w:t>банке</w:t>
      </w:r>
      <w:r w:rsidRPr="00862061">
        <w:rPr>
          <w:rFonts w:eastAsia="Times New Roman" w:cs="Times New Roman"/>
          <w:szCs w:val="24"/>
          <w:lang w:val="sr-Cyrl-RS"/>
        </w:rPr>
        <w:t xml:space="preserve">. </w:t>
      </w:r>
    </w:p>
    <w:p w14:paraId="3D77F2EA" w14:textId="77777777" w:rsidR="00DC7F92" w:rsidRPr="00862061" w:rsidRDefault="00DC7F92" w:rsidP="00DC7F92">
      <w:pPr>
        <w:widowControl w:val="0"/>
        <w:spacing w:after="60"/>
        <w:rPr>
          <w:rFonts w:eastAsia="Times New Roman" w:cs="Times New Roman"/>
          <w:szCs w:val="24"/>
          <w:lang w:val="sr-Cyrl-RS"/>
        </w:rPr>
      </w:pPr>
      <w:r w:rsidRPr="00067D00">
        <w:rPr>
          <w:rFonts w:eastAsia="Times New Roman" w:cs="Times New Roman"/>
          <w:szCs w:val="24"/>
          <w:lang w:val="sr-Cyrl-RS"/>
        </w:rPr>
        <w:t xml:space="preserve">Укупни трошкови изградње целог пројекта износе </w:t>
      </w:r>
      <w:r w:rsidRPr="00067D00">
        <w:rPr>
          <w:rFonts w:eastAsia="Times New Roman" w:cs="Times New Roman"/>
          <w:szCs w:val="24"/>
          <w:lang w:val="sr-Latn-RS"/>
        </w:rPr>
        <w:t xml:space="preserve">156.460.000 </w:t>
      </w:r>
      <w:r w:rsidRPr="00067D00">
        <w:rPr>
          <w:rFonts w:eastAsia="Times New Roman" w:cs="Times New Roman"/>
          <w:szCs w:val="24"/>
          <w:lang w:val="sr-Cyrl-RS"/>
        </w:rPr>
        <w:t>евра. Реализација пројекта је започела 2012. године, а завршетак се планира 2026. године, када ће се завршити изградња четврте секције.</w:t>
      </w:r>
    </w:p>
    <w:p w14:paraId="3DAEBF0B"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Према тренутном сагледавању планирана </w:t>
      </w:r>
      <w:r>
        <w:rPr>
          <w:rFonts w:eastAsia="Times New Roman" w:cs="Times New Roman"/>
          <w:szCs w:val="24"/>
          <w:lang w:val="sr-Cyrl-RS"/>
        </w:rPr>
        <w:t>финансијска реализација пројекта за период</w:t>
      </w:r>
      <w:r w:rsidRPr="00862061">
        <w:rPr>
          <w:rFonts w:eastAsia="Times New Roman" w:cs="Times New Roman"/>
          <w:szCs w:val="24"/>
          <w:lang w:val="sr-Cyrl-RS"/>
        </w:rPr>
        <w:t xml:space="preserve"> од 2022. до 2024. године </w:t>
      </w:r>
      <w:r>
        <w:rPr>
          <w:rFonts w:eastAsia="Times New Roman" w:cs="Times New Roman"/>
          <w:szCs w:val="24"/>
          <w:lang w:val="sr-Cyrl-RS"/>
        </w:rPr>
        <w:t>је 35.817.389 евра. Подељено по годинама и извору средстава</w:t>
      </w:r>
      <w:r>
        <w:rPr>
          <w:rFonts w:eastAsia="Times New Roman" w:cs="Times New Roman"/>
          <w:szCs w:val="24"/>
          <w:lang w:val="sr-Latn-RS"/>
        </w:rPr>
        <w:t xml:space="preserve">, </w:t>
      </w:r>
      <w:r>
        <w:rPr>
          <w:rFonts w:eastAsia="Times New Roman" w:cs="Times New Roman"/>
          <w:szCs w:val="24"/>
          <w:lang w:val="sr-Cyrl-RS"/>
        </w:rPr>
        <w:t>овај план се може приказати на следећи начин</w:t>
      </w:r>
      <w:r w:rsidRPr="00862061">
        <w:rPr>
          <w:rFonts w:eastAsia="Times New Roman" w:cs="Times New Roman"/>
          <w:szCs w:val="24"/>
          <w:lang w:val="sr-Cyrl-RS"/>
        </w:rPr>
        <w:t>:</w:t>
      </w:r>
    </w:p>
    <w:p w14:paraId="73E3E023"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2022 – планирана сопствена средства ЕМС АД </w:t>
      </w:r>
      <w:r>
        <w:rPr>
          <w:rFonts w:eastAsia="Times New Roman" w:cs="Times New Roman"/>
          <w:szCs w:val="24"/>
          <w:lang w:val="sr-Latn-RS"/>
        </w:rPr>
        <w:t>310</w:t>
      </w:r>
      <w:r w:rsidRPr="00862061">
        <w:rPr>
          <w:rFonts w:eastAsia="Times New Roman" w:cs="Times New Roman"/>
          <w:szCs w:val="24"/>
          <w:lang w:val="sr-Cyrl-RS"/>
        </w:rPr>
        <w:t>.</w:t>
      </w:r>
      <w:r>
        <w:rPr>
          <w:rFonts w:eastAsia="Times New Roman" w:cs="Times New Roman"/>
          <w:szCs w:val="24"/>
          <w:lang w:val="sr-Latn-RS"/>
        </w:rPr>
        <w:t>244</w:t>
      </w:r>
      <w:r w:rsidRPr="00862061">
        <w:rPr>
          <w:rFonts w:eastAsia="Times New Roman" w:cs="Times New Roman"/>
          <w:szCs w:val="24"/>
          <w:lang w:val="sr-Cyrl-RS"/>
        </w:rPr>
        <w:t xml:space="preserve"> евра, кредитна средства 1.</w:t>
      </w:r>
      <w:r>
        <w:rPr>
          <w:rFonts w:eastAsia="Times New Roman" w:cs="Times New Roman"/>
          <w:szCs w:val="24"/>
          <w:lang w:val="sr-Latn-RS"/>
        </w:rPr>
        <w:t>615</w:t>
      </w:r>
      <w:r w:rsidRPr="00862061">
        <w:rPr>
          <w:rFonts w:eastAsia="Times New Roman" w:cs="Times New Roman"/>
          <w:szCs w:val="24"/>
          <w:lang w:val="sr-Cyrl-RS"/>
        </w:rPr>
        <w:t>.</w:t>
      </w:r>
      <w:r>
        <w:rPr>
          <w:rFonts w:eastAsia="Times New Roman" w:cs="Times New Roman"/>
          <w:szCs w:val="24"/>
          <w:lang w:val="sr-Latn-RS"/>
        </w:rPr>
        <w:t>910</w:t>
      </w:r>
      <w:r w:rsidRPr="00862061">
        <w:rPr>
          <w:rFonts w:eastAsia="Times New Roman" w:cs="Times New Roman"/>
          <w:szCs w:val="24"/>
          <w:lang w:val="sr-Cyrl-RS"/>
        </w:rPr>
        <w:t xml:space="preserve"> евра, донација 1.</w:t>
      </w:r>
      <w:r w:rsidRPr="00067D00">
        <w:rPr>
          <w:rFonts w:eastAsia="Times New Roman" w:cs="Times New Roman"/>
          <w:szCs w:val="24"/>
          <w:lang w:val="sr-Latn-RS"/>
        </w:rPr>
        <w:t xml:space="preserve"> </w:t>
      </w:r>
      <w:r>
        <w:rPr>
          <w:rFonts w:eastAsia="Times New Roman" w:cs="Times New Roman"/>
          <w:szCs w:val="24"/>
          <w:lang w:val="sr-Latn-RS"/>
        </w:rPr>
        <w:t>660</w:t>
      </w:r>
      <w:r w:rsidRPr="00862061">
        <w:rPr>
          <w:rFonts w:eastAsia="Times New Roman" w:cs="Times New Roman"/>
          <w:szCs w:val="24"/>
          <w:lang w:val="sr-Cyrl-RS"/>
        </w:rPr>
        <w:t>.</w:t>
      </w:r>
      <w:r>
        <w:rPr>
          <w:rFonts w:eastAsia="Times New Roman" w:cs="Times New Roman"/>
          <w:szCs w:val="24"/>
          <w:lang w:val="sr-Latn-RS"/>
        </w:rPr>
        <w:t>460</w:t>
      </w:r>
      <w:r w:rsidRPr="00862061">
        <w:rPr>
          <w:rFonts w:eastAsia="Times New Roman" w:cs="Times New Roman"/>
          <w:szCs w:val="24"/>
          <w:lang w:val="sr-Cyrl-RS"/>
        </w:rPr>
        <w:t xml:space="preserve"> евра</w:t>
      </w:r>
      <w:r>
        <w:rPr>
          <w:rFonts w:eastAsia="Times New Roman" w:cs="Times New Roman"/>
          <w:szCs w:val="24"/>
          <w:lang w:val="sr-Cyrl-RS"/>
        </w:rPr>
        <w:t>.</w:t>
      </w:r>
      <w:r w:rsidRPr="00067D00">
        <w:rPr>
          <w:rFonts w:eastAsia="Times New Roman" w:cs="Times New Roman"/>
          <w:szCs w:val="24"/>
          <w:lang w:val="sr-Cyrl-RS"/>
        </w:rPr>
        <w:t xml:space="preserve"> </w:t>
      </w:r>
      <w:r>
        <w:rPr>
          <w:rFonts w:eastAsia="Times New Roman" w:cs="Times New Roman"/>
          <w:szCs w:val="24"/>
          <w:lang w:val="sr-Cyrl-RS"/>
        </w:rPr>
        <w:t>Планирана средства су највећим делом намењена за опрему и радове за другу секцију пројекта, док је остатак намењен консултанту за имплементацију пројекта за трећу секцију. Најмањи део средстава (10.391 евра сопствених средстава је планирано зa плаћање такси за четврту секцију пројекта</w:t>
      </w:r>
      <w:r>
        <w:rPr>
          <w:rFonts w:eastAsia="Times New Roman" w:cs="Times New Roman"/>
          <w:szCs w:val="24"/>
          <w:lang w:val="sr-Latn-RS"/>
        </w:rPr>
        <w:t>)</w:t>
      </w:r>
      <w:r>
        <w:rPr>
          <w:rFonts w:eastAsia="Times New Roman" w:cs="Times New Roman"/>
          <w:szCs w:val="24"/>
          <w:lang w:val="sr-Cyrl-RS"/>
        </w:rPr>
        <w:t>.</w:t>
      </w:r>
    </w:p>
    <w:p w14:paraId="081A8213"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2023 – планирана сопствена средства ЕМС АД </w:t>
      </w:r>
      <w:r>
        <w:rPr>
          <w:rFonts w:eastAsia="Times New Roman" w:cs="Times New Roman"/>
          <w:szCs w:val="24"/>
          <w:lang w:val="sr-Latn-RS"/>
        </w:rPr>
        <w:t>41</w:t>
      </w:r>
      <w:r w:rsidRPr="00862061">
        <w:rPr>
          <w:rFonts w:eastAsia="Times New Roman" w:cs="Times New Roman"/>
          <w:szCs w:val="24"/>
          <w:lang w:val="sr-Cyrl-RS"/>
        </w:rPr>
        <w:t>.</w:t>
      </w:r>
      <w:r>
        <w:rPr>
          <w:rFonts w:eastAsia="Times New Roman" w:cs="Times New Roman"/>
          <w:szCs w:val="24"/>
          <w:lang w:val="sr-Latn-RS"/>
        </w:rPr>
        <w:t>309</w:t>
      </w:r>
      <w:r w:rsidRPr="00862061">
        <w:rPr>
          <w:rFonts w:eastAsia="Times New Roman" w:cs="Times New Roman"/>
          <w:szCs w:val="24"/>
          <w:lang w:val="sr-Cyrl-RS"/>
        </w:rPr>
        <w:t xml:space="preserve"> евра, кредитна средства 9.381.914 евра, донација </w:t>
      </w:r>
      <w:r>
        <w:rPr>
          <w:rFonts w:eastAsia="Times New Roman" w:cs="Times New Roman"/>
          <w:szCs w:val="24"/>
          <w:lang w:val="sr-Latn-RS"/>
        </w:rPr>
        <w:t>3</w:t>
      </w:r>
      <w:r w:rsidRPr="00862061">
        <w:rPr>
          <w:rFonts w:eastAsia="Times New Roman" w:cs="Times New Roman"/>
          <w:szCs w:val="24"/>
          <w:lang w:val="sr-Cyrl-RS"/>
        </w:rPr>
        <w:t>.</w:t>
      </w:r>
      <w:r>
        <w:rPr>
          <w:rFonts w:eastAsia="Times New Roman" w:cs="Times New Roman"/>
          <w:szCs w:val="24"/>
          <w:lang w:val="sr-Latn-RS"/>
        </w:rPr>
        <w:t>022</w:t>
      </w:r>
      <w:r w:rsidRPr="00862061">
        <w:rPr>
          <w:rFonts w:eastAsia="Times New Roman" w:cs="Times New Roman"/>
          <w:szCs w:val="24"/>
          <w:lang w:val="sr-Cyrl-RS"/>
        </w:rPr>
        <w:t>.</w:t>
      </w:r>
      <w:r>
        <w:rPr>
          <w:rFonts w:eastAsia="Times New Roman" w:cs="Times New Roman"/>
          <w:szCs w:val="24"/>
          <w:lang w:val="sr-Latn-RS"/>
        </w:rPr>
        <w:t>389</w:t>
      </w:r>
      <w:r w:rsidRPr="00862061">
        <w:rPr>
          <w:rFonts w:eastAsia="Times New Roman" w:cs="Times New Roman"/>
          <w:szCs w:val="24"/>
          <w:lang w:val="sr-Cyrl-RS"/>
        </w:rPr>
        <w:t xml:space="preserve"> евра.</w:t>
      </w:r>
      <w:r>
        <w:rPr>
          <w:rFonts w:eastAsia="Times New Roman" w:cs="Times New Roman"/>
          <w:szCs w:val="24"/>
          <w:lang w:val="sr-Cyrl-RS"/>
        </w:rPr>
        <w:t xml:space="preserve"> </w:t>
      </w:r>
      <w:r w:rsidRPr="00067D00">
        <w:rPr>
          <w:rFonts w:eastAsia="Times New Roman" w:cs="Times New Roman"/>
          <w:szCs w:val="24"/>
          <w:lang w:val="sr-Cyrl-RS"/>
        </w:rPr>
        <w:t>Највећи део средстава је планиран за опрему и извођење радова за трећу секцију пројекта, а мањи део за консултантске услуге за имплементацију пројекта за исту секцију.</w:t>
      </w:r>
    </w:p>
    <w:p w14:paraId="7BFCC0FB"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lastRenderedPageBreak/>
        <w:t xml:space="preserve">2024 – планирана сопствена средства ЕМС АД </w:t>
      </w:r>
      <w:r>
        <w:rPr>
          <w:rFonts w:eastAsia="Times New Roman" w:cs="Times New Roman"/>
          <w:szCs w:val="24"/>
          <w:lang w:val="sr-Latn-RS"/>
        </w:rPr>
        <w:t>302</w:t>
      </w:r>
      <w:r w:rsidRPr="00862061">
        <w:rPr>
          <w:rFonts w:eastAsia="Times New Roman" w:cs="Times New Roman"/>
          <w:szCs w:val="24"/>
          <w:lang w:val="sr-Cyrl-RS"/>
        </w:rPr>
        <w:t>.</w:t>
      </w:r>
      <w:r>
        <w:rPr>
          <w:rFonts w:eastAsia="Times New Roman" w:cs="Times New Roman"/>
          <w:szCs w:val="24"/>
          <w:lang w:val="sr-Latn-RS"/>
        </w:rPr>
        <w:t>521</w:t>
      </w:r>
      <w:r w:rsidRPr="00862061">
        <w:rPr>
          <w:rFonts w:eastAsia="Times New Roman" w:cs="Times New Roman"/>
          <w:szCs w:val="24"/>
          <w:lang w:val="sr-Cyrl-RS"/>
        </w:rPr>
        <w:t xml:space="preserve"> евра, кредитна средства 1</w:t>
      </w:r>
      <w:r>
        <w:rPr>
          <w:rFonts w:eastAsia="Times New Roman" w:cs="Times New Roman"/>
          <w:szCs w:val="24"/>
          <w:lang w:val="sr-Latn-RS"/>
        </w:rPr>
        <w:t>4</w:t>
      </w:r>
      <w:r w:rsidRPr="00862061">
        <w:rPr>
          <w:rFonts w:eastAsia="Times New Roman" w:cs="Times New Roman"/>
          <w:szCs w:val="24"/>
          <w:lang w:val="sr-Cyrl-RS"/>
        </w:rPr>
        <w:t>.</w:t>
      </w:r>
      <w:r>
        <w:rPr>
          <w:rFonts w:eastAsia="Times New Roman" w:cs="Times New Roman"/>
          <w:szCs w:val="24"/>
          <w:lang w:val="sr-Latn-RS"/>
        </w:rPr>
        <w:t>973</w:t>
      </w:r>
      <w:r w:rsidRPr="00862061">
        <w:rPr>
          <w:rFonts w:eastAsia="Times New Roman" w:cs="Times New Roman"/>
          <w:szCs w:val="24"/>
          <w:lang w:val="sr-Cyrl-RS"/>
        </w:rPr>
        <w:t>.</w:t>
      </w:r>
      <w:r>
        <w:rPr>
          <w:rFonts w:eastAsia="Times New Roman" w:cs="Times New Roman"/>
          <w:szCs w:val="24"/>
          <w:lang w:val="sr-Latn-RS"/>
        </w:rPr>
        <w:t>803</w:t>
      </w:r>
      <w:r w:rsidRPr="00862061">
        <w:rPr>
          <w:rFonts w:eastAsia="Times New Roman" w:cs="Times New Roman"/>
          <w:szCs w:val="24"/>
          <w:lang w:val="sr-Cyrl-RS"/>
        </w:rPr>
        <w:t xml:space="preserve"> евра, донација </w:t>
      </w:r>
      <w:r>
        <w:rPr>
          <w:rFonts w:eastAsia="Times New Roman" w:cs="Times New Roman"/>
          <w:szCs w:val="24"/>
          <w:lang w:val="sr-Latn-RS"/>
        </w:rPr>
        <w:t>4</w:t>
      </w:r>
      <w:r w:rsidRPr="00862061">
        <w:rPr>
          <w:rFonts w:eastAsia="Times New Roman" w:cs="Times New Roman"/>
          <w:szCs w:val="24"/>
          <w:lang w:val="sr-Cyrl-RS"/>
        </w:rPr>
        <w:t>.</w:t>
      </w:r>
      <w:r>
        <w:rPr>
          <w:rFonts w:eastAsia="Times New Roman" w:cs="Times New Roman"/>
          <w:szCs w:val="24"/>
          <w:lang w:val="sr-Latn-RS"/>
        </w:rPr>
        <w:t>508</w:t>
      </w:r>
      <w:r w:rsidRPr="00862061">
        <w:rPr>
          <w:rFonts w:eastAsia="Times New Roman" w:cs="Times New Roman"/>
          <w:szCs w:val="24"/>
          <w:lang w:val="sr-Cyrl-RS"/>
        </w:rPr>
        <w:t>.</w:t>
      </w:r>
      <w:r>
        <w:rPr>
          <w:rFonts w:eastAsia="Times New Roman" w:cs="Times New Roman"/>
          <w:szCs w:val="24"/>
          <w:lang w:val="sr-Latn-RS"/>
        </w:rPr>
        <w:t>839</w:t>
      </w:r>
      <w:r w:rsidRPr="00862061">
        <w:rPr>
          <w:rFonts w:eastAsia="Times New Roman" w:cs="Times New Roman"/>
          <w:szCs w:val="24"/>
          <w:lang w:val="sr-Cyrl-RS"/>
        </w:rPr>
        <w:t xml:space="preserve"> евра.</w:t>
      </w:r>
      <w:r>
        <w:rPr>
          <w:rFonts w:eastAsia="Times New Roman" w:cs="Times New Roman"/>
          <w:szCs w:val="24"/>
          <w:lang w:val="sr-Cyrl-RS"/>
        </w:rPr>
        <w:t xml:space="preserve"> </w:t>
      </w:r>
      <w:r w:rsidRPr="00067D00">
        <w:rPr>
          <w:rFonts w:eastAsia="Times New Roman" w:cs="Times New Roman"/>
          <w:szCs w:val="24"/>
          <w:lang w:val="sr-Cyrl-RS"/>
        </w:rPr>
        <w:t>Као и у 2023. години, већина средстава је планирана за опрему и извођење радова за трећу секцију пројекта, а мањи део за консултантске услуге за имплементацију пројекта за исту секцију.</w:t>
      </w:r>
    </w:p>
    <w:p w14:paraId="2A845239"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153240F"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Нова енергетска инфраструктура може довести до појаве нових корисника преносног система у области у којој се гради и до очекиваног повећања броја запослених. Утицај развоја тржишта енергије на родни аспект на дужи рок се огледа кроз развој друштва у целини, што са друге стране, имплицитно отвара веће могућности за помоћ државе друштвено рањивим групама.</w:t>
      </w:r>
    </w:p>
    <w:p w14:paraId="5D9B14A3"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21738C1B"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Очекује се минимални утицај на животну средину, пошто се припрема и градња обављају у складу са Законом о процени утицаја на животну средину и одговарајућим правилницима. Трансбалкански коридор је део Инвестиционог плана ЕУ за Западни Балкан, којим се пружа финансијска подршка за циљеве постављене Европским зеленим договором.</w:t>
      </w:r>
    </w:p>
    <w:p w14:paraId="68D2A7F2"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2"/>
        <w:tblW w:w="9694" w:type="dxa"/>
        <w:tblInd w:w="-5" w:type="dxa"/>
        <w:tblLayout w:type="fixed"/>
        <w:tblLook w:val="04A0" w:firstRow="1" w:lastRow="0" w:firstColumn="1" w:lastColumn="0" w:noHBand="0" w:noVBand="1"/>
      </w:tblPr>
      <w:tblGrid>
        <w:gridCol w:w="3329"/>
        <w:gridCol w:w="2200"/>
        <w:gridCol w:w="4165"/>
      </w:tblGrid>
      <w:tr w:rsidR="00DC7F92" w:rsidRPr="00862061" w14:paraId="36936166"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7481DB55"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Ризик</w:t>
            </w:r>
          </w:p>
        </w:tc>
        <w:tc>
          <w:tcPr>
            <w:tcW w:w="2200" w:type="dxa"/>
          </w:tcPr>
          <w:p w14:paraId="34C845B7"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 xml:space="preserve">Вероватноћа за остваривање ризика </w:t>
            </w:r>
          </w:p>
        </w:tc>
        <w:tc>
          <w:tcPr>
            <w:tcW w:w="4165" w:type="dxa"/>
          </w:tcPr>
          <w:p w14:paraId="02273E73"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Планиране активности за ублажавање негативних ефеката ризика</w:t>
            </w:r>
          </w:p>
        </w:tc>
      </w:tr>
      <w:tr w:rsidR="00DC7F92" w:rsidRPr="00862061" w14:paraId="45763B6A" w14:textId="77777777" w:rsidTr="00DC7F92">
        <w:trPr>
          <w:trHeight w:val="429"/>
        </w:trPr>
        <w:tc>
          <w:tcPr>
            <w:tcW w:w="3329" w:type="dxa"/>
          </w:tcPr>
          <w:p w14:paraId="4F0C528F"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Необезбеђење финансирања пројекта</w:t>
            </w:r>
          </w:p>
        </w:tc>
        <w:tc>
          <w:tcPr>
            <w:tcW w:w="2200" w:type="dxa"/>
          </w:tcPr>
          <w:p w14:paraId="26C813E3"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Висока</w:t>
            </w:r>
          </w:p>
        </w:tc>
        <w:tc>
          <w:tcPr>
            <w:tcW w:w="4165" w:type="dxa"/>
          </w:tcPr>
          <w:p w14:paraId="64AFC06E"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Сопствено финансирање уз потписивање уговора о кредиту</w:t>
            </w:r>
          </w:p>
        </w:tc>
      </w:tr>
      <w:tr w:rsidR="00DC7F92" w:rsidRPr="00862061" w14:paraId="3007E94C" w14:textId="77777777" w:rsidTr="00DC7F92">
        <w:trPr>
          <w:trHeight w:val="536"/>
        </w:trPr>
        <w:tc>
          <w:tcPr>
            <w:tcW w:w="3329" w:type="dxa"/>
          </w:tcPr>
          <w:p w14:paraId="63D22A39" w14:textId="77777777"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Необезбеђење кредитних средстава</w:t>
            </w:r>
          </w:p>
        </w:tc>
        <w:tc>
          <w:tcPr>
            <w:tcW w:w="2200" w:type="dxa"/>
          </w:tcPr>
          <w:p w14:paraId="10AAA8F2" w14:textId="77777777"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Ниска</w:t>
            </w:r>
          </w:p>
        </w:tc>
        <w:tc>
          <w:tcPr>
            <w:tcW w:w="4165" w:type="dxa"/>
          </w:tcPr>
          <w:p w14:paraId="7E201664" w14:textId="77777777"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Диверсификација захтева према међународним финансијским институцијама</w:t>
            </w:r>
          </w:p>
        </w:tc>
      </w:tr>
    </w:tbl>
    <w:p w14:paraId="3A8DE2E6" w14:textId="77777777" w:rsidR="00DC7F92" w:rsidRPr="00862061" w:rsidRDefault="00DC7F92" w:rsidP="00DC7F92">
      <w:pPr>
        <w:spacing w:after="60"/>
        <w:rPr>
          <w:rFonts w:eastAsia="Calibri" w:cs="Times New Roman"/>
          <w:lang w:val="sr-Cyrl-CS"/>
        </w:rPr>
      </w:pPr>
    </w:p>
    <w:p w14:paraId="704666AC" w14:textId="1A96B8ED" w:rsidR="00DC7F92" w:rsidRPr="00862061" w:rsidRDefault="00DC7F92" w:rsidP="00DC7F92">
      <w:pPr>
        <w:spacing w:before="120"/>
        <w:rPr>
          <w:rFonts w:eastAsia="Calibri" w:cs="Times New Roman"/>
          <w:strike/>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8</w:t>
      </w:r>
      <w:r w:rsidRPr="00862061">
        <w:rPr>
          <w:rFonts w:eastAsia="Calibri" w:cs="Times New Roman"/>
          <w:b/>
          <w:i/>
          <w:szCs w:val="24"/>
          <w:u w:val="single"/>
        </w:rPr>
        <w:fldChar w:fldCharType="end"/>
      </w:r>
      <w:r w:rsidRPr="00862061">
        <w:rPr>
          <w:rFonts w:eastAsia="Calibri" w:cs="Times New Roman"/>
          <w:b/>
          <w:szCs w:val="24"/>
          <w:lang w:val="sr-Cyrl-RS"/>
        </w:rPr>
        <w:t xml:space="preserve">: </w:t>
      </w:r>
      <w:r w:rsidRPr="00862061">
        <w:rPr>
          <w:rFonts w:eastAsia="Calibri" w:cs="Times New Roman"/>
          <w:szCs w:val="24"/>
          <w:lang w:val="sr-Cyrl-CS"/>
        </w:rPr>
        <w:t>УНАПРЕЂЕЊЕ УСЛОВА ЗА ПОВЕЋАЊЕ ЕНЕРГЕТСКЕ ЕФИКАСНОСТИ КРОЗ УНАПРЕЂЕЊЕ ПРАВНОГ И ИНСТИТУЦИОНАЛНОГ ОКВИРА И ОБЕЗБЕЂЕЊЕ ПОДСТИЦАЈА</w:t>
      </w:r>
    </w:p>
    <w:p w14:paraId="57DDBB82" w14:textId="77777777" w:rsidR="00DC7F92" w:rsidRPr="00862061" w:rsidRDefault="00DC7F92" w:rsidP="004D22FA">
      <w:pPr>
        <w:widowControl w:val="0"/>
        <w:numPr>
          <w:ilvl w:val="0"/>
          <w:numId w:val="31"/>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06F6123" w14:textId="712DF514"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Циљ структурне реформе је унапређење енергетске ефикасности у Републици Србији. Реформа ће обухватити активности доношења подзаконских акaта новог Закона о енергетској ефикасности и рационалној употреби енергије (</w:t>
      </w:r>
      <w:r>
        <w:rPr>
          <w:rFonts w:eastAsia="Calibri" w:cs="Times New Roman"/>
          <w:szCs w:val="24"/>
          <w:lang w:val="sr-Cyrl-RS"/>
        </w:rPr>
        <w:t>„</w:t>
      </w:r>
      <w:r w:rsidRPr="00862061">
        <w:rPr>
          <w:rFonts w:eastAsia="Calibri" w:cs="Times New Roman"/>
          <w:szCs w:val="24"/>
          <w:lang w:val="ru-RU"/>
        </w:rPr>
        <w:t>С</w:t>
      </w:r>
      <w:r>
        <w:rPr>
          <w:rFonts w:eastAsia="Calibri" w:cs="Times New Roman"/>
          <w:szCs w:val="24"/>
          <w:lang w:val="ru-RU"/>
        </w:rPr>
        <w:t>л. гласник</w:t>
      </w:r>
      <w:r w:rsidRPr="00862061">
        <w:rPr>
          <w:rFonts w:eastAsia="Calibri" w:cs="Times New Roman"/>
          <w:szCs w:val="24"/>
          <w:lang w:val="ru-RU"/>
        </w:rPr>
        <w:t xml:space="preserve"> РС</w:t>
      </w:r>
      <w:r>
        <w:rPr>
          <w:rFonts w:eastAsia="Calibri" w:cs="Times New Roman"/>
          <w:szCs w:val="24"/>
          <w:lang w:val="sr-Cyrl-RS"/>
        </w:rPr>
        <w:t>“, бр.</w:t>
      </w:r>
      <w:r w:rsidRPr="00862061">
        <w:rPr>
          <w:rFonts w:eastAsia="Calibri" w:cs="Times New Roman"/>
          <w:szCs w:val="24"/>
          <w:lang w:val="ru-RU"/>
        </w:rPr>
        <w:t xml:space="preserve"> 40/2021) (у даљем тексту: ЗЕЕРУЕ) у циљу потпуне хармонизације регулативе у Србији са регулативом ЕУ у области енергетске ефикасности. Реформа ће обухватити и јачање капацитета за спровођење политике енергетске ефикасности (ЕЕ) кроз оснивање и подршку раду Управе за финансирање и подстицање енергетске ефикасности (у даљем тексту: Управа), у складу са ЗЕЕРУЕ. У оквиру реформе значајна активност је и обезбеђење сталних (усмеравање најмање пуног износа накнаде у подстицаје за енергетску ефикасност кроз активности Управе) и додатних извора средстава за подстицање енергетске ефикасности. Подстицаји ће посебно бити усмерени на домаћинства, за потребе енергетске санације стамбених објеката и уградњу соларних панела за производњу електричне енергије за сопствене потребе. За вишестамбене зграде прикључене на систем даљинског грејања, које добију подстицаје за унапређење ЕЕ од Управе, биће предвиђен прелазак на наплату према потрошњи топлетне енергије.</w:t>
      </w:r>
    </w:p>
    <w:p w14:paraId="7BEE5FAA" w14:textId="77777777"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 xml:space="preserve">Реформа се спроводи у складу са Програмом остваривања Стратегије развоја енергетике Републике Србије до 2025. године са пројекцијама до 2030. године за период од 2017. до 2023. године, Поглављем 3.7. Област Енергетске ефикасности у сектору потрошње </w:t>
      </w:r>
      <w:r w:rsidRPr="00862061">
        <w:rPr>
          <w:rFonts w:eastAsia="Calibri" w:cs="Times New Roman"/>
          <w:szCs w:val="24"/>
          <w:lang w:val="ru-RU"/>
        </w:rPr>
        <w:lastRenderedPageBreak/>
        <w:t xml:space="preserve">енергије и доприноси остварењу </w:t>
      </w:r>
      <w:r w:rsidRPr="00862061">
        <w:rPr>
          <w:rFonts w:eastAsia="Calibri" w:cs="Times New Roman"/>
          <w:b/>
          <w:szCs w:val="24"/>
          <w:lang w:val="ru-RU"/>
        </w:rPr>
        <w:t>ЦОР 7.3.</w:t>
      </w:r>
      <w:r w:rsidRPr="00862061">
        <w:rPr>
          <w:rFonts w:eastAsia="Calibri" w:cs="Times New Roman"/>
          <w:szCs w:val="24"/>
          <w:lang w:val="ru-RU"/>
        </w:rPr>
        <w:t xml:space="preserve"> који подразумева да се до 2030. удвостручи глобална стопа побољшања енергетске ефикасности. Спровођење реформе биће важан елемент Интегрисаног националног енергетског и климатског плана и нове Стратегије развоја енергетике, чија је израда у току, и основ за спровођење Дугорочне стратегије обнове зграда, чија је израда у финалној фази.</w:t>
      </w:r>
    </w:p>
    <w:p w14:paraId="02D908F4" w14:textId="77777777"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У претходном периоду припремљен је и усвојен ЗЕЕРУЕ и почела је израда подзаконских аката. Прикупљање накнаде за енергетску ефикасност по основу Закона о накнадама континуирано се одвија током целе године и приходи од ове накнаде износе око 10 милиона евра годишње. Именована је директорка Управе, а у припреми је систематизација Управе. У оквиру јачања капацитета за финансирање енергетске ефикасности, путем уговора о делу ангажовано је 5 додатних лица.</w:t>
      </w:r>
    </w:p>
    <w:p w14:paraId="5B39266C"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32D65B9C"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3A83D66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EC4FDBD"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6473113"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43271A8"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5E3F0602"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18A6FD5A"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4854430"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6795E171"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7BF69D7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F04C4C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4FD4C8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46D88C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925C4F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901FCE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C4F836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70F8B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6012B7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5EE330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E294EF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C8350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02535A8B"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95214D3"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3CF5C628"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Оснивање Управе за финансирање и подстицање енергетске ефикасности</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BBFCEC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86BEDB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8AC4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9966A2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A73B49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3E3A4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29A8D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C3E6B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1B2378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D090E4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76C5A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A88EF5B"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5BB72F0"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2C529DD"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70E3D2EF"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Доношење подзаконске регулативе у циљу потпуног усаглашавања са регулативом ЕУ у области енергетске ефикасности</w:t>
            </w:r>
          </w:p>
        </w:tc>
        <w:tc>
          <w:tcPr>
            <w:tcW w:w="422" w:type="dxa"/>
            <w:tcBorders>
              <w:top w:val="nil"/>
              <w:left w:val="single" w:sz="8" w:space="0" w:color="auto"/>
              <w:bottom w:val="single" w:sz="4" w:space="0" w:color="auto"/>
              <w:right w:val="single" w:sz="4" w:space="0" w:color="auto"/>
            </w:tcBorders>
            <w:shd w:val="clear" w:color="auto" w:fill="BFBFBF"/>
            <w:vAlign w:val="center"/>
          </w:tcPr>
          <w:p w14:paraId="6F200EE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BE8023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EAACE0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9AEC3A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94A0B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0E6EF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73DD2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5F9238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1D3ADA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0B9DCC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55864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B271774"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2B7D38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3354B10"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1E8D719E"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Усмеравање пуног износа накнаде у подстицаје за енергетску ефикасност кроз активности Управе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34C74D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2B500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3A9A99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EDB83D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65D5FF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7375B8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1BFFB6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D1B72D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11130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B8C9D2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C7689B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A8EC8BD"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385F2022"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13AA5DB"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single" w:sz="4" w:space="0" w:color="auto"/>
              <w:left w:val="nil"/>
              <w:bottom w:val="single" w:sz="4" w:space="0" w:color="auto"/>
              <w:right w:val="single" w:sz="4" w:space="0" w:color="auto"/>
            </w:tcBorders>
            <w:shd w:val="clear" w:color="auto" w:fill="auto"/>
          </w:tcPr>
          <w:p w14:paraId="31F984CC"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Финансирање пројеката енергетске ефикасности</w:t>
            </w:r>
          </w:p>
        </w:tc>
        <w:tc>
          <w:tcPr>
            <w:tcW w:w="422" w:type="dxa"/>
            <w:tcBorders>
              <w:top w:val="single" w:sz="4" w:space="0" w:color="auto"/>
              <w:left w:val="nil"/>
              <w:bottom w:val="single" w:sz="4" w:space="0" w:color="auto"/>
              <w:right w:val="single" w:sz="4" w:space="0" w:color="auto"/>
            </w:tcBorders>
            <w:shd w:val="clear" w:color="auto" w:fill="BFBFBF"/>
            <w:vAlign w:val="center"/>
          </w:tcPr>
          <w:p w14:paraId="4C684F7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8BD5B6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736849B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2E106B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DCC53E9"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72BBBD8D"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2763CC00"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3A95E68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23BAA529"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4A5EEBFD"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36901770"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0DFE4F3" w14:textId="77777777" w:rsidR="00DC7F92" w:rsidRPr="00862061" w:rsidRDefault="00DC7F92" w:rsidP="00DC7F92">
            <w:pPr>
              <w:spacing w:after="0"/>
              <w:jc w:val="center"/>
              <w:rPr>
                <w:rFonts w:eastAsia="Times New Roman" w:cs="Times New Roman"/>
                <w:b/>
                <w:bCs/>
                <w:sz w:val="20"/>
                <w:szCs w:val="20"/>
                <w:lang w:val="sr-Cyrl-RS"/>
              </w:rPr>
            </w:pPr>
          </w:p>
        </w:tc>
      </w:tr>
      <w:tr w:rsidR="00DC7F92" w:rsidRPr="00862061" w14:paraId="292A56BA" w14:textId="77777777" w:rsidTr="00DC7F92">
        <w:trPr>
          <w:trHeight w:val="300"/>
        </w:trPr>
        <w:tc>
          <w:tcPr>
            <w:tcW w:w="426" w:type="dxa"/>
            <w:tcBorders>
              <w:top w:val="nil"/>
              <w:left w:val="single" w:sz="4" w:space="0" w:color="auto"/>
              <w:bottom w:val="single" w:sz="4" w:space="0" w:color="auto"/>
              <w:right w:val="single" w:sz="4" w:space="0" w:color="auto"/>
            </w:tcBorders>
            <w:shd w:val="clear" w:color="auto" w:fill="auto"/>
          </w:tcPr>
          <w:p w14:paraId="34609ABC"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nil"/>
              <w:bottom w:val="single" w:sz="4" w:space="0" w:color="auto"/>
              <w:right w:val="single" w:sz="4" w:space="0" w:color="auto"/>
            </w:tcBorders>
            <w:shd w:val="clear" w:color="auto" w:fill="auto"/>
          </w:tcPr>
          <w:p w14:paraId="791CE4BA"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Јачање капацитета за спровођење политике енергетске ефикасности</w:t>
            </w:r>
          </w:p>
        </w:tc>
        <w:tc>
          <w:tcPr>
            <w:tcW w:w="422" w:type="dxa"/>
            <w:tcBorders>
              <w:top w:val="nil"/>
              <w:left w:val="nil"/>
              <w:bottom w:val="single" w:sz="4" w:space="0" w:color="auto"/>
              <w:right w:val="single" w:sz="4" w:space="0" w:color="auto"/>
            </w:tcBorders>
            <w:shd w:val="clear" w:color="auto" w:fill="BFBFBF"/>
            <w:vAlign w:val="center"/>
          </w:tcPr>
          <w:p w14:paraId="647FA9E1"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A515C0"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84027A4"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03D7D9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20800D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815230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DEDA51A"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0E39CF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09138F"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40236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19AE0B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DAB8C19" w14:textId="77777777" w:rsidR="00DC7F92" w:rsidRPr="00862061" w:rsidRDefault="00DC7F92" w:rsidP="00DC7F92">
            <w:pPr>
              <w:spacing w:after="0"/>
              <w:jc w:val="center"/>
              <w:rPr>
                <w:rFonts w:eastAsia="Times New Roman" w:cs="Times New Roman"/>
                <w:b/>
                <w:bCs/>
                <w:sz w:val="20"/>
                <w:szCs w:val="20"/>
                <w:lang w:val="sr-Cyrl-RS"/>
              </w:rPr>
            </w:pPr>
          </w:p>
        </w:tc>
      </w:tr>
    </w:tbl>
    <w:p w14:paraId="584DF306"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6494AB15" w14:textId="77777777" w:rsidTr="00DC7F92">
        <w:tc>
          <w:tcPr>
            <w:tcW w:w="4106" w:type="dxa"/>
            <w:vAlign w:val="center"/>
          </w:tcPr>
          <w:p w14:paraId="4171206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2BF420AD"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w:t>
            </w:r>
            <w:r>
              <w:rPr>
                <w:rFonts w:eastAsia="Calibri"/>
                <w:b/>
                <w:sz w:val="20"/>
                <w:szCs w:val="20"/>
                <w:lang w:val="sr-Cyrl-RS"/>
              </w:rPr>
              <w:t>2021</w:t>
            </w:r>
            <w:r w:rsidRPr="00862061">
              <w:rPr>
                <w:rFonts w:eastAsia="Calibri"/>
                <w:b/>
                <w:sz w:val="20"/>
                <w:szCs w:val="20"/>
                <w:lang w:val="sr-Cyrl-RS"/>
              </w:rPr>
              <w:t>)</w:t>
            </w:r>
          </w:p>
        </w:tc>
        <w:tc>
          <w:tcPr>
            <w:tcW w:w="1843" w:type="dxa"/>
            <w:vAlign w:val="center"/>
          </w:tcPr>
          <w:p w14:paraId="4F9654DA"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w:t>
            </w:r>
            <w:r w:rsidRPr="00862061">
              <w:rPr>
                <w:rFonts w:eastAsia="Calibri"/>
                <w:b/>
                <w:sz w:val="20"/>
                <w:szCs w:val="20"/>
                <w:lang w:val="sr-Latn-RS"/>
              </w:rPr>
              <w:t>202</w:t>
            </w:r>
            <w:r>
              <w:rPr>
                <w:rFonts w:eastAsia="Calibri"/>
                <w:b/>
                <w:sz w:val="20"/>
                <w:szCs w:val="20"/>
                <w:lang w:val="sr-Latn-RS"/>
              </w:rPr>
              <w:t>3</w:t>
            </w:r>
            <w:r w:rsidRPr="00862061">
              <w:rPr>
                <w:rFonts w:eastAsia="Calibri"/>
                <w:b/>
                <w:sz w:val="20"/>
                <w:szCs w:val="20"/>
                <w:lang w:val="sr-Cyrl-RS"/>
              </w:rPr>
              <w:t>)</w:t>
            </w:r>
          </w:p>
        </w:tc>
        <w:tc>
          <w:tcPr>
            <w:tcW w:w="1843" w:type="dxa"/>
            <w:vAlign w:val="center"/>
          </w:tcPr>
          <w:p w14:paraId="55421E63"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w:t>
            </w:r>
            <w:r w:rsidRPr="00862061">
              <w:rPr>
                <w:rFonts w:eastAsia="Calibri"/>
                <w:b/>
                <w:sz w:val="20"/>
                <w:szCs w:val="20"/>
                <w:lang w:val="sr-Latn-RS"/>
              </w:rPr>
              <w:t>202</w:t>
            </w:r>
            <w:r>
              <w:rPr>
                <w:rFonts w:eastAsia="Calibri"/>
                <w:b/>
                <w:sz w:val="20"/>
                <w:szCs w:val="20"/>
                <w:lang w:val="sr-Latn-RS"/>
              </w:rPr>
              <w:t>4</w:t>
            </w:r>
            <w:r w:rsidRPr="00862061">
              <w:rPr>
                <w:rFonts w:eastAsia="Calibri"/>
                <w:b/>
                <w:sz w:val="20"/>
                <w:szCs w:val="20"/>
                <w:lang w:val="sr-Cyrl-RS"/>
              </w:rPr>
              <w:t>)</w:t>
            </w:r>
          </w:p>
        </w:tc>
      </w:tr>
      <w:tr w:rsidR="00DC7F92" w:rsidRPr="00862061" w14:paraId="0A642626" w14:textId="77777777" w:rsidTr="00DC7F92">
        <w:trPr>
          <w:trHeight w:val="284"/>
        </w:trPr>
        <w:tc>
          <w:tcPr>
            <w:tcW w:w="4106" w:type="dxa"/>
          </w:tcPr>
          <w:p w14:paraId="36742CC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Проценат остварене уштеде енергије кроз реализацију пројеката ЕЕ у односу на потрошњу енергије у години пре реализације пројекта</w:t>
            </w:r>
          </w:p>
        </w:tc>
        <w:tc>
          <w:tcPr>
            <w:tcW w:w="1842" w:type="dxa"/>
            <w:vAlign w:val="center"/>
          </w:tcPr>
          <w:p w14:paraId="21E6BA9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vAlign w:val="center"/>
          </w:tcPr>
          <w:p w14:paraId="2B90123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20% </w:t>
            </w:r>
          </w:p>
        </w:tc>
        <w:tc>
          <w:tcPr>
            <w:tcW w:w="1843" w:type="dxa"/>
            <w:vAlign w:val="center"/>
          </w:tcPr>
          <w:p w14:paraId="51176AAC"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20% </w:t>
            </w:r>
          </w:p>
        </w:tc>
      </w:tr>
    </w:tbl>
    <w:p w14:paraId="3F18353B"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1EBEDF7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Унапређење енергетске ефикасности у сектору индустрије и комерцијалном сектору доводи до смањења потрошње енергије по јединици производа што значи да доприноси и њиховој конкурентности.</w:t>
      </w:r>
    </w:p>
    <w:p w14:paraId="1B8FB991"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73CEA147"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За спровођење структурне реформе потребно је обезбедити средства за инвестиције и рад Управе као и за реализацију међународних пројеката финансираних средствима донатора и међународних финансијских институција. Процењује се да ће за спровођење реформе у  2022</w:t>
      </w:r>
      <w:r>
        <w:rPr>
          <w:rFonts w:eastAsia="Calibri" w:cs="Times New Roman"/>
          <w:szCs w:val="24"/>
          <w:lang w:val="sr-Latn-RS"/>
        </w:rPr>
        <w:t>.</w:t>
      </w:r>
      <w:r w:rsidRPr="00862061">
        <w:rPr>
          <w:rFonts w:eastAsia="Calibri" w:cs="Times New Roman"/>
          <w:szCs w:val="24"/>
          <w:lang w:val="sr-Cyrl-RS"/>
        </w:rPr>
        <w:t xml:space="preserve"> години бити потребно око 5</w:t>
      </w:r>
      <w:r>
        <w:rPr>
          <w:rFonts w:eastAsia="Calibri" w:cs="Times New Roman"/>
          <w:szCs w:val="24"/>
          <w:lang w:val="sr-Cyrl-RS"/>
        </w:rPr>
        <w:t>7</w:t>
      </w:r>
      <w:r w:rsidRPr="00862061">
        <w:rPr>
          <w:rFonts w:eastAsia="Calibri" w:cs="Times New Roman"/>
          <w:szCs w:val="24"/>
          <w:lang w:val="sr-Cyrl-RS"/>
        </w:rPr>
        <w:t xml:space="preserve"> милиона евра</w:t>
      </w:r>
      <w:r>
        <w:rPr>
          <w:rFonts w:eastAsia="Calibri" w:cs="Times New Roman"/>
          <w:szCs w:val="24"/>
          <w:lang w:val="sr-Cyrl-RS"/>
        </w:rPr>
        <w:t xml:space="preserve"> за инвестиције и око 2 милона евра за изградњу капацитета Управе</w:t>
      </w:r>
      <w:r w:rsidRPr="00862061">
        <w:rPr>
          <w:rFonts w:eastAsia="Calibri" w:cs="Times New Roman"/>
          <w:szCs w:val="24"/>
          <w:lang w:val="sr-Cyrl-RS"/>
        </w:rPr>
        <w:t>, у 2023</w:t>
      </w:r>
      <w:r>
        <w:rPr>
          <w:rFonts w:eastAsia="Calibri" w:cs="Times New Roman"/>
          <w:szCs w:val="24"/>
          <w:lang w:val="sr-Latn-RS"/>
        </w:rPr>
        <w:t>.</w:t>
      </w:r>
      <w:r w:rsidRPr="00862061">
        <w:rPr>
          <w:rFonts w:eastAsia="Calibri" w:cs="Times New Roman"/>
          <w:szCs w:val="24"/>
          <w:lang w:val="sr-Cyrl-RS"/>
        </w:rPr>
        <w:t xml:space="preserve"> години 112 милионa евра</w:t>
      </w:r>
      <w:r>
        <w:rPr>
          <w:rFonts w:eastAsia="Calibri" w:cs="Times New Roman"/>
          <w:szCs w:val="24"/>
          <w:lang w:val="sr-Cyrl-RS"/>
        </w:rPr>
        <w:t xml:space="preserve"> од чега 111 милиона за инвестиције и 1 милион за јачање капацитета</w:t>
      </w:r>
      <w:r>
        <w:rPr>
          <w:rFonts w:eastAsia="Calibri" w:cs="Times New Roman"/>
          <w:szCs w:val="24"/>
          <w:lang w:val="sr-Latn-RS"/>
        </w:rPr>
        <w:t>,</w:t>
      </w:r>
      <w:r w:rsidRPr="00862061">
        <w:rPr>
          <w:rFonts w:eastAsia="Calibri" w:cs="Times New Roman"/>
          <w:szCs w:val="24"/>
          <w:lang w:val="sr-Cyrl-RS"/>
        </w:rPr>
        <w:t xml:space="preserve"> а у 2024. години око 117 милиона евра</w:t>
      </w:r>
      <w:r>
        <w:rPr>
          <w:rFonts w:eastAsia="Calibri" w:cs="Times New Roman"/>
          <w:szCs w:val="24"/>
          <w:lang w:val="sr-Cyrl-RS"/>
        </w:rPr>
        <w:t xml:space="preserve"> за инвестиције.</w:t>
      </w:r>
      <w:r w:rsidRPr="00CC72F6">
        <w:rPr>
          <w:rFonts w:eastAsia="Calibri" w:cs="Times New Roman"/>
          <w:szCs w:val="24"/>
          <w:lang w:val="ru-RU"/>
        </w:rPr>
        <w:t xml:space="preserve"> </w:t>
      </w:r>
      <w:r w:rsidRPr="00862061">
        <w:rPr>
          <w:rFonts w:eastAsia="Calibri" w:cs="Times New Roman"/>
          <w:szCs w:val="24"/>
          <w:lang w:val="sr-Cyrl-RS"/>
        </w:rPr>
        <w:t>Почетак рада Управе очекује се почетком 2022. године. Очекује се да ће број запослених у Управи постепено расти током година.</w:t>
      </w:r>
      <w:r>
        <w:rPr>
          <w:rFonts w:eastAsia="Calibri" w:cs="Times New Roman"/>
          <w:szCs w:val="24"/>
          <w:lang w:val="sr-Cyrl-RS"/>
        </w:rPr>
        <w:t xml:space="preserve"> За рад на подзаконској регулативи нису предвиђена додатна средства јер ће рад на тим пословима радити већ запослена лица у Министарству уз евентуалну подршку донатора чија се подршка не може квантификовати у новцу. </w:t>
      </w:r>
      <w:r w:rsidRPr="00862061">
        <w:rPr>
          <w:rFonts w:eastAsia="Calibri" w:cs="Times New Roman"/>
          <w:szCs w:val="24"/>
          <w:lang w:val="sr-Cyrl-RS"/>
        </w:rPr>
        <w:t xml:space="preserve">У наредном периоду предвиђено је да сва </w:t>
      </w:r>
      <w:r w:rsidRPr="00862061">
        <w:rPr>
          <w:rFonts w:eastAsia="Calibri" w:cs="Times New Roman"/>
          <w:szCs w:val="24"/>
          <w:lang w:val="sr-Cyrl-RS"/>
        </w:rPr>
        <w:lastRenderedPageBreak/>
        <w:t xml:space="preserve">прикупљена средства по основу накнаде за енергетску ефикасност буду опредељена за активности Управе, али и да се и из </w:t>
      </w:r>
      <w:r>
        <w:rPr>
          <w:rFonts w:eastAsia="Calibri" w:cs="Times New Roman"/>
          <w:szCs w:val="24"/>
          <w:lang w:val="sr-Cyrl-RS"/>
        </w:rPr>
        <w:t>б</w:t>
      </w:r>
      <w:r w:rsidRPr="00862061">
        <w:rPr>
          <w:rFonts w:eastAsia="Calibri" w:cs="Times New Roman"/>
          <w:szCs w:val="24"/>
          <w:lang w:val="sr-Cyrl-RS"/>
        </w:rPr>
        <w:t xml:space="preserve">уџета РС обезбеде далеко већа средства за подстицање енергетске ефикасности са посебним фокусом на сектор домаћинстава укључујући и уградњу соларних панела за производњу електричне енергије за сопствене потребе. Поред средстава </w:t>
      </w:r>
      <w:r>
        <w:rPr>
          <w:rFonts w:eastAsia="Calibri" w:cs="Times New Roman"/>
          <w:szCs w:val="24"/>
          <w:lang w:val="sr-Cyrl-RS"/>
        </w:rPr>
        <w:t>б</w:t>
      </w:r>
      <w:r w:rsidRPr="00862061">
        <w:rPr>
          <w:rFonts w:eastAsia="Calibri" w:cs="Times New Roman"/>
          <w:szCs w:val="24"/>
          <w:lang w:val="sr-Cyrl-RS"/>
        </w:rPr>
        <w:t>уџета, за активности Управе у наредном периоду ће се обезбедити и значајна средства донација и кредити међународних финансијских институција</w:t>
      </w:r>
      <w:r>
        <w:rPr>
          <w:rFonts w:eastAsia="Calibri" w:cs="Times New Roman"/>
          <w:szCs w:val="24"/>
          <w:lang w:val="sr-Cyrl-RS"/>
        </w:rPr>
        <w:t xml:space="preserve">, </w:t>
      </w:r>
      <w:r w:rsidRPr="00862061">
        <w:rPr>
          <w:rFonts w:eastAsia="Calibri" w:cs="Times New Roman"/>
          <w:szCs w:val="24"/>
          <w:lang w:val="sr-Cyrl-RS"/>
        </w:rPr>
        <w:t>такође са посебним фокусом на сектор домаћинстава,  као и средства за техничку помоћ у циљу изградње капацитета Управе.</w:t>
      </w:r>
    </w:p>
    <w:p w14:paraId="590E0412" w14:textId="669E6979"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2022. годин</w:t>
      </w:r>
      <w:r>
        <w:rPr>
          <w:rFonts w:eastAsia="Calibri" w:cs="Times New Roman"/>
          <w:szCs w:val="24"/>
          <w:lang w:val="sr-Cyrl-RS"/>
        </w:rPr>
        <w:t>и потребна средства за рад У</w:t>
      </w:r>
      <w:r w:rsidRPr="00862061">
        <w:rPr>
          <w:rFonts w:eastAsia="Calibri" w:cs="Times New Roman"/>
          <w:szCs w:val="24"/>
          <w:lang w:val="sr-Cyrl-RS"/>
        </w:rPr>
        <w:t>праве процењена су на око 0,229 мил</w:t>
      </w:r>
      <w:r>
        <w:rPr>
          <w:rFonts w:eastAsia="Calibri" w:cs="Times New Roman"/>
          <w:szCs w:val="24"/>
          <w:lang w:val="sr-Cyrl-RS"/>
        </w:rPr>
        <w:t xml:space="preserve">иона евра </w:t>
      </w:r>
      <w:r w:rsidRPr="00862061">
        <w:rPr>
          <w:rFonts w:eastAsia="Calibri" w:cs="Times New Roman"/>
          <w:szCs w:val="24"/>
          <w:lang w:val="sr-Cyrl-RS"/>
        </w:rPr>
        <w:t>(око 0.093 мил</w:t>
      </w:r>
      <w:r>
        <w:rPr>
          <w:rFonts w:eastAsia="Calibri" w:cs="Times New Roman"/>
          <w:szCs w:val="24"/>
          <w:lang w:val="sr-Cyrl-RS"/>
        </w:rPr>
        <w:t>иона евра</w:t>
      </w:r>
      <w:r w:rsidRPr="00862061">
        <w:rPr>
          <w:rFonts w:eastAsia="Calibri" w:cs="Times New Roman"/>
          <w:szCs w:val="24"/>
          <w:lang w:val="sr-Cyrl-RS"/>
        </w:rPr>
        <w:t xml:space="preserve"> за плате и око 0,136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w:t>
      </w:r>
      <w:r>
        <w:rPr>
          <w:rFonts w:eastAsia="Calibri" w:cs="Times New Roman"/>
          <w:szCs w:val="24"/>
          <w:lang w:val="sr-Cyrl-RS"/>
        </w:rPr>
        <w:t>, у складу са опредељеним буџетом за 2022. годину</w:t>
      </w:r>
      <w:r w:rsidRPr="00862061">
        <w:rPr>
          <w:rFonts w:eastAsia="Calibri" w:cs="Times New Roman"/>
          <w:szCs w:val="24"/>
          <w:lang w:val="sr-Cyrl-RS"/>
        </w:rPr>
        <w:t>) док се за субвенције и трансфере за повећање енергетске ефиксаности које додељује Управа процењује да је потребно око 20,83 мил</w:t>
      </w:r>
      <w:r>
        <w:rPr>
          <w:rFonts w:eastAsia="Calibri" w:cs="Times New Roman"/>
          <w:szCs w:val="24"/>
          <w:lang w:val="sr-Cyrl-RS"/>
        </w:rPr>
        <w:t>иона евра</w:t>
      </w:r>
      <w:r w:rsidRPr="00862061">
        <w:rPr>
          <w:rFonts w:eastAsia="Calibri" w:cs="Times New Roman"/>
          <w:szCs w:val="24"/>
          <w:lang w:val="sr-Cyrl-RS"/>
        </w:rPr>
        <w:t xml:space="preserve"> које ће бити праћене са још око 13,9 милион</w:t>
      </w:r>
      <w:r>
        <w:rPr>
          <w:rFonts w:eastAsia="Calibri" w:cs="Times New Roman"/>
          <w:szCs w:val="24"/>
          <w:lang w:val="sr-Cyrl-RS"/>
        </w:rPr>
        <w:t>а</w:t>
      </w:r>
      <w:r w:rsidRPr="00862061">
        <w:rPr>
          <w:rFonts w:eastAsia="Calibri" w:cs="Times New Roman"/>
          <w:szCs w:val="24"/>
          <w:lang w:val="sr-Cyrl-RS"/>
        </w:rPr>
        <w:t xml:space="preserve"> евра из буџета јединица локалне сампуправе. За </w:t>
      </w:r>
      <w:r>
        <w:rPr>
          <w:rFonts w:eastAsia="Calibri" w:cs="Times New Roman"/>
          <w:szCs w:val="24"/>
          <w:lang w:val="sr-Cyrl-CS"/>
        </w:rPr>
        <w:t xml:space="preserve">јачање капацитета </w:t>
      </w:r>
      <w:r w:rsidRPr="00862061">
        <w:rPr>
          <w:rFonts w:eastAsia="Calibri" w:cs="Times New Roman"/>
          <w:szCs w:val="24"/>
          <w:lang w:val="sr-Cyrl-RS"/>
        </w:rPr>
        <w:t xml:space="preserve">потребна </w:t>
      </w:r>
      <w:r>
        <w:rPr>
          <w:rFonts w:eastAsia="Calibri" w:cs="Times New Roman"/>
          <w:szCs w:val="24"/>
          <w:lang w:val="sr-Cyrl-RS"/>
        </w:rPr>
        <w:t xml:space="preserve">су </w:t>
      </w:r>
      <w:r w:rsidRPr="00862061">
        <w:rPr>
          <w:rFonts w:eastAsia="Calibri" w:cs="Times New Roman"/>
          <w:szCs w:val="24"/>
          <w:lang w:val="sr-Cyrl-RS"/>
        </w:rPr>
        <w:t>и средства ИПА 2021 за техничку помоћ од око 2 мил</w:t>
      </w:r>
      <w:r>
        <w:rPr>
          <w:rFonts w:eastAsia="Calibri" w:cs="Times New Roman"/>
          <w:szCs w:val="24"/>
          <w:lang w:val="sr-Cyrl-RS"/>
        </w:rPr>
        <w:t>иона евра</w:t>
      </w:r>
      <w:r w:rsidRPr="00862061">
        <w:rPr>
          <w:rFonts w:eastAsia="Calibri" w:cs="Times New Roman"/>
          <w:szCs w:val="24"/>
          <w:lang w:val="sr-Cyrl-RS"/>
        </w:rPr>
        <w:t xml:space="preserve">. За релаизацију </w:t>
      </w:r>
      <w:r>
        <w:rPr>
          <w:rFonts w:eastAsia="Calibri" w:cs="Times New Roman"/>
          <w:szCs w:val="24"/>
          <w:lang w:val="sr-Cyrl-RS"/>
        </w:rPr>
        <w:t xml:space="preserve">инвестиција из </w:t>
      </w:r>
      <w:r w:rsidRPr="00862061">
        <w:rPr>
          <w:rFonts w:eastAsia="Calibri" w:cs="Times New Roman"/>
          <w:szCs w:val="24"/>
          <w:lang w:val="sr-Cyrl-RS"/>
        </w:rPr>
        <w:t xml:space="preserve">међународних пројеката потребна су средства </w:t>
      </w:r>
      <w:r>
        <w:rPr>
          <w:rFonts w:eastAsia="Calibri" w:cs="Times New Roman"/>
          <w:szCs w:val="24"/>
          <w:lang w:val="sr-Cyrl-RS"/>
        </w:rPr>
        <w:t>пројектних кредита</w:t>
      </w:r>
      <w:r w:rsidRPr="00862061">
        <w:rPr>
          <w:rFonts w:eastAsia="Calibri" w:cs="Times New Roman"/>
          <w:szCs w:val="24"/>
          <w:lang w:val="sr-Cyrl-RS"/>
        </w:rPr>
        <w:t xml:space="preserve"> од укупно 15,3 мил</w:t>
      </w:r>
      <w:r>
        <w:rPr>
          <w:rFonts w:eastAsia="Calibri" w:cs="Times New Roman"/>
          <w:szCs w:val="24"/>
          <w:lang w:val="sr-Cyrl-RS"/>
        </w:rPr>
        <w:t>иона евра и бесповратна средства</w:t>
      </w:r>
      <w:r w:rsidRPr="00862061">
        <w:rPr>
          <w:rFonts w:eastAsia="Calibri" w:cs="Times New Roman"/>
          <w:szCs w:val="24"/>
          <w:lang w:val="sr-Cyrl-RS"/>
        </w:rPr>
        <w:t xml:space="preserve"> од око 6,9 милиона евра </w:t>
      </w:r>
      <w:r>
        <w:rPr>
          <w:rFonts w:eastAsia="Calibri" w:cs="Times New Roman"/>
          <w:szCs w:val="24"/>
          <w:lang w:val="sr-Cyrl-RS"/>
        </w:rPr>
        <w:t xml:space="preserve"> од чега </w:t>
      </w:r>
      <w:r w:rsidRPr="00862061">
        <w:rPr>
          <w:rFonts w:eastAsia="Calibri" w:cs="Times New Roman"/>
          <w:szCs w:val="24"/>
          <w:lang w:val="sr-Cyrl-RS"/>
        </w:rPr>
        <w:t>око 2,8 мил</w:t>
      </w:r>
      <w:r>
        <w:rPr>
          <w:rFonts w:eastAsia="Calibri" w:cs="Times New Roman"/>
          <w:szCs w:val="24"/>
          <w:lang w:val="sr-Cyrl-RS"/>
        </w:rPr>
        <w:t>иона бесповратна сре</w:t>
      </w:r>
      <w:r w:rsidR="006A619A">
        <w:rPr>
          <w:rFonts w:eastAsia="Calibri" w:cs="Times New Roman"/>
          <w:szCs w:val="24"/>
          <w:lang w:val="sr-Cyrl-RS"/>
        </w:rPr>
        <w:t>дст</w:t>
      </w:r>
      <w:r>
        <w:rPr>
          <w:rFonts w:eastAsia="Calibri" w:cs="Times New Roman"/>
          <w:szCs w:val="24"/>
          <w:lang w:val="sr-Cyrl-RS"/>
        </w:rPr>
        <w:t xml:space="preserve">ва уз пројектне кредите и </w:t>
      </w:r>
      <w:r w:rsidRPr="00862061">
        <w:rPr>
          <w:rFonts w:eastAsia="Calibri" w:cs="Times New Roman"/>
          <w:szCs w:val="24"/>
          <w:lang w:val="sr-Cyrl-RS"/>
        </w:rPr>
        <w:t>средства донације SECO</w:t>
      </w:r>
      <w:r>
        <w:rPr>
          <w:rFonts w:eastAsia="Calibri" w:cs="Times New Roman"/>
          <w:szCs w:val="24"/>
          <w:lang w:val="sr-Cyrl-RS"/>
        </w:rPr>
        <w:t xml:space="preserve"> 4,14 милиона евра</w:t>
      </w:r>
      <w:r w:rsidRPr="00862061">
        <w:rPr>
          <w:rFonts w:eastAsia="Calibri" w:cs="Times New Roman"/>
          <w:szCs w:val="24"/>
          <w:lang w:val="sr-Cyrl-RS"/>
        </w:rPr>
        <w:t xml:space="preserve"> (0,54</w:t>
      </w:r>
      <w:r>
        <w:rPr>
          <w:rFonts w:eastAsia="Calibri" w:cs="Times New Roman"/>
          <w:szCs w:val="24"/>
          <w:lang w:val="sr-Cyrl-RS"/>
        </w:rPr>
        <w:t xml:space="preserve"> </w:t>
      </w:r>
      <w:r w:rsidRPr="00862061">
        <w:rPr>
          <w:rFonts w:eastAsia="Calibri" w:cs="Times New Roman"/>
          <w:szCs w:val="24"/>
          <w:lang w:val="sr-Cyrl-RS"/>
        </w:rPr>
        <w:t>мил</w:t>
      </w:r>
      <w:r>
        <w:rPr>
          <w:rFonts w:eastAsia="Calibri" w:cs="Times New Roman"/>
          <w:szCs w:val="24"/>
          <w:lang w:val="sr-Cyrl-RS"/>
        </w:rPr>
        <w:t>иона евра</w:t>
      </w:r>
      <w:r w:rsidRPr="00862061">
        <w:rPr>
          <w:rFonts w:eastAsia="Calibri" w:cs="Times New Roman"/>
          <w:szCs w:val="24"/>
          <w:lang w:val="sr-Cyrl-RS"/>
        </w:rPr>
        <w:t xml:space="preserve"> за техничку помоћ и 3,6 милиона </w:t>
      </w:r>
      <w:r>
        <w:rPr>
          <w:rFonts w:eastAsia="Calibri" w:cs="Times New Roman"/>
          <w:szCs w:val="24"/>
          <w:lang w:val="sr-Cyrl-RS"/>
        </w:rPr>
        <w:t>евра</w:t>
      </w:r>
      <w:r w:rsidRPr="00862061">
        <w:rPr>
          <w:rFonts w:eastAsia="Calibri" w:cs="Times New Roman"/>
          <w:szCs w:val="24"/>
          <w:lang w:val="sr-Cyrl-RS"/>
        </w:rPr>
        <w:t xml:space="preserve"> за инвестиционе активно</w:t>
      </w:r>
      <w:r>
        <w:rPr>
          <w:rFonts w:eastAsia="Calibri" w:cs="Times New Roman"/>
          <w:szCs w:val="24"/>
          <w:lang w:val="sr-Cyrl-RS"/>
        </w:rPr>
        <w:t>с</w:t>
      </w:r>
      <w:r w:rsidRPr="00862061">
        <w:rPr>
          <w:rFonts w:eastAsia="Calibri" w:cs="Times New Roman"/>
          <w:szCs w:val="24"/>
          <w:lang w:val="sr-Cyrl-RS"/>
        </w:rPr>
        <w:t>ти).</w:t>
      </w:r>
    </w:p>
    <w:p w14:paraId="09BF1A4F"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2023. години очекује се повећање трошкова за рад Управе од ок</w:t>
      </w:r>
      <w:r>
        <w:rPr>
          <w:rFonts w:eastAsia="Calibri" w:cs="Times New Roman"/>
          <w:szCs w:val="24"/>
          <w:lang w:val="sr-Cyrl-RS"/>
        </w:rPr>
        <w:t>о</w:t>
      </w:r>
      <w:r w:rsidRPr="00862061">
        <w:rPr>
          <w:rFonts w:eastAsia="Calibri" w:cs="Times New Roman"/>
          <w:szCs w:val="24"/>
          <w:lang w:val="sr-Cyrl-RS"/>
        </w:rPr>
        <w:t xml:space="preserve"> 20% због постепеног повећања броја запослених и обима послова. Тако с</w:t>
      </w:r>
      <w:r>
        <w:rPr>
          <w:rFonts w:eastAsia="Calibri" w:cs="Times New Roman"/>
          <w:szCs w:val="24"/>
          <w:lang w:val="sr-Cyrl-RS"/>
        </w:rPr>
        <w:t>у</w:t>
      </w:r>
      <w:r w:rsidRPr="00862061">
        <w:rPr>
          <w:rFonts w:eastAsia="Calibri" w:cs="Times New Roman"/>
          <w:szCs w:val="24"/>
          <w:lang w:val="sr-Cyrl-RS"/>
        </w:rPr>
        <w:t xml:space="preserve"> у 2023. години потребна средства за рад управе процењена на око 0,28 мил</w:t>
      </w:r>
      <w:r>
        <w:rPr>
          <w:rFonts w:eastAsia="Calibri" w:cs="Times New Roman"/>
          <w:szCs w:val="24"/>
          <w:lang w:val="sr-Cyrl-RS"/>
        </w:rPr>
        <w:t>иона евра</w:t>
      </w:r>
      <w:r w:rsidRPr="00862061">
        <w:rPr>
          <w:rFonts w:eastAsia="Calibri" w:cs="Times New Roman"/>
          <w:szCs w:val="24"/>
          <w:lang w:val="sr-Cyrl-RS"/>
        </w:rPr>
        <w:t xml:space="preserve"> (око 0.112 мил</w:t>
      </w:r>
      <w:r>
        <w:rPr>
          <w:rFonts w:eastAsia="Calibri" w:cs="Times New Roman"/>
          <w:szCs w:val="24"/>
          <w:lang w:val="sr-Cyrl-RS"/>
        </w:rPr>
        <w:t>иона</w:t>
      </w:r>
      <w:r w:rsidRPr="00862061">
        <w:rPr>
          <w:rFonts w:eastAsia="Calibri" w:cs="Times New Roman"/>
          <w:szCs w:val="24"/>
          <w:lang w:val="sr-Cyrl-RS"/>
        </w:rPr>
        <w:t xml:space="preserve"> за плате и око 0,166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 док се за субвениције и трансфере за повећање енергетске ефиксаности које додељује Управа процењује да је потребно око  </w:t>
      </w:r>
      <w:r>
        <w:rPr>
          <w:rFonts w:eastAsia="Calibri" w:cs="Times New Roman"/>
          <w:szCs w:val="24"/>
          <w:lang w:val="sr-Cyrl-RS"/>
        </w:rPr>
        <w:t>20,8</w:t>
      </w:r>
      <w:r w:rsidRPr="00862061">
        <w:rPr>
          <w:rFonts w:eastAsia="Calibri" w:cs="Times New Roman"/>
          <w:szCs w:val="24"/>
          <w:lang w:val="sr-Cyrl-RS"/>
        </w:rPr>
        <w:t xml:space="preserve"> мил</w:t>
      </w:r>
      <w:r>
        <w:rPr>
          <w:rFonts w:eastAsia="Calibri" w:cs="Times New Roman"/>
          <w:szCs w:val="24"/>
          <w:lang w:val="sr-Cyrl-RS"/>
        </w:rPr>
        <w:t>иона евра</w:t>
      </w:r>
      <w:r w:rsidRPr="00862061">
        <w:rPr>
          <w:rFonts w:eastAsia="Calibri" w:cs="Times New Roman"/>
          <w:szCs w:val="24"/>
          <w:lang w:val="sr-Cyrl-RS"/>
        </w:rPr>
        <w:t xml:space="preserve"> </w:t>
      </w:r>
      <w:r>
        <w:rPr>
          <w:rFonts w:eastAsia="Calibri" w:cs="Times New Roman"/>
          <w:szCs w:val="24"/>
          <w:lang w:val="sr-Cyrl-RS"/>
        </w:rPr>
        <w:t xml:space="preserve">из буџета </w:t>
      </w:r>
      <w:r w:rsidRPr="00862061">
        <w:rPr>
          <w:rFonts w:eastAsia="Calibri" w:cs="Times New Roman"/>
          <w:szCs w:val="24"/>
          <w:lang w:val="sr-Cyrl-RS"/>
        </w:rPr>
        <w:t xml:space="preserve">које ће бити праћене са још око </w:t>
      </w:r>
      <w:r>
        <w:rPr>
          <w:rFonts w:eastAsia="Calibri" w:cs="Times New Roman"/>
          <w:szCs w:val="24"/>
          <w:lang w:val="sr-Cyrl-RS"/>
        </w:rPr>
        <w:t>13,9</w:t>
      </w:r>
      <w:r w:rsidRPr="00862061">
        <w:rPr>
          <w:rFonts w:eastAsia="Calibri" w:cs="Times New Roman"/>
          <w:szCs w:val="24"/>
          <w:lang w:val="sr-Cyrl-RS"/>
        </w:rPr>
        <w:t xml:space="preserve"> милион евра из буџета јединица локалне сампуправе као у 2022. години. За </w:t>
      </w:r>
      <w:r>
        <w:rPr>
          <w:rFonts w:eastAsia="Calibri" w:cs="Times New Roman"/>
          <w:szCs w:val="24"/>
          <w:lang w:val="sr-Cyrl-RS"/>
        </w:rPr>
        <w:t>јачање капацитета</w:t>
      </w:r>
      <w:r w:rsidRPr="00862061">
        <w:rPr>
          <w:rFonts w:eastAsia="Calibri" w:cs="Times New Roman"/>
          <w:szCs w:val="24"/>
          <w:lang w:val="sr-Cyrl-RS"/>
        </w:rPr>
        <w:t xml:space="preserve"> су потребна и средства ИПА 2021 за техничку помоћ од око 1 мил</w:t>
      </w:r>
      <w:r>
        <w:rPr>
          <w:rFonts w:eastAsia="Calibri" w:cs="Times New Roman"/>
          <w:szCs w:val="24"/>
          <w:lang w:val="sr-Cyrl-RS"/>
        </w:rPr>
        <w:t>иона евра. Из средстава ИПА 2021</w:t>
      </w:r>
      <w:r w:rsidRPr="00862061">
        <w:rPr>
          <w:rFonts w:eastAsia="Calibri" w:cs="Times New Roman"/>
          <w:szCs w:val="24"/>
          <w:lang w:val="sr-Cyrl-RS"/>
        </w:rPr>
        <w:t xml:space="preserve"> </w:t>
      </w:r>
      <w:r>
        <w:rPr>
          <w:rFonts w:eastAsia="Calibri" w:cs="Times New Roman"/>
          <w:szCs w:val="24"/>
          <w:lang w:val="sr-Cyrl-RS"/>
        </w:rPr>
        <w:t xml:space="preserve">потреба су и </w:t>
      </w:r>
      <w:r w:rsidRPr="00862061">
        <w:rPr>
          <w:rFonts w:eastAsia="Calibri" w:cs="Times New Roman"/>
          <w:szCs w:val="24"/>
          <w:lang w:val="sr-Cyrl-RS"/>
        </w:rPr>
        <w:t>средства за пилот</w:t>
      </w:r>
      <w:r>
        <w:rPr>
          <w:rFonts w:eastAsia="Calibri" w:cs="Times New Roman"/>
          <w:szCs w:val="24"/>
          <w:lang w:val="sr-Cyrl-RS"/>
        </w:rPr>
        <w:t xml:space="preserve"> инестиционе</w:t>
      </w:r>
      <w:r w:rsidRPr="00862061">
        <w:rPr>
          <w:rFonts w:eastAsia="Calibri" w:cs="Times New Roman"/>
          <w:szCs w:val="24"/>
          <w:lang w:val="sr-Cyrl-RS"/>
        </w:rPr>
        <w:t xml:space="preserve"> пројект</w:t>
      </w:r>
      <w:r>
        <w:rPr>
          <w:rFonts w:eastAsia="Calibri" w:cs="Times New Roman"/>
          <w:szCs w:val="24"/>
          <w:lang w:val="sr-Cyrl-RS"/>
        </w:rPr>
        <w:t>е у висини</w:t>
      </w:r>
      <w:r w:rsidRPr="00862061">
        <w:rPr>
          <w:rFonts w:eastAsia="Calibri" w:cs="Times New Roman"/>
          <w:szCs w:val="24"/>
          <w:lang w:val="sr-Cyrl-RS"/>
        </w:rPr>
        <w:t xml:space="preserve"> од 2 милиона евра. За реализацију </w:t>
      </w:r>
      <w:r>
        <w:rPr>
          <w:rFonts w:eastAsia="Calibri" w:cs="Times New Roman"/>
          <w:szCs w:val="24"/>
          <w:lang w:val="sr-Cyrl-RS"/>
        </w:rPr>
        <w:t xml:space="preserve">инвестиција из </w:t>
      </w:r>
      <w:r w:rsidRPr="00862061">
        <w:rPr>
          <w:rFonts w:eastAsia="Calibri" w:cs="Times New Roman"/>
          <w:szCs w:val="24"/>
          <w:lang w:val="sr-Cyrl-RS"/>
        </w:rPr>
        <w:t xml:space="preserve">међународних пројеката потребна су средства </w:t>
      </w:r>
      <w:r>
        <w:rPr>
          <w:rFonts w:eastAsia="Calibri" w:cs="Times New Roman"/>
          <w:szCs w:val="24"/>
          <w:lang w:val="sr-Cyrl-RS"/>
        </w:rPr>
        <w:t>пројектних кредита</w:t>
      </w:r>
      <w:r w:rsidRPr="00862061">
        <w:rPr>
          <w:rFonts w:eastAsia="Calibri" w:cs="Times New Roman"/>
          <w:szCs w:val="24"/>
          <w:lang w:val="sr-Cyrl-RS"/>
        </w:rPr>
        <w:t xml:space="preserve"> од укупно 72,2 мил</w:t>
      </w:r>
      <w:r>
        <w:rPr>
          <w:rFonts w:eastAsia="Calibri" w:cs="Times New Roman"/>
          <w:szCs w:val="24"/>
          <w:lang w:val="sr-Cyrl-RS"/>
        </w:rPr>
        <w:t>иона евра</w:t>
      </w:r>
      <w:r w:rsidRPr="00862061">
        <w:rPr>
          <w:rFonts w:eastAsia="Calibri" w:cs="Times New Roman"/>
          <w:szCs w:val="24"/>
          <w:lang w:val="sr-Cyrl-RS"/>
        </w:rPr>
        <w:t xml:space="preserve"> праћена средствима донација од око 1,75 мил</w:t>
      </w:r>
      <w:r>
        <w:rPr>
          <w:rFonts w:eastAsia="Calibri" w:cs="Times New Roman"/>
          <w:szCs w:val="24"/>
          <w:lang w:val="sr-Cyrl-RS"/>
        </w:rPr>
        <w:t>иона евра</w:t>
      </w:r>
      <w:r w:rsidRPr="00862061">
        <w:rPr>
          <w:rFonts w:eastAsia="Calibri" w:cs="Times New Roman"/>
          <w:szCs w:val="24"/>
          <w:lang w:val="sr-Cyrl-RS"/>
        </w:rPr>
        <w:t>.</w:t>
      </w:r>
    </w:p>
    <w:p w14:paraId="0360EE2B" w14:textId="602093A1"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2023. години очекује се повећање трошкова за рад Управе од ок</w:t>
      </w:r>
      <w:r>
        <w:rPr>
          <w:rFonts w:eastAsia="Calibri" w:cs="Times New Roman"/>
          <w:szCs w:val="24"/>
          <w:lang w:val="sr-Cyrl-RS"/>
        </w:rPr>
        <w:t>о</w:t>
      </w:r>
      <w:r w:rsidRPr="00862061">
        <w:rPr>
          <w:rFonts w:eastAsia="Calibri" w:cs="Times New Roman"/>
          <w:szCs w:val="24"/>
          <w:lang w:val="sr-Cyrl-RS"/>
        </w:rPr>
        <w:t xml:space="preserve"> 20% због постепеног повећања броја запослених и обима послова. Тако с</w:t>
      </w:r>
      <w:r>
        <w:rPr>
          <w:rFonts w:eastAsia="Calibri" w:cs="Times New Roman"/>
          <w:szCs w:val="24"/>
          <w:lang w:val="sr-Cyrl-RS"/>
        </w:rPr>
        <w:t>у</w:t>
      </w:r>
      <w:r w:rsidRPr="00862061">
        <w:rPr>
          <w:rFonts w:eastAsia="Calibri" w:cs="Times New Roman"/>
          <w:szCs w:val="24"/>
          <w:lang w:val="sr-Cyrl-RS"/>
        </w:rPr>
        <w:t xml:space="preserve"> у 2024. години потребна средства за рад управе процењена на око 0,33 мил</w:t>
      </w:r>
      <w:r>
        <w:rPr>
          <w:rFonts w:eastAsia="Calibri" w:cs="Times New Roman"/>
          <w:szCs w:val="24"/>
          <w:lang w:val="sr-Cyrl-RS"/>
        </w:rPr>
        <w:t>иона е</w:t>
      </w:r>
      <w:r w:rsidR="006A619A">
        <w:rPr>
          <w:rFonts w:eastAsia="Calibri" w:cs="Times New Roman"/>
          <w:szCs w:val="24"/>
          <w:lang w:val="sr-Cyrl-RS"/>
        </w:rPr>
        <w:t>вр</w:t>
      </w:r>
      <w:r>
        <w:rPr>
          <w:rFonts w:eastAsia="Calibri" w:cs="Times New Roman"/>
          <w:szCs w:val="24"/>
          <w:lang w:val="sr-Cyrl-RS"/>
        </w:rPr>
        <w:t>а</w:t>
      </w:r>
      <w:r w:rsidRPr="00862061">
        <w:rPr>
          <w:rFonts w:eastAsia="Calibri" w:cs="Times New Roman"/>
          <w:szCs w:val="24"/>
          <w:lang w:val="sr-Cyrl-RS"/>
        </w:rPr>
        <w:t xml:space="preserve"> (око 0.134 мил</w:t>
      </w:r>
      <w:r>
        <w:rPr>
          <w:rFonts w:eastAsia="Calibri" w:cs="Times New Roman"/>
          <w:szCs w:val="24"/>
          <w:lang w:val="sr-Cyrl-RS"/>
        </w:rPr>
        <w:t>иона евра</w:t>
      </w:r>
      <w:r w:rsidRPr="00862061">
        <w:rPr>
          <w:rFonts w:eastAsia="Calibri" w:cs="Times New Roman"/>
          <w:szCs w:val="24"/>
          <w:lang w:val="sr-Cyrl-RS"/>
        </w:rPr>
        <w:t xml:space="preserve"> за плате и око 0,2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 док се за субвениције и трансфере за повећање енергетске ефиксаности које додељује Управа процењује да је потребно око  </w:t>
      </w:r>
      <w:r>
        <w:rPr>
          <w:rFonts w:eastAsia="Calibri" w:cs="Times New Roman"/>
          <w:szCs w:val="24"/>
          <w:lang w:val="sr-Cyrl-RS"/>
        </w:rPr>
        <w:t>20</w:t>
      </w:r>
      <w:r w:rsidRPr="00862061">
        <w:rPr>
          <w:rFonts w:eastAsia="Calibri" w:cs="Times New Roman"/>
          <w:szCs w:val="24"/>
          <w:lang w:val="sr-Cyrl-RS"/>
        </w:rPr>
        <w:t>,</w:t>
      </w:r>
      <w:r>
        <w:rPr>
          <w:rFonts w:eastAsia="Calibri" w:cs="Times New Roman"/>
          <w:szCs w:val="24"/>
          <w:lang w:val="sr-Cyrl-RS"/>
        </w:rPr>
        <w:t>8</w:t>
      </w:r>
      <w:r w:rsidRPr="00862061">
        <w:rPr>
          <w:rFonts w:eastAsia="Calibri" w:cs="Times New Roman"/>
          <w:szCs w:val="24"/>
          <w:lang w:val="sr-Cyrl-RS"/>
        </w:rPr>
        <w:t xml:space="preserve"> мил</w:t>
      </w:r>
      <w:r>
        <w:rPr>
          <w:rFonts w:eastAsia="Calibri" w:cs="Times New Roman"/>
          <w:szCs w:val="24"/>
          <w:lang w:val="sr-Cyrl-RS"/>
        </w:rPr>
        <w:t>иона евра</w:t>
      </w:r>
      <w:r w:rsidRPr="00862061">
        <w:rPr>
          <w:rFonts w:eastAsia="Calibri" w:cs="Times New Roman"/>
          <w:szCs w:val="24"/>
          <w:lang w:val="sr-Cyrl-RS"/>
        </w:rPr>
        <w:t xml:space="preserve"> које ће бити праћене са још око </w:t>
      </w:r>
      <w:r>
        <w:rPr>
          <w:rFonts w:eastAsia="Calibri" w:cs="Times New Roman"/>
          <w:szCs w:val="24"/>
          <w:lang w:val="sr-Cyrl-RS"/>
        </w:rPr>
        <w:t>13,9</w:t>
      </w:r>
      <w:r w:rsidRPr="00862061">
        <w:rPr>
          <w:rFonts w:eastAsia="Calibri" w:cs="Times New Roman"/>
          <w:szCs w:val="24"/>
          <w:lang w:val="sr-Cyrl-RS"/>
        </w:rPr>
        <w:t xml:space="preserve"> милион евра из буџета јединица локалне сампуправе као у 2023. години. За реализацију су потребна и средства ИПА 2021 за подршку инвестицијама од око 10 мил</w:t>
      </w:r>
      <w:r>
        <w:rPr>
          <w:rFonts w:eastAsia="Calibri" w:cs="Times New Roman"/>
          <w:szCs w:val="24"/>
          <w:lang w:val="sr-Cyrl-RS"/>
        </w:rPr>
        <w:t>иона евра</w:t>
      </w:r>
      <w:r w:rsidRPr="00862061">
        <w:rPr>
          <w:rFonts w:eastAsia="Calibri" w:cs="Times New Roman"/>
          <w:szCs w:val="24"/>
          <w:lang w:val="sr-Cyrl-RS"/>
        </w:rPr>
        <w:t>. За релаизацију међународних пројеката потребна су средства међународних финансијских инстутуција од укупно 70,45 мил</w:t>
      </w:r>
      <w:r>
        <w:rPr>
          <w:rFonts w:eastAsia="Calibri" w:cs="Times New Roman"/>
          <w:szCs w:val="24"/>
          <w:lang w:val="sr-Cyrl-RS"/>
        </w:rPr>
        <w:t>иона евра</w:t>
      </w:r>
      <w:r w:rsidRPr="00862061">
        <w:rPr>
          <w:rFonts w:eastAsia="Calibri" w:cs="Times New Roman"/>
          <w:szCs w:val="24"/>
          <w:lang w:val="sr-Cyrl-RS"/>
        </w:rPr>
        <w:t xml:space="preserve"> праћена средствима донација од око 1,7 мил</w:t>
      </w:r>
      <w:r>
        <w:rPr>
          <w:rFonts w:eastAsia="Calibri" w:cs="Times New Roman"/>
          <w:szCs w:val="24"/>
          <w:lang w:val="sr-Cyrl-RS"/>
        </w:rPr>
        <w:t>иона евра</w:t>
      </w:r>
      <w:r w:rsidRPr="00862061">
        <w:rPr>
          <w:rFonts w:eastAsia="Calibri" w:cs="Times New Roman"/>
          <w:szCs w:val="24"/>
          <w:lang w:val="sr-Cyrl-RS"/>
        </w:rPr>
        <w:t>.</w:t>
      </w:r>
    </w:p>
    <w:p w14:paraId="389D9434" w14:textId="77777777" w:rsidR="00DC7F92" w:rsidRPr="00C22398" w:rsidRDefault="00DC7F92" w:rsidP="004D22FA">
      <w:pPr>
        <w:pStyle w:val="ListParagraph"/>
        <w:widowControl w:val="0"/>
        <w:numPr>
          <w:ilvl w:val="0"/>
          <w:numId w:val="31"/>
        </w:numPr>
        <w:spacing w:before="120" w:line="240" w:lineRule="auto"/>
        <w:rPr>
          <w:rFonts w:eastAsia="Calibri" w:cs="Times New Roman"/>
          <w:b/>
          <w:sz w:val="24"/>
          <w:szCs w:val="24"/>
          <w:lang w:val="sr-Cyrl-RS" w:eastAsia="sr-Cyrl-CS" w:bidi="sr-Cyrl-CS"/>
        </w:rPr>
      </w:pPr>
      <w:r w:rsidRPr="00C22398">
        <w:rPr>
          <w:rFonts w:eastAsia="Calibri" w:cs="Times New Roman"/>
          <w:b/>
          <w:sz w:val="24"/>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04B6BA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Спровођење реформе може значајно утицати на повећану потребу за запошљавање радне снаге ради реализације већег броја пројеката енергетске ефикасности, поготово у вези са реализацијом пројеката у сектору зградарства. Процењује се да се на сваких милион евра инвестиција у санацију стамбених објеката може отворити 7 нових радних места. Осим тога, реализацијом пројеката енергетске ефикасности смањују се трошкови за енергенте па се на тај начин доприноси и борби против сиромаштва.</w:t>
      </w:r>
    </w:p>
    <w:p w14:paraId="386DBA90"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lastRenderedPageBreak/>
        <w:t>Очекивани утицај на животну средину и климатске промене</w:t>
      </w:r>
    </w:p>
    <w:p w14:paraId="649AF86F"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Уз годишњу инвестицију од око 150 мил</w:t>
      </w:r>
      <w:r>
        <w:rPr>
          <w:rFonts w:eastAsia="Calibri" w:cs="Times New Roman"/>
          <w:szCs w:val="24"/>
          <w:lang w:val="sr-Cyrl-RS" w:eastAsia="sr-Cyrl-CS" w:bidi="sr-Cyrl-CS"/>
        </w:rPr>
        <w:t>иона евра</w:t>
      </w:r>
      <w:r w:rsidRPr="00862061">
        <w:rPr>
          <w:rFonts w:eastAsia="Calibri" w:cs="Times New Roman"/>
          <w:szCs w:val="24"/>
          <w:lang w:val="sr-Cyrl-RS" w:eastAsia="sr-Cyrl-CS" w:bidi="sr-Cyrl-CS"/>
        </w:rPr>
        <w:t xml:space="preserve"> у санацију зграда у сектору домаћинстава процењује се да се могу остварити уштеде енергије од 120.000 тона CO</w:t>
      </w:r>
      <w:r w:rsidRPr="00862061">
        <w:rPr>
          <w:rFonts w:eastAsia="Calibri" w:cs="Times New Roman"/>
          <w:szCs w:val="24"/>
          <w:vertAlign w:val="subscript"/>
          <w:lang w:val="ru-RU"/>
        </w:rPr>
        <w:t>2</w:t>
      </w:r>
      <w:r w:rsidRPr="00862061">
        <w:rPr>
          <w:rFonts w:eastAsia="Calibri" w:cs="Times New Roman"/>
          <w:szCs w:val="24"/>
          <w:lang w:val="sr-Cyrl-RS" w:eastAsia="sr-Cyrl-CS" w:bidi="sr-Cyrl-CS"/>
        </w:rPr>
        <w:t xml:space="preserve"> годишње.</w:t>
      </w:r>
    </w:p>
    <w:p w14:paraId="2839972A"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3554D1BF" w14:textId="77777777" w:rsidTr="00DC7F92">
        <w:trPr>
          <w:trHeight w:val="421"/>
        </w:trPr>
        <w:tc>
          <w:tcPr>
            <w:tcW w:w="3329" w:type="dxa"/>
            <w:vAlign w:val="center"/>
          </w:tcPr>
          <w:p w14:paraId="4468DBC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05C36F7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35987888"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36624AC1" w14:textId="77777777" w:rsidTr="00DC7F92">
        <w:trPr>
          <w:trHeight w:val="429"/>
        </w:trPr>
        <w:tc>
          <w:tcPr>
            <w:tcW w:w="3329" w:type="dxa"/>
          </w:tcPr>
          <w:p w14:paraId="11FF6C26"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Недовољна финансијска средства у буџету</w:t>
            </w:r>
            <w:r w:rsidRPr="00862061">
              <w:rPr>
                <w:rFonts w:eastAsia="Calibri"/>
                <w:sz w:val="20"/>
                <w:szCs w:val="20"/>
                <w:lang w:val="ru-RU"/>
              </w:rPr>
              <w:t xml:space="preserve"> </w:t>
            </w:r>
          </w:p>
        </w:tc>
        <w:tc>
          <w:tcPr>
            <w:tcW w:w="2200" w:type="dxa"/>
          </w:tcPr>
          <w:p w14:paraId="0EE4A687"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Висока</w:t>
            </w:r>
          </w:p>
        </w:tc>
        <w:tc>
          <w:tcPr>
            <w:tcW w:w="4165" w:type="dxa"/>
          </w:tcPr>
          <w:p w14:paraId="74D54FC6"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 xml:space="preserve">Обезбеђење зајмова МФИ и донација ИПА, </w:t>
            </w:r>
            <w:r w:rsidRPr="00862061">
              <w:rPr>
                <w:rFonts w:eastAsia="Calibri"/>
                <w:sz w:val="20"/>
                <w:szCs w:val="20"/>
                <w:lang w:val="en-US"/>
              </w:rPr>
              <w:t>WBIF</w:t>
            </w:r>
            <w:r w:rsidRPr="00862061">
              <w:rPr>
                <w:rFonts w:eastAsia="Calibri"/>
                <w:sz w:val="20"/>
                <w:szCs w:val="20"/>
                <w:lang w:val="sr-Latn-CS"/>
              </w:rPr>
              <w:t xml:space="preserve"> </w:t>
            </w:r>
            <w:r w:rsidRPr="00862061">
              <w:rPr>
                <w:rFonts w:eastAsia="Calibri"/>
                <w:sz w:val="20"/>
                <w:szCs w:val="20"/>
              </w:rPr>
              <w:t>и других донатора</w:t>
            </w:r>
            <w:r w:rsidRPr="00862061">
              <w:rPr>
                <w:rFonts w:eastAsia="Calibri"/>
                <w:sz w:val="20"/>
                <w:szCs w:val="20"/>
                <w:lang w:val="sr-Cyrl-RS"/>
              </w:rPr>
              <w:t xml:space="preserve"> </w:t>
            </w:r>
          </w:p>
        </w:tc>
      </w:tr>
      <w:tr w:rsidR="00DC7F92" w:rsidRPr="00862061" w14:paraId="3897E309" w14:textId="77777777" w:rsidTr="00DC7F92">
        <w:trPr>
          <w:trHeight w:val="536"/>
        </w:trPr>
        <w:tc>
          <w:tcPr>
            <w:tcW w:w="3329" w:type="dxa"/>
          </w:tcPr>
          <w:p w14:paraId="73DA9046"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ru-RU"/>
              </w:rPr>
              <w:t>Кашњење при д</w:t>
            </w:r>
            <w:r w:rsidRPr="00862061">
              <w:rPr>
                <w:rFonts w:eastAsia="Calibri"/>
                <w:sz w:val="20"/>
                <w:szCs w:val="20"/>
                <w:lang w:val="sr-Cyrl-RS"/>
              </w:rPr>
              <w:t>оношењу подзаконских аката, у односу на постављене рокове из закона</w:t>
            </w:r>
            <w:r w:rsidRPr="00862061" w:rsidDel="007529A4">
              <w:rPr>
                <w:rFonts w:eastAsia="Calibri"/>
                <w:sz w:val="20"/>
                <w:szCs w:val="20"/>
                <w:lang w:val="sr-Cyrl-RS"/>
              </w:rPr>
              <w:t xml:space="preserve"> </w:t>
            </w:r>
          </w:p>
        </w:tc>
        <w:tc>
          <w:tcPr>
            <w:tcW w:w="2200" w:type="dxa"/>
          </w:tcPr>
          <w:p w14:paraId="22DDB62E"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Средња</w:t>
            </w:r>
          </w:p>
        </w:tc>
        <w:tc>
          <w:tcPr>
            <w:tcW w:w="4165" w:type="dxa"/>
          </w:tcPr>
          <w:p w14:paraId="2EA2DA27"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Обезбеђена техничка помоћ</w:t>
            </w:r>
            <w:r w:rsidRPr="00862061" w:rsidDel="007529A4">
              <w:rPr>
                <w:rFonts w:eastAsia="Calibri"/>
                <w:sz w:val="20"/>
                <w:szCs w:val="20"/>
                <w:lang w:val="sr-Cyrl-RS"/>
              </w:rPr>
              <w:t xml:space="preserve"> </w:t>
            </w:r>
          </w:p>
        </w:tc>
      </w:tr>
      <w:tr w:rsidR="00DC7F92" w:rsidRPr="00862061" w14:paraId="4C27529C" w14:textId="77777777" w:rsidTr="00DC7F92">
        <w:trPr>
          <w:trHeight w:val="536"/>
        </w:trPr>
        <w:tc>
          <w:tcPr>
            <w:tcW w:w="3329" w:type="dxa"/>
          </w:tcPr>
          <w:p w14:paraId="35ED9415"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Недовољан број квалитетних кадрова у Управи</w:t>
            </w:r>
          </w:p>
        </w:tc>
        <w:tc>
          <w:tcPr>
            <w:tcW w:w="2200" w:type="dxa"/>
          </w:tcPr>
          <w:p w14:paraId="7656ABDD"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Средња</w:t>
            </w:r>
          </w:p>
        </w:tc>
        <w:tc>
          <w:tcPr>
            <w:tcW w:w="4165" w:type="dxa"/>
          </w:tcPr>
          <w:p w14:paraId="760C2D00"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Обезбеђена техничка помоћ из ИПА2021 за изградњу капацитета Управе и ангажовање 6 стручних лица за пружање подршке у прве 3 године. Размена искустава са институцијама из региона.</w:t>
            </w:r>
          </w:p>
        </w:tc>
      </w:tr>
    </w:tbl>
    <w:p w14:paraId="1B98FD05" w14:textId="77777777" w:rsidR="00DC7F92" w:rsidRDefault="00DC7F92" w:rsidP="00DC7F92">
      <w:pPr>
        <w:spacing w:after="60"/>
        <w:rPr>
          <w:rFonts w:cs="Times New Roman"/>
          <w:szCs w:val="24"/>
          <w:lang w:val="sr-Cyrl-RS"/>
        </w:rPr>
      </w:pPr>
    </w:p>
    <w:p w14:paraId="572F7431" w14:textId="77777777" w:rsidR="00DC7F92" w:rsidRPr="008744E3" w:rsidRDefault="00DC7F92" w:rsidP="00DC7F92">
      <w:pPr>
        <w:keepNext/>
        <w:keepLines/>
        <w:spacing w:before="120"/>
        <w:outlineLvl w:val="1"/>
        <w:rPr>
          <w:rFonts w:eastAsia="Times New Roman" w:cs="Times New Roman"/>
          <w:b/>
          <w:color w:val="000000"/>
          <w:szCs w:val="24"/>
          <w:lang w:val="sr-Cyrl-RS"/>
        </w:rPr>
      </w:pPr>
      <w:bookmarkStart w:id="27" w:name="_Toc89375533"/>
      <w:r w:rsidRPr="008744E3">
        <w:rPr>
          <w:rFonts w:eastAsia="Times New Roman" w:cs="Times New Roman"/>
          <w:b/>
          <w:bCs/>
          <w:szCs w:val="24"/>
        </w:rPr>
        <w:t>5.2.</w:t>
      </w:r>
      <w:bookmarkStart w:id="28" w:name="_bookmark24"/>
      <w:bookmarkEnd w:id="28"/>
      <w:r w:rsidRPr="008744E3">
        <w:rPr>
          <w:rFonts w:eastAsia="Times New Roman" w:cs="Times New Roman"/>
          <w:szCs w:val="24"/>
        </w:rPr>
        <w:t xml:space="preserve"> </w:t>
      </w:r>
      <w:r w:rsidRPr="008744E3">
        <w:rPr>
          <w:rFonts w:eastAsia="Times New Roman" w:cs="Times New Roman"/>
          <w:b/>
          <w:color w:val="000000"/>
          <w:szCs w:val="24"/>
        </w:rPr>
        <w:t>АНАЛИЗА ПРЕПРЕКА У ДРУГИМ ОБЛАСТИМА (КОЈЕ НИСУ ПОКРИВЕНЕ У ОДЕЉКУ 5.1) И ОДГОВАРАЈУЋЕ СТРУКТУРН</w:t>
      </w:r>
      <w:r w:rsidRPr="008744E3">
        <w:rPr>
          <w:rFonts w:eastAsia="Times New Roman" w:cs="Times New Roman"/>
          <w:b/>
          <w:color w:val="000000"/>
          <w:szCs w:val="24"/>
          <w:lang w:val="sr-Cyrl-RS"/>
        </w:rPr>
        <w:t>Е</w:t>
      </w:r>
      <w:r w:rsidRPr="008744E3">
        <w:rPr>
          <w:rFonts w:eastAsia="Times New Roman" w:cs="Times New Roman"/>
          <w:b/>
          <w:color w:val="000000"/>
          <w:szCs w:val="24"/>
        </w:rPr>
        <w:t xml:space="preserve"> РЕФОРМ</w:t>
      </w:r>
      <w:r w:rsidRPr="008744E3">
        <w:rPr>
          <w:rFonts w:eastAsia="Times New Roman" w:cs="Times New Roman"/>
          <w:b/>
          <w:color w:val="000000"/>
          <w:szCs w:val="24"/>
          <w:lang w:val="sr-Cyrl-RS"/>
        </w:rPr>
        <w:t>Е</w:t>
      </w:r>
      <w:bookmarkEnd w:id="27"/>
    </w:p>
    <w:p w14:paraId="528971AA" w14:textId="77777777"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29" w:name="_Toc89375534"/>
      <w:r w:rsidRPr="008C478F">
        <w:rPr>
          <w:rFonts w:eastAsia="Times New Roman" w:cs="Times New Roman"/>
          <w:b/>
          <w:lang w:val="sr-Cyrl-RS"/>
        </w:rPr>
        <w:t>5.2.1. Област УПРАВЉАЊЕ ЈАВНИМ ФИНАНСИЈАМА</w:t>
      </w:r>
      <w:bookmarkEnd w:id="29"/>
    </w:p>
    <w:p w14:paraId="7DDA55E1" w14:textId="77777777"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а)</w:t>
      </w:r>
      <w:r w:rsidRPr="008744E3">
        <w:rPr>
          <w:rFonts w:eastAsia="Times New Roman" w:cs="Times New Roman"/>
          <w:b/>
          <w:bCs/>
          <w:spacing w:val="-4"/>
          <w:szCs w:val="24"/>
          <w:lang w:val="sr-Cyrl-RS"/>
        </w:rPr>
        <w:t xml:space="preserve"> </w:t>
      </w:r>
      <w:r w:rsidRPr="008744E3">
        <w:rPr>
          <w:rFonts w:eastAsia="Times New Roman" w:cs="Times New Roman"/>
          <w:b/>
          <w:bCs/>
          <w:szCs w:val="24"/>
          <w:lang w:val="sr-Cyrl-RS"/>
        </w:rPr>
        <w:t>Анализа</w:t>
      </w:r>
      <w:r w:rsidRPr="008744E3">
        <w:rPr>
          <w:rFonts w:eastAsia="Times New Roman" w:cs="Times New Roman"/>
          <w:b/>
          <w:bCs/>
          <w:spacing w:val="-2"/>
          <w:szCs w:val="24"/>
          <w:lang w:val="sr-Cyrl-RS"/>
        </w:rPr>
        <w:t xml:space="preserve"> </w:t>
      </w:r>
      <w:r w:rsidRPr="008744E3">
        <w:rPr>
          <w:rFonts w:eastAsia="Times New Roman" w:cs="Times New Roman"/>
          <w:b/>
          <w:bCs/>
          <w:szCs w:val="24"/>
          <w:lang w:val="sr-Cyrl-RS"/>
        </w:rPr>
        <w:t>главних</w:t>
      </w:r>
      <w:r w:rsidRPr="008744E3">
        <w:rPr>
          <w:rFonts w:eastAsia="Times New Roman" w:cs="Times New Roman"/>
          <w:b/>
          <w:bCs/>
          <w:spacing w:val="-2"/>
          <w:szCs w:val="24"/>
          <w:lang w:val="sr-Cyrl-RS"/>
        </w:rPr>
        <w:t xml:space="preserve"> </w:t>
      </w:r>
      <w:r w:rsidRPr="008744E3">
        <w:rPr>
          <w:rFonts w:eastAsia="Times New Roman" w:cs="Times New Roman"/>
          <w:b/>
          <w:bCs/>
          <w:szCs w:val="24"/>
          <w:lang w:val="sr-Cyrl-RS"/>
        </w:rPr>
        <w:t>препрека</w:t>
      </w:r>
    </w:p>
    <w:p w14:paraId="3C1D91BF" w14:textId="77777777"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t xml:space="preserve">Новим </w:t>
      </w:r>
      <w:r w:rsidRPr="008744E3">
        <w:rPr>
          <w:rFonts w:eastAsia="Calibri" w:cs="Times New Roman"/>
          <w:b/>
          <w:i/>
          <w:lang w:val="sr-Cyrl-RS"/>
        </w:rPr>
        <w:t>Програмом реформе управљања јавним финансијама за период 2021-2025. и пратећим акционим планом</w:t>
      </w:r>
      <w:r w:rsidRPr="008744E3">
        <w:rPr>
          <w:rFonts w:eastAsia="Calibri" w:cs="Times New Roman"/>
          <w:b/>
          <w:lang w:val="sr-Cyrl-RS"/>
        </w:rPr>
        <w:t xml:space="preserve"> (</w:t>
      </w:r>
      <w:r w:rsidRPr="008744E3">
        <w:t xml:space="preserve"> </w:t>
      </w:r>
      <w:r w:rsidRPr="008744E3">
        <w:rPr>
          <w:rFonts w:eastAsia="Calibri" w:cs="Times New Roman"/>
          <w:b/>
          <w:lang w:val="sr-Cyrl-RS"/>
        </w:rPr>
        <w:t>„Службени гласник РС“, бр. 70/21), предвиђене су мере и активности које се надограђују на резултате постигнуте у претходном петогодишњем периоду.</w:t>
      </w:r>
      <w:r w:rsidRPr="008744E3">
        <w:rPr>
          <w:rFonts w:eastAsia="Calibri" w:cs="Times New Roman"/>
          <w:lang w:val="sr-Cyrl-RS"/>
        </w:rPr>
        <w:t xml:space="preserve"> Програмом је предвиђен даљи напредак у процесу јачања програмског буџетирања кроз јачање елемената везаних за учинак; даља примена успостављеног правног оквира за управљање капиталним инвестицијама, као и за праћење фискалних ризика за које је планирано успостављање правног оквира; јачање пословних процеса, административних капацитета и ИТ решења у оквиру прикупљања и управљања буџетским средствима; даље институционално јачање система за буџетску инспекцију и тела која су надлежна за управљање и контролу средстава ЕУ; додатно унапређење система финансијског управљања и контроле (ФУК) у институцијама јавног сектора, јачање функције интерне ревизије, праћење интерне контроле и обуке; израда плана унапређења рачуноводства у јавном сектору, даљи процес сертификације рачуновођа и унапређење обухвата рачуноводствених података. У домену спољног надзора над јавним финансијама, потребно је обезбедити даље јачање екстерне ревизије, као и контролне функције коју има Народна скупштина.</w:t>
      </w:r>
    </w:p>
    <w:p w14:paraId="556D33B6" w14:textId="77777777" w:rsidR="00DC7F92" w:rsidRPr="008744E3" w:rsidRDefault="00DC7F92" w:rsidP="00DC7F92">
      <w:pPr>
        <w:adjustRightInd w:val="0"/>
        <w:spacing w:after="60"/>
        <w:rPr>
          <w:rFonts w:eastAsia="Calibri" w:cs="Times New Roman"/>
          <w:lang w:val="sr-Cyrl-RS"/>
        </w:rPr>
      </w:pPr>
      <w:r w:rsidRPr="008744E3">
        <w:rPr>
          <w:rFonts w:eastAsia="Calibri" w:cs="Times New Roman"/>
          <w:lang w:val="sr-Cyrl-RS"/>
        </w:rPr>
        <w:t>У оквиру спровођења реформе управљања јавним финансијама, аналитички капацитети Министарства финансија, као и других релевантних институција укључених у реформу, значајно су ојачани. Увођење нових организационих решења, нових модела и аналитичких инструмената, софтвера, обука, унапређење размене и повећања транспарентности података, довело је до повећања увида јавности у ток јавних финансија и усвајање стандарда ЕУ у овој области. Идентификовани изазови у домену јачања административних капацитета су ограничене могућности за ново запошљавање, као и одлив кадрова. Следећи изазов је инвестирање у унапређење и повезивање капацитета ИТ, одрживост као и укључивање у процес дигитализације, што је предуслов за сваку модерну јавну управу и база за ефикасно управљање системом јавних финансија.</w:t>
      </w:r>
    </w:p>
    <w:p w14:paraId="5965B976" w14:textId="77777777"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lastRenderedPageBreak/>
        <w:t>Даља реформа Пореске управе кључан је чинилац у процесу повећања буџетских прихода и унапређења управљања јавним финансијама, уз истовремено изузетно велик утицај на унапређење пословног амбијента за пословне субјекте и смањење сиве економије.</w:t>
      </w:r>
      <w:r w:rsidRPr="008744E3">
        <w:rPr>
          <w:rFonts w:eastAsia="Calibri" w:cs="Times New Roman"/>
          <w:lang w:val="sr-Cyrl-RS"/>
        </w:rPr>
        <w:t xml:space="preserve"> Иако је у протеклом периоду дошло до</w:t>
      </w:r>
      <w:r w:rsidRPr="008744E3">
        <w:rPr>
          <w:rFonts w:ascii="Calibri" w:eastAsia="Calibri" w:hAnsi="Calibri" w:cs="Times New Roman"/>
        </w:rPr>
        <w:t xml:space="preserve"> </w:t>
      </w:r>
      <w:r w:rsidRPr="008744E3">
        <w:rPr>
          <w:rFonts w:eastAsia="Calibri" w:cs="Times New Roman"/>
          <w:lang w:val="sr-Cyrl-RS"/>
        </w:rPr>
        <w:t>редизајна организационе структуре и креирања пословних мрежа основних и издвојених активности, унапређењ</w:t>
      </w:r>
      <w:r w:rsidRPr="008744E3">
        <w:rPr>
          <w:rFonts w:eastAsia="Calibri" w:cs="Times New Roman"/>
        </w:rPr>
        <w:t>a</w:t>
      </w:r>
      <w:r w:rsidRPr="008744E3">
        <w:rPr>
          <w:rFonts w:eastAsia="Calibri" w:cs="Times New Roman"/>
          <w:lang w:val="sr-Cyrl-RS"/>
        </w:rPr>
        <w:t xml:space="preserve"> рада и</w:t>
      </w:r>
      <w:r w:rsidRPr="008744E3">
        <w:rPr>
          <w:rFonts w:ascii="Calibri" w:eastAsia="Calibri" w:hAnsi="Calibri" w:cs="Times New Roman"/>
        </w:rPr>
        <w:t xml:space="preserve"> </w:t>
      </w:r>
      <w:r w:rsidRPr="008744E3">
        <w:rPr>
          <w:rFonts w:eastAsia="Calibri" w:cs="Times New Roman"/>
          <w:lang w:val="sr-Cyrl-RS"/>
        </w:rPr>
        <w:t>пословних процеса у Пореској управи у борби против неформалног пословања (што се огледа у већој наплати јавних прихода), постоји простор за даљу модернизацију пореске администрације, аутоматизацију поступака, стварање услова за потпуну примену принципа добровољног поштовања прописа, задржавање квалитетних кадрова, јачање саветодавне функције пореских инспектора итд, у складу са новим Програмом трансформације Пореске управе, као и унапређење правног оквира пореске политике.</w:t>
      </w:r>
    </w:p>
    <w:p w14:paraId="2E88D6BC" w14:textId="52759462"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t xml:space="preserve">Унапређењу </w:t>
      </w:r>
      <w:r w:rsidR="006A619A">
        <w:rPr>
          <w:rFonts w:eastAsia="Calibri" w:cs="Times New Roman"/>
          <w:b/>
          <w:lang w:val="sr-Cyrl-RS"/>
        </w:rPr>
        <w:t xml:space="preserve">јавних финансија и </w:t>
      </w:r>
      <w:r w:rsidRPr="008744E3">
        <w:rPr>
          <w:rFonts w:eastAsia="Calibri" w:cs="Times New Roman"/>
          <w:b/>
          <w:lang w:val="sr-Cyrl-RS"/>
        </w:rPr>
        <w:t>пословног окружења и смањењу сиве економије допринеће и нови систем фискализације. Систем фискализације</w:t>
      </w:r>
      <w:r w:rsidRPr="008744E3">
        <w:rPr>
          <w:rFonts w:eastAsia="Calibri" w:cs="Times New Roman"/>
          <w:lang w:val="sr-Cyrl-RS"/>
        </w:rPr>
        <w:t xml:space="preserve">, који је у функцији већ 15 година, </w:t>
      </w:r>
      <w:r w:rsidRPr="008744E3">
        <w:rPr>
          <w:rFonts w:eastAsia="Calibri" w:cs="Times New Roman"/>
          <w:b/>
          <w:lang w:val="sr-Cyrl-RS"/>
        </w:rPr>
        <w:t>неусаглашен је са развојем нових технологија и решења која се примењују у међународној пракси.</w:t>
      </w:r>
      <w:r w:rsidRPr="008744E3">
        <w:rPr>
          <w:rFonts w:eastAsia="Calibri" w:cs="Times New Roman"/>
          <w:lang w:val="sr-Cyrl-RS"/>
        </w:rPr>
        <w:t xml:space="preserve"> Процес сертификације фискалних каса и штампача је компликован, дуготрајан и веома скуп, што додатно оптерећује сектор привреде, док се веродостојност рачуна може проверити само на месту продаје на контролној траци. Нови Закон о фискализацији, усвојен је у децембру 2020. године, а чија примена почиње од јануара 2022. године, омогућиће ефикаснију контролу промета добара и услуга, односно створиће услове Пореској управи да ефикасније прати и контролише пореске обвезнике код којих постоји ризик од избегавања плаћања пореза. </w:t>
      </w:r>
    </w:p>
    <w:p w14:paraId="056001AB" w14:textId="792695BD" w:rsidR="001F4238" w:rsidRPr="005834C6" w:rsidRDefault="00DC7F92" w:rsidP="005834C6">
      <w:pPr>
        <w:spacing w:after="60"/>
        <w:rPr>
          <w:rFonts w:eastAsia="Calibri" w:cs="Times New Roman"/>
        </w:rPr>
      </w:pPr>
      <w:r w:rsidRPr="008744E3">
        <w:rPr>
          <w:rFonts w:eastAsia="Calibri" w:cs="Times New Roman"/>
          <w:i/>
          <w:lang w:val="sr-Cyrl-RS"/>
        </w:rPr>
        <w:t>Закон о електронском фактурисању</w:t>
      </w:r>
      <w:r w:rsidRPr="008744E3">
        <w:rPr>
          <w:rFonts w:eastAsia="Calibri" w:cs="Times New Roman"/>
          <w:lang w:val="sr-Cyrl-RS"/>
        </w:rPr>
        <w:t xml:space="preserve"> („Службени гласник РС“, бр.</w:t>
      </w:r>
      <w:r w:rsidRPr="008744E3" w:rsidDel="00793FA8">
        <w:rPr>
          <w:rFonts w:eastAsia="Calibri" w:cs="Times New Roman"/>
          <w:lang w:val="sr-Cyrl-RS"/>
        </w:rPr>
        <w:t xml:space="preserve"> </w:t>
      </w:r>
      <w:r w:rsidRPr="008744E3">
        <w:rPr>
          <w:rFonts w:eastAsia="Calibri" w:cs="Times New Roman"/>
          <w:lang w:val="sr-Cyrl-RS"/>
        </w:rPr>
        <w:t>44/21) и три пратеће уредбе (</w:t>
      </w:r>
      <w:r w:rsidRPr="008744E3">
        <w:rPr>
          <w:rFonts w:eastAsia="Calibri" w:cs="Times New Roman"/>
          <w:i/>
          <w:lang w:val="sr-Cyrl-RS"/>
        </w:rPr>
        <w:t>Уредба о условима и начину коришћења система за управљање фактурама</w:t>
      </w:r>
      <w:r w:rsidRPr="008744E3">
        <w:rPr>
          <w:rFonts w:eastAsia="Calibri" w:cs="Times New Roman"/>
          <w:lang w:val="sr-Cyrl-RS"/>
        </w:rPr>
        <w:t xml:space="preserve">, </w:t>
      </w:r>
      <w:r w:rsidRPr="008744E3">
        <w:rPr>
          <w:rFonts w:eastAsia="Calibri" w:cs="Times New Roman"/>
          <w:i/>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744E3">
        <w:rPr>
          <w:rFonts w:eastAsia="Calibri" w:cs="Times New Roman"/>
          <w:lang w:val="sr-Cyrl-RS"/>
        </w:rPr>
        <w:t xml:space="preserve"> и </w:t>
      </w:r>
      <w:r w:rsidRPr="008744E3">
        <w:rPr>
          <w:rFonts w:eastAsia="Calibri" w:cs="Times New Roman"/>
          <w:i/>
          <w:lang w:val="sr-Cyrl-RS"/>
        </w:rPr>
        <w:t xml:space="preserve">Уредба о поступку и условима за давање и одузимање сагласности за обављање послова информационог посредника – </w:t>
      </w:r>
      <w:r w:rsidRPr="008744E3">
        <w:rPr>
          <w:rFonts w:eastAsia="Calibri" w:cs="Times New Roman"/>
          <w:lang w:val="sr-Cyrl-RS"/>
        </w:rPr>
        <w:t xml:space="preserve">„Службени гласник РС“, бр. 69/21) усвојене средином 2021. </w:t>
      </w:r>
      <w:r w:rsidRPr="008744E3">
        <w:rPr>
          <w:rFonts w:eastAsia="Calibri" w:cs="Times New Roman"/>
          <w:b/>
          <w:lang w:val="sr-Cyrl-RS"/>
        </w:rPr>
        <w:t>омогућиће потпуну замену папирног облика фактуре у дигитални.</w:t>
      </w:r>
      <w:r w:rsidRPr="008744E3">
        <w:rPr>
          <w:rFonts w:eastAsia="Calibri" w:cs="Times New Roman"/>
          <w:lang w:val="sr-Cyrl-RS"/>
        </w:rPr>
        <w:t xml:space="preserve"> Предвиђено је фазно увођење обавезе издавања и примања електронских фактура: од јануара 2022. године обавеза је субјеката унутар јавног сектора (</w:t>
      </w:r>
      <w:r w:rsidRPr="008744E3">
        <w:rPr>
          <w:rFonts w:eastAsia="Calibri" w:cs="Times New Roman"/>
        </w:rPr>
        <w:t>G2G)</w:t>
      </w:r>
      <w:r w:rsidRPr="008744E3">
        <w:rPr>
          <w:rFonts w:eastAsia="Calibri" w:cs="Times New Roman"/>
          <w:lang w:val="sr-Cyrl-RS"/>
        </w:rPr>
        <w:t>, као достављање еФактура јавном сектору од стране приватног сектора</w:t>
      </w:r>
      <w:r w:rsidRPr="008744E3">
        <w:rPr>
          <w:rFonts w:eastAsia="Calibri" w:cs="Times New Roman"/>
        </w:rPr>
        <w:t xml:space="preserve"> (B2G); </w:t>
      </w:r>
      <w:r w:rsidRPr="008744E3">
        <w:rPr>
          <w:rFonts w:eastAsia="Calibri" w:cs="Times New Roman"/>
          <w:lang w:val="sr-Cyrl-RS"/>
        </w:rPr>
        <w:t>од јула 2022. у</w:t>
      </w:r>
      <w:r w:rsidRPr="008744E3">
        <w:rPr>
          <w:rFonts w:eastAsia="Calibri" w:cs="Times New Roman"/>
        </w:rPr>
        <w:t xml:space="preserve"> </w:t>
      </w:r>
      <w:r w:rsidRPr="008744E3">
        <w:rPr>
          <w:rFonts w:eastAsia="Calibri" w:cs="Times New Roman"/>
          <w:lang w:val="sr-Cyrl-RS"/>
        </w:rPr>
        <w:t xml:space="preserve">обавези је јавног сектора достављање еФактура приватном сектору </w:t>
      </w:r>
      <w:r w:rsidRPr="008744E3">
        <w:rPr>
          <w:rFonts w:eastAsia="Calibri" w:cs="Times New Roman"/>
        </w:rPr>
        <w:t>(G2B)</w:t>
      </w:r>
      <w:r w:rsidRPr="008744E3">
        <w:rPr>
          <w:rFonts w:eastAsia="Calibri" w:cs="Times New Roman"/>
          <w:lang w:val="sr-Cyrl-RS"/>
        </w:rPr>
        <w:t xml:space="preserve"> и од јануара 2023. обавеза је привредних субјеката у међусобним трансакцијама </w:t>
      </w:r>
      <w:r w:rsidRPr="008744E3">
        <w:rPr>
          <w:rFonts w:eastAsia="Calibri" w:cs="Times New Roman"/>
        </w:rPr>
        <w:t>(B2B)</w:t>
      </w:r>
      <w:r w:rsidRPr="008744E3">
        <w:rPr>
          <w:rFonts w:eastAsia="Calibri" w:cs="Times New Roman"/>
          <w:lang w:val="sr-Cyrl-RS"/>
        </w:rPr>
        <w:t>. Коришћење система електронских фактура је бесплатно, правно сигурније и омогућава убрзање процеса рада и пословања, што ће предузећима у Србији донети милионске уштеде на административним и оперативним трошковима, а држави ефикаснију контролу и наплату пореза.</w:t>
      </w:r>
    </w:p>
    <w:p w14:paraId="46294878" w14:textId="056817A6"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14:paraId="38CDFBDC" w14:textId="6DD2D6F2" w:rsidR="00DC7F92" w:rsidRPr="008744E3" w:rsidRDefault="00DC7F92" w:rsidP="00DC7F92">
      <w:pPr>
        <w:spacing w:before="120"/>
        <w:rPr>
          <w:rFonts w:eastAsia="Calibri" w:cs="Times New Roman"/>
          <w:b/>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8C478F">
        <w:rPr>
          <w:rFonts w:eastAsia="Calibri" w:cs="Times New Roman"/>
          <w:b/>
          <w:noProof/>
          <w:szCs w:val="24"/>
          <w:u w:val="single"/>
        </w:rPr>
        <w:t>9</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ТРАНСФОРМАЦИЈА ПОРЕСКЕ УПРАВЕ</w:t>
      </w:r>
    </w:p>
    <w:p w14:paraId="5143FFB6" w14:textId="77777777" w:rsidR="00DC7F92" w:rsidRPr="008744E3" w:rsidRDefault="00DC7F92" w:rsidP="004D22FA">
      <w:pPr>
        <w:widowControl w:val="0"/>
        <w:numPr>
          <w:ilvl w:val="0"/>
          <w:numId w:val="32"/>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38B5CC53" w14:textId="167A36FE" w:rsidR="00DC7F92"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Главни циљ реформе је да Пореска управа (ПУРС) постане организација коју карактерише модерно дигитално пословање, да буде администрација оријентисана ка пружању услуга пореским обвезницима, да се услуге пружају у складу са најбољим међународним стандардима, да има анализу ризика која омогућава да ПУРС ефикасно користи своје расположиве ресурсе за оптимизацију прикупљања прихода. Оквир за реализацију реформе ПУРС дефинисан је новим Програмом трансформације за период 2021-2025. године и Акционим планом за период 2018-2023. године. Реализацијом 3 стратешка циља Програма трансформације 2021-2025: Успостављање пословних </w:t>
      </w:r>
      <w:r w:rsidRPr="008744E3">
        <w:rPr>
          <w:rFonts w:eastAsia="Times New Roman" w:cs="Times New Roman"/>
          <w:szCs w:val="24"/>
          <w:lang w:val="sr-Cyrl-RS"/>
        </w:rPr>
        <w:lastRenderedPageBreak/>
        <w:t xml:space="preserve">процеса и организације у складу са најбољом међународном праксом, а у циљу повећања наплате јавних прихода, унапређење квалитета постојећих и увођење нових врста услуга прилагођених потребама пореских обвезника и профилисање новог пореског службеника изузетног нивоа професионалности и компетентности, стварају се темељи нове архитектуре Пореске управе који су видљиви кроз три „производа“, односно компоненте: 1. Интегрисан информациони систем базиран на </w:t>
      </w:r>
      <w:r w:rsidRPr="008652B0">
        <w:rPr>
          <w:rFonts w:eastAsia="Times New Roman" w:cs="Times New Roman"/>
          <w:szCs w:val="24"/>
          <w:lang w:val="sr-Cyrl-RS"/>
        </w:rPr>
        <w:t>готовом комерцијалном решењу (COTS)</w:t>
      </w:r>
      <w:r w:rsidRPr="008744E3">
        <w:rPr>
          <w:rFonts w:eastAsia="Times New Roman" w:cs="Times New Roman"/>
          <w:szCs w:val="24"/>
          <w:lang w:val="sr-Cyrl-RS"/>
        </w:rPr>
        <w:t xml:space="preserve">, који укршта и проверава податке Пореске управе и трећих страна у циљу откривања пореских обвезника који не послују у складу са прописима; 2. Лични е-Портал прилагођен сваком пореском обвезнику и који представља модул за директну комуникацију појединца са Пореском управом и 3. Унапређење стручног образовања пореских службеника. Реформом се доприноси спровођењу </w:t>
      </w:r>
      <w:r w:rsidRPr="008744E3">
        <w:rPr>
          <w:rFonts w:eastAsia="Times New Roman" w:cs="Times New Roman"/>
          <w:b/>
          <w:szCs w:val="24"/>
          <w:lang w:val="sr-Cyrl-RS"/>
        </w:rPr>
        <w:t>ЦОР 16.6.</w:t>
      </w:r>
      <w:r w:rsidRPr="008744E3">
        <w:rPr>
          <w:rFonts w:eastAsia="Times New Roman" w:cs="Times New Roman"/>
          <w:szCs w:val="24"/>
          <w:lang w:val="sr-Cyrl-RS"/>
        </w:rPr>
        <w:t xml:space="preserve"> Развити ефикасне, одговорне и транспарент</w:t>
      </w:r>
      <w:r>
        <w:rPr>
          <w:rFonts w:eastAsia="Times New Roman" w:cs="Times New Roman"/>
          <w:szCs w:val="24"/>
          <w:lang w:val="sr-Cyrl-RS"/>
        </w:rPr>
        <w:t>не институције на свим нивоима.</w:t>
      </w:r>
    </w:p>
    <w:p w14:paraId="316C5283"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762A35E3"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23A63492" w14:textId="77777777"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A3B9BBB" w14:textId="77777777" w:rsidR="00DC7F92" w:rsidRPr="008744E3" w:rsidRDefault="00DC7F92" w:rsidP="001F4238">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BD234D8" w14:textId="77777777"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A420920" w14:textId="77777777" w:rsidR="00DC7F92" w:rsidRPr="008744E3" w:rsidRDefault="00DC7F92" w:rsidP="001F4238">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0264F57C" w14:textId="77777777"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64824946"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4C624D3D" w14:textId="77777777" w:rsidR="00DC7F92" w:rsidRPr="008744E3" w:rsidRDefault="00DC7F92" w:rsidP="001F4238">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7239ECCE" w14:textId="77777777" w:rsidR="00DC7F92" w:rsidRPr="008744E3" w:rsidRDefault="00DC7F92" w:rsidP="001F4238">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33E9E43"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44A3AE6"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2EC232C4"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B225F4B"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0AEB523"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967C0FA"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C6318AD"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0B6873B"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56EA8DE"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1511C99"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FC2EC27"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3EA7473"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37A749D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541F90A"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1</w:t>
            </w:r>
          </w:p>
        </w:tc>
        <w:tc>
          <w:tcPr>
            <w:tcW w:w="4120" w:type="dxa"/>
            <w:tcBorders>
              <w:top w:val="nil"/>
              <w:left w:val="single" w:sz="8" w:space="0" w:color="auto"/>
              <w:bottom w:val="single" w:sz="4" w:space="0" w:color="auto"/>
              <w:right w:val="nil"/>
            </w:tcBorders>
            <w:shd w:val="clear" w:color="auto" w:fill="auto"/>
          </w:tcPr>
          <w:p w14:paraId="7EFBE313"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Реинжењеринг пословних процеса, укључујући обуку тренера за увођење нових функција у оперативне јединице  Пoреске управе РС</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043463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FE97EA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BABA76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340F342"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C0D53D"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9C149B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735F96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CADAAE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D831D1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FFD0DA"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5FBF85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E72DD7A" w14:textId="77777777" w:rsidR="00DC7F92" w:rsidRPr="008744E3" w:rsidRDefault="00DC7F92" w:rsidP="001F4238">
            <w:pPr>
              <w:spacing w:after="0"/>
              <w:jc w:val="center"/>
              <w:rPr>
                <w:rFonts w:eastAsia="Times New Roman" w:cs="Times New Roman"/>
                <w:sz w:val="20"/>
                <w:szCs w:val="20"/>
                <w:lang w:val="sr-Cyrl-RS"/>
              </w:rPr>
            </w:pPr>
          </w:p>
        </w:tc>
      </w:tr>
      <w:tr w:rsidR="00DC7F92" w:rsidRPr="008744E3" w14:paraId="177087B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7C7AF1E"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3295E3B9"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Реализација активности из Плана набавке ТАМП (Пројекта модернизације Пореске управе)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B4DF12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829EAF8"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B27F89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778CA85"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FFE07FD"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F854D2E"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7EE9024"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61C71EB"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C4B311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BA72EB4"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7B75FDE"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0E5B57E" w14:textId="77777777" w:rsidR="00DC7F92" w:rsidRPr="008744E3" w:rsidRDefault="00DC7F92" w:rsidP="001F4238">
            <w:pPr>
              <w:spacing w:after="0"/>
              <w:jc w:val="center"/>
              <w:rPr>
                <w:rFonts w:eastAsia="Times New Roman" w:cs="Times New Roman"/>
                <w:sz w:val="20"/>
                <w:szCs w:val="20"/>
                <w:lang w:val="sr-Cyrl-RS"/>
              </w:rPr>
            </w:pPr>
          </w:p>
        </w:tc>
      </w:tr>
      <w:tr w:rsidR="00DC7F92" w:rsidRPr="008744E3" w14:paraId="39645AB9"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312D191"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14:paraId="13FE84F7"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Анализа и увођење савременог система за управљање евиденцијама кроз свеобухватни модел управљања информацијама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63FB0AE"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469B87B"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6D74C82"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C9EDA9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53491A5"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CC44905"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1323C1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F3891E1"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84135E3"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8BD147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8C5F7C3"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DBEBCF9" w14:textId="77777777" w:rsidR="00DC7F92" w:rsidRPr="008744E3" w:rsidRDefault="00DC7F92" w:rsidP="001F4238">
            <w:pPr>
              <w:spacing w:after="0"/>
              <w:jc w:val="center"/>
              <w:rPr>
                <w:rFonts w:eastAsia="Times New Roman" w:cs="Times New Roman"/>
                <w:sz w:val="20"/>
                <w:szCs w:val="20"/>
                <w:lang w:val="sr-Cyrl-RS"/>
              </w:rPr>
            </w:pPr>
          </w:p>
        </w:tc>
      </w:tr>
      <w:tr w:rsidR="00DC7F92" w:rsidRPr="008744E3" w14:paraId="75DF4411" w14:textId="77777777" w:rsidTr="00DC7F92">
        <w:trPr>
          <w:trHeight w:val="300"/>
        </w:trPr>
        <w:tc>
          <w:tcPr>
            <w:tcW w:w="426" w:type="dxa"/>
            <w:tcBorders>
              <w:top w:val="single" w:sz="4" w:space="0" w:color="auto"/>
              <w:left w:val="single" w:sz="8" w:space="0" w:color="auto"/>
              <w:bottom w:val="single" w:sz="8" w:space="0" w:color="auto"/>
              <w:right w:val="nil"/>
            </w:tcBorders>
            <w:shd w:val="clear" w:color="auto" w:fill="auto"/>
          </w:tcPr>
          <w:p w14:paraId="59F942DF"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4</w:t>
            </w:r>
          </w:p>
        </w:tc>
        <w:tc>
          <w:tcPr>
            <w:tcW w:w="4120" w:type="dxa"/>
            <w:tcBorders>
              <w:top w:val="single" w:sz="4" w:space="0" w:color="auto"/>
              <w:left w:val="single" w:sz="8" w:space="0" w:color="auto"/>
              <w:bottom w:val="single" w:sz="8" w:space="0" w:color="auto"/>
              <w:right w:val="nil"/>
            </w:tcBorders>
            <w:shd w:val="clear" w:color="auto" w:fill="auto"/>
          </w:tcPr>
          <w:p w14:paraId="4A8752C8"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Набавка система за нову платформу ИКТ-а</w:t>
            </w: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447FA07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6F3BDEF4"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66E51BCB"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7E681CF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7B2C81AD"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7577C88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F55A90F"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6443643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8685B9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268D650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19697C7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7ED96AB3" w14:textId="77777777" w:rsidR="00DC7F92" w:rsidRPr="008744E3" w:rsidRDefault="00DC7F92" w:rsidP="001F4238">
            <w:pPr>
              <w:spacing w:after="0"/>
              <w:jc w:val="center"/>
              <w:rPr>
                <w:rFonts w:eastAsia="Times New Roman" w:cs="Times New Roman"/>
                <w:sz w:val="20"/>
                <w:szCs w:val="20"/>
                <w:lang w:val="sr-Cyrl-RS"/>
              </w:rPr>
            </w:pPr>
          </w:p>
        </w:tc>
      </w:tr>
    </w:tbl>
    <w:p w14:paraId="114347E0" w14:textId="77777777" w:rsidR="00DC7F92" w:rsidRPr="008652B0"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652B0">
        <w:rPr>
          <w:rFonts w:eastAsia="Calibri" w:cs="Times New Roman"/>
          <w:b/>
          <w:szCs w:val="24"/>
          <w:lang w:val="sr-Cyrl-RS" w:eastAsia="sr-Cyrl-CS" w:bidi="sr-Cyrl-CS"/>
        </w:rPr>
        <w:t>Индикатори рeзултата</w:t>
      </w:r>
    </w:p>
    <w:tbl>
      <w:tblPr>
        <w:tblStyle w:val="TableGrid15"/>
        <w:tblW w:w="9634" w:type="dxa"/>
        <w:tblLayout w:type="fixed"/>
        <w:tblLook w:val="04A0" w:firstRow="1" w:lastRow="0" w:firstColumn="1" w:lastColumn="0" w:noHBand="0" w:noVBand="1"/>
      </w:tblPr>
      <w:tblGrid>
        <w:gridCol w:w="4106"/>
        <w:gridCol w:w="1842"/>
        <w:gridCol w:w="1843"/>
        <w:gridCol w:w="1843"/>
      </w:tblGrid>
      <w:tr w:rsidR="00DC7F92" w:rsidRPr="008744E3" w14:paraId="6D66C4D1" w14:textId="77777777" w:rsidTr="00DC7F92">
        <w:tc>
          <w:tcPr>
            <w:tcW w:w="4106" w:type="dxa"/>
            <w:vAlign w:val="center"/>
          </w:tcPr>
          <w:p w14:paraId="5D290E0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0B0CF2F9"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w:t>
            </w:r>
            <w:r w:rsidRPr="008744E3">
              <w:rPr>
                <w:rFonts w:eastAsia="Calibri"/>
                <w:b/>
                <w:sz w:val="20"/>
                <w:szCs w:val="20"/>
                <w:lang w:val="sr-Latn-RS"/>
              </w:rPr>
              <w:t>2017</w:t>
            </w:r>
            <w:r w:rsidRPr="008744E3">
              <w:rPr>
                <w:rFonts w:eastAsia="Calibri"/>
                <w:b/>
                <w:sz w:val="20"/>
                <w:szCs w:val="20"/>
                <w:lang w:val="sr-Cyrl-RS"/>
              </w:rPr>
              <w:t>)</w:t>
            </w:r>
          </w:p>
        </w:tc>
        <w:tc>
          <w:tcPr>
            <w:tcW w:w="1843" w:type="dxa"/>
            <w:vAlign w:val="center"/>
          </w:tcPr>
          <w:p w14:paraId="0AD203AA"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w:t>
            </w:r>
            <w:r w:rsidRPr="008744E3">
              <w:rPr>
                <w:rFonts w:eastAsia="Calibri"/>
                <w:b/>
                <w:sz w:val="20"/>
                <w:szCs w:val="20"/>
                <w:lang w:val="sr-Latn-RS"/>
              </w:rPr>
              <w:t>2020</w:t>
            </w:r>
            <w:r w:rsidRPr="008744E3">
              <w:rPr>
                <w:rFonts w:eastAsia="Calibri"/>
                <w:b/>
                <w:sz w:val="20"/>
                <w:szCs w:val="20"/>
                <w:lang w:val="sr-Cyrl-RS"/>
              </w:rPr>
              <w:t>)</w:t>
            </w:r>
          </w:p>
        </w:tc>
        <w:tc>
          <w:tcPr>
            <w:tcW w:w="1843" w:type="dxa"/>
            <w:vAlign w:val="center"/>
          </w:tcPr>
          <w:p w14:paraId="35E355FE"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w:t>
            </w:r>
            <w:r w:rsidRPr="008744E3">
              <w:rPr>
                <w:rFonts w:eastAsia="Calibri"/>
                <w:b/>
                <w:sz w:val="20"/>
                <w:szCs w:val="20"/>
                <w:lang w:val="sr-Latn-RS"/>
              </w:rPr>
              <w:t>2024</w:t>
            </w:r>
            <w:r w:rsidRPr="008744E3">
              <w:rPr>
                <w:rFonts w:eastAsia="Calibri"/>
                <w:b/>
                <w:sz w:val="20"/>
                <w:szCs w:val="20"/>
                <w:lang w:val="sr-Cyrl-RS"/>
              </w:rPr>
              <w:t>)</w:t>
            </w:r>
          </w:p>
        </w:tc>
      </w:tr>
      <w:tr w:rsidR="00DC7F92" w:rsidRPr="008744E3" w14:paraId="526FF731" w14:textId="77777777" w:rsidTr="00DC7F92">
        <w:trPr>
          <w:trHeight w:val="284"/>
        </w:trPr>
        <w:tc>
          <w:tcPr>
            <w:tcW w:w="4106" w:type="dxa"/>
          </w:tcPr>
          <w:p w14:paraId="1A997413" w14:textId="77777777"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Новорегистровани порески обвезници у календарској години ( у %)</w:t>
            </w:r>
            <w:r w:rsidRPr="008744E3">
              <w:rPr>
                <w:rFonts w:eastAsia="Calibri"/>
                <w:sz w:val="20"/>
                <w:szCs w:val="20"/>
              </w:rPr>
              <w:t>*</w:t>
            </w:r>
          </w:p>
        </w:tc>
        <w:tc>
          <w:tcPr>
            <w:tcW w:w="1842" w:type="dxa"/>
          </w:tcPr>
          <w:p w14:paraId="0C06B0FB"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114,68</w:t>
            </w:r>
          </w:p>
        </w:tc>
        <w:tc>
          <w:tcPr>
            <w:tcW w:w="1843" w:type="dxa"/>
          </w:tcPr>
          <w:p w14:paraId="77C049DF"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79,64</w:t>
            </w:r>
          </w:p>
        </w:tc>
        <w:tc>
          <w:tcPr>
            <w:tcW w:w="1843" w:type="dxa"/>
          </w:tcPr>
          <w:p w14:paraId="26DEF529"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102,18</w:t>
            </w:r>
          </w:p>
        </w:tc>
      </w:tr>
      <w:tr w:rsidR="00DC7F92" w:rsidRPr="008744E3" w14:paraId="3F17FAB8" w14:textId="77777777" w:rsidTr="00DC7F92">
        <w:trPr>
          <w:trHeight w:val="284"/>
        </w:trPr>
        <w:tc>
          <w:tcPr>
            <w:tcW w:w="4106" w:type="dxa"/>
          </w:tcPr>
          <w:p w14:paraId="2C6AEFB7" w14:textId="77777777"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Раст новооткривених прихода (у %)</w:t>
            </w:r>
            <w:r w:rsidRPr="008744E3">
              <w:rPr>
                <w:rFonts w:eastAsia="Calibri"/>
                <w:sz w:val="20"/>
                <w:szCs w:val="20"/>
              </w:rPr>
              <w:t>**</w:t>
            </w:r>
          </w:p>
        </w:tc>
        <w:tc>
          <w:tcPr>
            <w:tcW w:w="1842" w:type="dxa"/>
          </w:tcPr>
          <w:p w14:paraId="1D7AFBF3"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90,96</w:t>
            </w:r>
          </w:p>
        </w:tc>
        <w:tc>
          <w:tcPr>
            <w:tcW w:w="1843" w:type="dxa"/>
          </w:tcPr>
          <w:p w14:paraId="12206329"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94,24</w:t>
            </w:r>
          </w:p>
        </w:tc>
        <w:tc>
          <w:tcPr>
            <w:tcW w:w="1843" w:type="dxa"/>
          </w:tcPr>
          <w:p w14:paraId="7F88D31D"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111,33</w:t>
            </w:r>
          </w:p>
        </w:tc>
      </w:tr>
      <w:tr w:rsidR="00DC7F92" w:rsidRPr="008744E3" w14:paraId="4315003F" w14:textId="77777777" w:rsidTr="00DC7F92">
        <w:trPr>
          <w:trHeight w:val="284"/>
        </w:trPr>
        <w:tc>
          <w:tcPr>
            <w:tcW w:w="4106" w:type="dxa"/>
          </w:tcPr>
          <w:p w14:paraId="15FA3000" w14:textId="77777777"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Степен остварења наплатног задатка (у %)</w:t>
            </w:r>
            <w:r w:rsidRPr="008744E3">
              <w:rPr>
                <w:rFonts w:eastAsia="Calibri"/>
                <w:sz w:val="20"/>
                <w:szCs w:val="20"/>
              </w:rPr>
              <w:t>***</w:t>
            </w:r>
          </w:p>
        </w:tc>
        <w:tc>
          <w:tcPr>
            <w:tcW w:w="1842" w:type="dxa"/>
          </w:tcPr>
          <w:p w14:paraId="3A102A98"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107,9</w:t>
            </w:r>
          </w:p>
        </w:tc>
        <w:tc>
          <w:tcPr>
            <w:tcW w:w="1843" w:type="dxa"/>
          </w:tcPr>
          <w:p w14:paraId="193EE4B5"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107,7</w:t>
            </w:r>
          </w:p>
        </w:tc>
        <w:tc>
          <w:tcPr>
            <w:tcW w:w="1843" w:type="dxa"/>
          </w:tcPr>
          <w:p w14:paraId="1CD8C547"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101,00</w:t>
            </w:r>
          </w:p>
        </w:tc>
      </w:tr>
    </w:tbl>
    <w:p w14:paraId="17B7475B" w14:textId="77777777" w:rsidR="00DC7F92" w:rsidRPr="008744E3" w:rsidRDefault="00DC7F92" w:rsidP="001F4238">
      <w:pPr>
        <w:widowControl w:val="0"/>
        <w:spacing w:after="0"/>
        <w:rPr>
          <w:rFonts w:eastAsia="Calibri" w:cs="Times New Roman"/>
          <w:sz w:val="20"/>
          <w:szCs w:val="20"/>
          <w:lang w:val="sr-Cyrl-RS" w:eastAsia="sr-Cyrl-CS" w:bidi="sr-Cyrl-CS"/>
        </w:rPr>
      </w:pPr>
      <w:r w:rsidRPr="008744E3">
        <w:rPr>
          <w:rFonts w:eastAsia="Calibri" w:cs="Times New Roman"/>
          <w:sz w:val="20"/>
          <w:szCs w:val="20"/>
          <w:lang w:val="sr-Cyrl-RS" w:eastAsia="sr-Cyrl-CS" w:bidi="sr-Cyrl-CS"/>
        </w:rPr>
        <w:t xml:space="preserve">* Индекс посматране године у односу на претходну годину израчунат на основу стварних вредности, укупног броја новорегистрованих пореских обвезника, док циљна вредност представља индекс две узастопне године на основу прогнозираног броја новорегистрованих пореских обвезника. </w:t>
      </w:r>
    </w:p>
    <w:p w14:paraId="6D39390F" w14:textId="77777777" w:rsidR="00DC7F92" w:rsidRPr="008744E3" w:rsidRDefault="00DC7F92" w:rsidP="001F4238">
      <w:pPr>
        <w:widowControl w:val="0"/>
        <w:spacing w:after="0"/>
        <w:rPr>
          <w:rFonts w:eastAsia="Calibri" w:cs="Times New Roman"/>
          <w:sz w:val="20"/>
          <w:szCs w:val="20"/>
          <w:lang w:val="sr-Cyrl-RS" w:eastAsia="sr-Cyrl-CS" w:bidi="sr-Cyrl-CS"/>
        </w:rPr>
      </w:pPr>
      <w:r w:rsidRPr="008744E3">
        <w:rPr>
          <w:rFonts w:eastAsia="Calibri" w:cs="Times New Roman"/>
          <w:sz w:val="20"/>
          <w:szCs w:val="20"/>
          <w:lang w:val="sr-Cyrl-RS" w:eastAsia="sr-Cyrl-CS" w:bidi="sr-Cyrl-CS"/>
        </w:rPr>
        <w:t>** Индекс посматране године у односу на претходну годину израчунат на основу евидентираних новооткривених прихода, док циљна вредност представља индекс две узастопне године израчунат на основу прогнозираних новооткривених прихода.</w:t>
      </w:r>
    </w:p>
    <w:p w14:paraId="474EEDD5" w14:textId="77777777" w:rsidR="00DC7F92" w:rsidRPr="008744E3" w:rsidRDefault="00DC7F92" w:rsidP="00DC7F92">
      <w:pPr>
        <w:widowControl w:val="0"/>
        <w:spacing w:after="0"/>
        <w:rPr>
          <w:rFonts w:eastAsia="Calibri" w:cs="Times New Roman"/>
          <w:sz w:val="20"/>
          <w:szCs w:val="20"/>
          <w:lang w:val="sr-Cyrl-RS" w:eastAsia="sr-Cyrl-CS" w:bidi="sr-Cyrl-CS"/>
        </w:rPr>
      </w:pPr>
      <w:r w:rsidRPr="008744E3">
        <w:rPr>
          <w:rFonts w:eastAsia="Calibri" w:cs="Times New Roman"/>
          <w:sz w:val="20"/>
          <w:szCs w:val="20"/>
          <w:lang w:val="sr-Cyrl-RS" w:eastAsia="sr-Cyrl-CS" w:bidi="sr-Cyrl-CS"/>
        </w:rPr>
        <w:t>*** Однос остварене наплате прихода буџета Републике Србије у датој години, у односу на буџетом планиране износе за ту годину.</w:t>
      </w:r>
    </w:p>
    <w:p w14:paraId="3A06E81C"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36034AF2"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Један од значајних ефеката реализације Програма трансформације јесте и допринос Пореске управе стварању услова за фер пословање и лојалну конкурентност привредних субјеката. Спровођење Програма трансформације индиректно утиче на јачање конкурентности домаћих предузећа. Путем аутоматских/електронских, једноставних и бесплатних пореских процедура, администрирање пореских обавеза оставља предузећима више средстава и времена да се посвете побољшању квалитета производа и услуга, што директно утиче на повећање конкурентности. Смањењем сиве економије </w:t>
      </w:r>
      <w:r w:rsidRPr="008744E3">
        <w:rPr>
          <w:rFonts w:eastAsia="Times New Roman" w:cs="Times New Roman"/>
          <w:szCs w:val="24"/>
          <w:lang w:val="sr-Cyrl-RS"/>
        </w:rPr>
        <w:lastRenderedPageBreak/>
        <w:t>повећава се конкурентност привредних субјеката који послују уз поштовање пореских прописа.</w:t>
      </w:r>
    </w:p>
    <w:p w14:paraId="375EF869"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14:paraId="516CAD75"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 xml:space="preserve">Структурна реформа се наставља из претходних година. Све планиране активности биће финансиране из кредитне линије Светске банке. Процењени су трошкови од </w:t>
      </w:r>
      <w:r>
        <w:rPr>
          <w:rFonts w:eastAsia="Times New Roman" w:cs="Times New Roman"/>
          <w:szCs w:val="24"/>
          <w:lang w:val="sr-Cyrl-RS"/>
        </w:rPr>
        <w:t xml:space="preserve">око 8 </w:t>
      </w:r>
      <w:r w:rsidRPr="008744E3">
        <w:rPr>
          <w:rFonts w:eastAsia="Times New Roman" w:cs="Times New Roman"/>
          <w:szCs w:val="24"/>
          <w:lang w:val="sr-Cyrl-RS"/>
        </w:rPr>
        <w:t>милиона евра за 2022. годину и то: 1,</w:t>
      </w:r>
      <w:r>
        <w:rPr>
          <w:rFonts w:eastAsia="Times New Roman" w:cs="Times New Roman"/>
          <w:szCs w:val="24"/>
          <w:lang w:val="sr-Cyrl-RS"/>
        </w:rPr>
        <w:t>2</w:t>
      </w:r>
      <w:r w:rsidRPr="008744E3">
        <w:rPr>
          <w:rFonts w:eastAsia="Times New Roman" w:cs="Times New Roman"/>
          <w:szCs w:val="24"/>
          <w:lang w:val="sr-Cyrl-RS"/>
        </w:rPr>
        <w:t xml:space="preserve"> милион евра за реинжењеринг пословних процеса, 5,3 милиона евра за набавку система за нову платформу ИКТ, 1,1 милиона евра за реализацију активности из Плана набавке ТАМП-а и 334 хиљаде евра за анализу и увођење новог система за управљање евиденцијама. Поред тога планирани су трошкови од 14,</w:t>
      </w:r>
      <w:r w:rsidRPr="008652B0" w:rsidDel="00413359">
        <w:rPr>
          <w:rFonts w:eastAsia="Times New Roman" w:cs="Times New Roman"/>
          <w:szCs w:val="24"/>
          <w:lang w:val="sr-Cyrl-RS"/>
        </w:rPr>
        <w:t xml:space="preserve"> </w:t>
      </w:r>
      <w:r>
        <w:rPr>
          <w:rFonts w:eastAsia="Times New Roman" w:cs="Times New Roman"/>
          <w:szCs w:val="24"/>
          <w:lang w:val="sr-Cyrl-RS"/>
        </w:rPr>
        <w:t>2</w:t>
      </w:r>
      <w:r w:rsidRPr="008744E3">
        <w:rPr>
          <w:rFonts w:eastAsia="Times New Roman" w:cs="Times New Roman"/>
          <w:szCs w:val="24"/>
          <w:lang w:val="sr-Cyrl-RS"/>
        </w:rPr>
        <w:t xml:space="preserve">  милиона евра у 2023. </w:t>
      </w:r>
      <w:r>
        <w:rPr>
          <w:rFonts w:eastAsia="Times New Roman" w:cs="Times New Roman"/>
          <w:szCs w:val="24"/>
          <w:lang w:val="sr-Cyrl-RS"/>
        </w:rPr>
        <w:t>и то  4,2 милиона евра за анализу и увођење савременог система за управљање евиденцијама, 7,3 милиона евра за набавку система за нову ИКТ платформу и 2,7 милиона евра за реализацију активности из Плана набавке ТАМП</w:t>
      </w:r>
      <w:r>
        <w:rPr>
          <w:rFonts w:eastAsia="Times New Roman" w:cs="Times New Roman"/>
          <w:szCs w:val="24"/>
        </w:rPr>
        <w:t xml:space="preserve"> </w:t>
      </w:r>
      <w:r w:rsidRPr="008744E3">
        <w:rPr>
          <w:rFonts w:eastAsia="Times New Roman" w:cs="Times New Roman"/>
          <w:szCs w:val="24"/>
          <w:lang w:val="sr-Cyrl-RS"/>
        </w:rPr>
        <w:t xml:space="preserve">и </w:t>
      </w:r>
      <w:r>
        <w:rPr>
          <w:rFonts w:eastAsia="Times New Roman" w:cs="Times New Roman"/>
          <w:szCs w:val="24"/>
          <w:lang w:val="sr-Cyrl-RS"/>
        </w:rPr>
        <w:t>планирани су трошкови у износу од</w:t>
      </w:r>
      <w:r w:rsidRPr="008744E3">
        <w:rPr>
          <w:rFonts w:eastAsia="Times New Roman" w:cs="Times New Roman"/>
          <w:szCs w:val="24"/>
          <w:lang w:val="sr-Cyrl-RS"/>
        </w:rPr>
        <w:t xml:space="preserve"> 12,</w:t>
      </w:r>
      <w:r w:rsidRPr="008652B0" w:rsidDel="00413359">
        <w:rPr>
          <w:rFonts w:eastAsia="Times New Roman" w:cs="Times New Roman"/>
          <w:szCs w:val="24"/>
          <w:lang w:val="sr-Cyrl-RS"/>
        </w:rPr>
        <w:t xml:space="preserve"> </w:t>
      </w:r>
      <w:r>
        <w:rPr>
          <w:rFonts w:eastAsia="Times New Roman" w:cs="Times New Roman"/>
          <w:szCs w:val="24"/>
          <w:lang w:val="sr-Cyrl-RS"/>
        </w:rPr>
        <w:t>2</w:t>
      </w:r>
      <w:r w:rsidRPr="008744E3">
        <w:rPr>
          <w:rFonts w:eastAsia="Times New Roman" w:cs="Times New Roman"/>
          <w:szCs w:val="24"/>
          <w:lang w:val="sr-Cyrl-RS"/>
        </w:rPr>
        <w:t xml:space="preserve">  милиона евра у 2024. години</w:t>
      </w:r>
      <w:r>
        <w:rPr>
          <w:rFonts w:eastAsia="Times New Roman" w:cs="Times New Roman"/>
          <w:szCs w:val="24"/>
          <w:lang w:val="sr-Cyrl-RS"/>
        </w:rPr>
        <w:t>,</w:t>
      </w:r>
      <w:r>
        <w:rPr>
          <w:rFonts w:eastAsia="Times New Roman" w:cs="Times New Roman"/>
          <w:szCs w:val="24"/>
        </w:rPr>
        <w:t xml:space="preserve"> </w:t>
      </w:r>
      <w:r>
        <w:rPr>
          <w:rFonts w:eastAsia="Times New Roman" w:cs="Times New Roman"/>
          <w:szCs w:val="24"/>
          <w:lang w:val="sr-Cyrl-RS"/>
        </w:rPr>
        <w:t>од чега</w:t>
      </w:r>
      <w:r w:rsidRPr="008744E3">
        <w:rPr>
          <w:rFonts w:eastAsia="Times New Roman" w:cs="Times New Roman"/>
          <w:szCs w:val="24"/>
          <w:lang w:val="sr-Cyrl-RS"/>
        </w:rPr>
        <w:t xml:space="preserve"> за спровођење активности: анализа и увођење савременог система за управљање евиденцијама кроз свеобухватни модел управљања информацијама</w:t>
      </w:r>
      <w:r>
        <w:rPr>
          <w:rFonts w:eastAsia="Times New Roman" w:cs="Times New Roman"/>
          <w:szCs w:val="24"/>
        </w:rPr>
        <w:t xml:space="preserve"> </w:t>
      </w:r>
      <w:r>
        <w:rPr>
          <w:rFonts w:eastAsia="Times New Roman" w:cs="Times New Roman"/>
          <w:szCs w:val="24"/>
          <w:lang w:val="sr-Cyrl-RS"/>
        </w:rPr>
        <w:t>1,1 милион евра</w:t>
      </w:r>
      <w:r w:rsidRPr="008744E3">
        <w:rPr>
          <w:rFonts w:eastAsia="Times New Roman" w:cs="Times New Roman"/>
          <w:szCs w:val="24"/>
          <w:lang w:val="sr-Cyrl-RS"/>
        </w:rPr>
        <w:t xml:space="preserve">, </w:t>
      </w:r>
      <w:r>
        <w:rPr>
          <w:rFonts w:eastAsia="Times New Roman" w:cs="Times New Roman"/>
          <w:szCs w:val="24"/>
          <w:lang w:val="sr-Cyrl-RS"/>
        </w:rPr>
        <w:t>за</w:t>
      </w:r>
      <w:r w:rsidRPr="008744E3">
        <w:rPr>
          <w:rFonts w:eastAsia="Times New Roman" w:cs="Times New Roman"/>
          <w:szCs w:val="24"/>
          <w:lang w:val="sr-Cyrl-RS"/>
        </w:rPr>
        <w:t xml:space="preserve"> набавку система за нову ИКТ платформу </w:t>
      </w:r>
      <w:r>
        <w:rPr>
          <w:rFonts w:eastAsia="Times New Roman" w:cs="Times New Roman"/>
          <w:szCs w:val="24"/>
          <w:lang w:val="sr-Cyrl-RS"/>
        </w:rPr>
        <w:t xml:space="preserve">7,7 милиона евра </w:t>
      </w:r>
      <w:r w:rsidRPr="008744E3">
        <w:rPr>
          <w:rFonts w:eastAsia="Times New Roman" w:cs="Times New Roman"/>
          <w:szCs w:val="24"/>
          <w:lang w:val="sr-Cyrl-RS"/>
        </w:rPr>
        <w:t xml:space="preserve"> и </w:t>
      </w:r>
      <w:r>
        <w:rPr>
          <w:rFonts w:eastAsia="Times New Roman" w:cs="Times New Roman"/>
          <w:szCs w:val="24"/>
          <w:lang w:val="sr-Cyrl-RS"/>
        </w:rPr>
        <w:t xml:space="preserve">за </w:t>
      </w:r>
      <w:r w:rsidRPr="008744E3">
        <w:rPr>
          <w:rFonts w:eastAsia="Times New Roman" w:cs="Times New Roman"/>
          <w:szCs w:val="24"/>
          <w:lang w:val="sr-Cyrl-RS"/>
        </w:rPr>
        <w:t>реализацију активности из Плана набавке ТАМП</w:t>
      </w:r>
      <w:r>
        <w:rPr>
          <w:rFonts w:eastAsia="Times New Roman" w:cs="Times New Roman"/>
          <w:szCs w:val="24"/>
        </w:rPr>
        <w:t xml:space="preserve"> </w:t>
      </w:r>
      <w:r>
        <w:rPr>
          <w:rFonts w:eastAsia="Times New Roman" w:cs="Times New Roman"/>
          <w:szCs w:val="24"/>
          <w:lang w:val="sr-Cyrl-RS"/>
        </w:rPr>
        <w:t>3,4</w:t>
      </w:r>
      <w:r>
        <w:rPr>
          <w:rFonts w:eastAsia="Times New Roman" w:cs="Times New Roman"/>
          <w:szCs w:val="24"/>
        </w:rPr>
        <w:t xml:space="preserve"> </w:t>
      </w:r>
      <w:r>
        <w:rPr>
          <w:rFonts w:eastAsia="Times New Roman" w:cs="Times New Roman"/>
          <w:szCs w:val="24"/>
          <w:lang w:val="sr-Cyrl-RS"/>
        </w:rPr>
        <w:t>милиона евра</w:t>
      </w:r>
      <w:r w:rsidRPr="008744E3">
        <w:rPr>
          <w:rFonts w:eastAsia="Times New Roman" w:cs="Times New Roman"/>
          <w:szCs w:val="24"/>
          <w:lang w:val="sr-Cyrl-RS"/>
        </w:rPr>
        <w:t>.</w:t>
      </w:r>
    </w:p>
    <w:p w14:paraId="51474F20"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7B34E80"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Унапређење ефикасности Пореске управе учиниће процес утврђивања и плаћања пореза једноставнијим, предвидљивијим, конзистентнијим и економичнијим, чиме ће се унапредити равноправност учесника на тржишту. Јасна пореска правила охрабрују грађане у намери да започну сопствени посао, што доприноси повећању запослености и укупног друштвеног раста. Бољом наплатом пореза веће су могућности буџетских издвајања за социјалну заштиту, образовање и здравство. Реформа ће имати подједнак позитиван утицај на оба пола. </w:t>
      </w:r>
    </w:p>
    <w:p w14:paraId="74D7501A"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1C1077BE" w14:textId="59C6C0D7" w:rsidR="001F4238" w:rsidRPr="00DA46DB"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Кроз пројекат су ангажовани стручњаци за заштиту животне средине, чији је задатак да помогне ПУРС: да успешно имплементира и надгледа пројектне активности које подлежу ризицима заштите животне средине и да управљају њиховим утицајима; да припреми специфичне планове управљања животном средином (који укључују планове ублажавања и праћења стања животне средине за потпројекте) како би се осигурала ефективна заштита животне средине, здравље и безбедност на раду.</w:t>
      </w:r>
    </w:p>
    <w:p w14:paraId="513A42F5"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5"/>
        <w:tblW w:w="9694" w:type="dxa"/>
        <w:tblInd w:w="-5" w:type="dxa"/>
        <w:tblLayout w:type="fixed"/>
        <w:tblLook w:val="04A0" w:firstRow="1" w:lastRow="0" w:firstColumn="1" w:lastColumn="0" w:noHBand="0" w:noVBand="1"/>
      </w:tblPr>
      <w:tblGrid>
        <w:gridCol w:w="3329"/>
        <w:gridCol w:w="2200"/>
        <w:gridCol w:w="4165"/>
      </w:tblGrid>
      <w:tr w:rsidR="00DC7F92" w:rsidRPr="008744E3" w14:paraId="4DBF4DD4" w14:textId="77777777" w:rsidTr="00DC7F92">
        <w:trPr>
          <w:trHeight w:val="421"/>
        </w:trPr>
        <w:tc>
          <w:tcPr>
            <w:tcW w:w="3329" w:type="dxa"/>
            <w:vAlign w:val="center"/>
          </w:tcPr>
          <w:p w14:paraId="432784C7"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5E1D939E"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2FB4FF9F"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6DF3F1C5" w14:textId="77777777" w:rsidTr="00DC7F92">
        <w:trPr>
          <w:trHeight w:val="429"/>
        </w:trPr>
        <w:tc>
          <w:tcPr>
            <w:tcW w:w="3329" w:type="dxa"/>
          </w:tcPr>
          <w:p w14:paraId="3F199A67"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Кашњење нових законодавних оквира заснованих на ИКТ и потребама реформе ПУРС, или неприхватање измена за постојеће</w:t>
            </w:r>
          </w:p>
        </w:tc>
        <w:tc>
          <w:tcPr>
            <w:tcW w:w="2200" w:type="dxa"/>
          </w:tcPr>
          <w:p w14:paraId="544539D5"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14:paraId="7EC8871A"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Чвршћа сарадња са Министарством финансија (Сектор за фискални систем) и Канцеларијом за информационе технологије и електронску управу</w:t>
            </w:r>
          </w:p>
        </w:tc>
      </w:tr>
      <w:tr w:rsidR="00DC7F92" w:rsidRPr="008744E3" w14:paraId="5A5A390E" w14:textId="77777777" w:rsidTr="00DC7F92">
        <w:trPr>
          <w:trHeight w:val="536"/>
        </w:trPr>
        <w:tc>
          <w:tcPr>
            <w:tcW w:w="3329" w:type="dxa"/>
          </w:tcPr>
          <w:p w14:paraId="428F0030"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Недостатак координације/ комуникације између државних институција</w:t>
            </w:r>
          </w:p>
        </w:tc>
        <w:tc>
          <w:tcPr>
            <w:tcW w:w="2200" w:type="dxa"/>
          </w:tcPr>
          <w:p w14:paraId="03070164"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14:paraId="3ECD0589"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Рад на унапређењу координације/ комуникације између државних институција</w:t>
            </w:r>
          </w:p>
        </w:tc>
      </w:tr>
      <w:tr w:rsidR="00DC7F92" w:rsidRPr="008744E3" w14:paraId="1E60EC0B" w14:textId="77777777" w:rsidTr="00DC7F92">
        <w:trPr>
          <w:trHeight w:val="536"/>
        </w:trPr>
        <w:tc>
          <w:tcPr>
            <w:tcW w:w="3329" w:type="dxa"/>
          </w:tcPr>
          <w:p w14:paraId="524BA839"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Неповерење пореских обвезника услед страха од новина</w:t>
            </w:r>
          </w:p>
        </w:tc>
        <w:tc>
          <w:tcPr>
            <w:tcW w:w="2200" w:type="dxa"/>
          </w:tcPr>
          <w:p w14:paraId="3B818041"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14:paraId="72220684"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Едукација и информисање пореских обвезника </w:t>
            </w:r>
          </w:p>
        </w:tc>
      </w:tr>
      <w:tr w:rsidR="00DC7F92" w:rsidRPr="008744E3" w14:paraId="0AB5CA8B" w14:textId="77777777" w:rsidTr="00DC7F92">
        <w:trPr>
          <w:trHeight w:val="536"/>
        </w:trPr>
        <w:tc>
          <w:tcPr>
            <w:tcW w:w="3329" w:type="dxa"/>
          </w:tcPr>
          <w:p w14:paraId="074C1FAA" w14:textId="77777777" w:rsidR="00DC7F92" w:rsidRPr="008744E3" w:rsidRDefault="00DC7F92" w:rsidP="001F4238">
            <w:pPr>
              <w:spacing w:after="0"/>
              <w:rPr>
                <w:rFonts w:eastAsia="Calibri"/>
                <w:b/>
                <w:sz w:val="20"/>
                <w:szCs w:val="20"/>
                <w:lang w:val="sr-Latn-RS"/>
              </w:rPr>
            </w:pPr>
            <w:r w:rsidRPr="008744E3">
              <w:rPr>
                <w:rFonts w:eastAsia="Calibri"/>
                <w:sz w:val="20"/>
                <w:szCs w:val="20"/>
                <w:lang w:val="sr-Cyrl-RS"/>
              </w:rPr>
              <w:t>Недовољно ИТ ресурса и вештина за реализацију реформе</w:t>
            </w:r>
          </w:p>
        </w:tc>
        <w:tc>
          <w:tcPr>
            <w:tcW w:w="2200" w:type="dxa"/>
          </w:tcPr>
          <w:p w14:paraId="0E67830B"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Висока</w:t>
            </w:r>
          </w:p>
        </w:tc>
        <w:tc>
          <w:tcPr>
            <w:tcW w:w="4165" w:type="dxa"/>
          </w:tcPr>
          <w:p w14:paraId="341AFF02" w14:textId="77777777" w:rsidR="00DC7F92" w:rsidRPr="008744E3" w:rsidRDefault="00DC7F92" w:rsidP="001F4238">
            <w:pPr>
              <w:spacing w:after="0"/>
              <w:rPr>
                <w:rFonts w:eastAsia="Calibri"/>
                <w:b/>
                <w:sz w:val="20"/>
                <w:szCs w:val="20"/>
                <w:lang w:val="sr-Latn-RS"/>
              </w:rPr>
            </w:pPr>
            <w:r w:rsidRPr="008744E3">
              <w:rPr>
                <w:rFonts w:eastAsia="Calibri"/>
                <w:sz w:val="20"/>
                <w:szCs w:val="20"/>
                <w:lang w:val="sr-Cyrl-RS"/>
              </w:rPr>
              <w:t xml:space="preserve">Повећање броја запослених у ИТ-у и активнија сарадња са Јединицом за имплементацију стратешких пројеката </w:t>
            </w:r>
          </w:p>
        </w:tc>
      </w:tr>
      <w:tr w:rsidR="00DC7F92" w:rsidRPr="008744E3" w14:paraId="6BA7E49D" w14:textId="77777777" w:rsidTr="00DC7F92">
        <w:trPr>
          <w:trHeight w:val="536"/>
        </w:trPr>
        <w:tc>
          <w:tcPr>
            <w:tcW w:w="3329" w:type="dxa"/>
          </w:tcPr>
          <w:p w14:paraId="7B27EFAA" w14:textId="77777777" w:rsidR="00DC7F92" w:rsidRPr="008744E3" w:rsidRDefault="00DC7F92" w:rsidP="001F4238">
            <w:pPr>
              <w:spacing w:after="0"/>
              <w:rPr>
                <w:rFonts w:eastAsia="Calibri"/>
                <w:sz w:val="18"/>
                <w:szCs w:val="18"/>
                <w:lang w:val="sr-Cyrl-RS"/>
              </w:rPr>
            </w:pPr>
            <w:r w:rsidRPr="008744E3">
              <w:rPr>
                <w:rFonts w:eastAsia="Calibri"/>
                <w:sz w:val="20"/>
                <w:szCs w:val="20"/>
                <w:lang w:val="sr-Cyrl-RS"/>
              </w:rPr>
              <w:lastRenderedPageBreak/>
              <w:t>Недостатак људских ресурса и знања неопходних за функционисање реформисане ПУ</w:t>
            </w:r>
          </w:p>
        </w:tc>
        <w:tc>
          <w:tcPr>
            <w:tcW w:w="2200" w:type="dxa"/>
          </w:tcPr>
          <w:p w14:paraId="46223D4D" w14:textId="77777777" w:rsidR="00DC7F92" w:rsidRPr="008744E3" w:rsidRDefault="00DC7F92" w:rsidP="001F4238">
            <w:pPr>
              <w:spacing w:after="0"/>
              <w:rPr>
                <w:rFonts w:eastAsia="Calibri"/>
                <w:sz w:val="20"/>
                <w:szCs w:val="20"/>
              </w:rPr>
            </w:pPr>
            <w:r w:rsidRPr="008744E3">
              <w:rPr>
                <w:rFonts w:eastAsia="Calibri"/>
                <w:sz w:val="20"/>
                <w:szCs w:val="20"/>
                <w:lang w:val="sr-Cyrl-RS"/>
              </w:rPr>
              <w:t>Висока</w:t>
            </w:r>
          </w:p>
        </w:tc>
        <w:tc>
          <w:tcPr>
            <w:tcW w:w="4165" w:type="dxa"/>
          </w:tcPr>
          <w:p w14:paraId="2A968638" w14:textId="77777777" w:rsidR="00DC7F92" w:rsidRPr="008744E3" w:rsidRDefault="00DC7F92" w:rsidP="001F4238">
            <w:pPr>
              <w:spacing w:after="0"/>
              <w:rPr>
                <w:rFonts w:eastAsia="Calibri"/>
                <w:sz w:val="18"/>
                <w:szCs w:val="18"/>
                <w:lang w:val="sr-Cyrl-RS"/>
              </w:rPr>
            </w:pPr>
            <w:r w:rsidRPr="008744E3">
              <w:rPr>
                <w:rFonts w:eastAsia="Calibri"/>
                <w:sz w:val="20"/>
                <w:szCs w:val="20"/>
                <w:lang w:val="sr-Cyrl-RS"/>
              </w:rPr>
              <w:t>Додатно запошљавање у 202</w:t>
            </w:r>
            <w:r w:rsidRPr="008744E3">
              <w:rPr>
                <w:rFonts w:eastAsia="Calibri"/>
                <w:sz w:val="20"/>
                <w:szCs w:val="20"/>
                <w:lang w:val="en-US"/>
              </w:rPr>
              <w:t>2</w:t>
            </w:r>
            <w:r w:rsidRPr="008744E3">
              <w:rPr>
                <w:rFonts w:eastAsia="Calibri"/>
                <w:sz w:val="20"/>
                <w:szCs w:val="20"/>
                <w:lang w:val="sr-Cyrl-RS"/>
              </w:rPr>
              <w:t>. и обука запослених за функције које су декапацитиране</w:t>
            </w:r>
          </w:p>
        </w:tc>
      </w:tr>
    </w:tbl>
    <w:p w14:paraId="22FA45CF" w14:textId="77777777" w:rsidR="00DC7F92" w:rsidRPr="008744E3" w:rsidRDefault="00DC7F92" w:rsidP="00DC7F92">
      <w:pPr>
        <w:spacing w:after="60"/>
        <w:rPr>
          <w:rFonts w:eastAsia="Calibri" w:cs="Times New Roman"/>
          <w:lang w:val="sr-Cyrl-CS"/>
        </w:rPr>
      </w:pPr>
    </w:p>
    <w:p w14:paraId="7654E9E4" w14:textId="6DC8E22B" w:rsidR="00DC7F92" w:rsidRPr="008744E3" w:rsidRDefault="00DC7F92" w:rsidP="00DC7F92">
      <w:pPr>
        <w:spacing w:before="120"/>
        <w:rPr>
          <w:rFonts w:eastAsia="Calibri" w:cs="Times New Roman"/>
          <w:b/>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8C478F">
        <w:rPr>
          <w:rFonts w:eastAsia="Calibri" w:cs="Times New Roman"/>
          <w:b/>
          <w:noProof/>
          <w:szCs w:val="24"/>
          <w:u w:val="single"/>
        </w:rPr>
        <w:t>10</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УВОЂЕЊЕ НОВОГ МОДЕЛА ФИСКАЛИЗАЦИЈЕ И ПРЕЛАЗАК НА ЕЛЕКТРОНСКО ФАКТУРИСАЊЕ</w:t>
      </w:r>
    </w:p>
    <w:p w14:paraId="329DCBE9"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6AA47BB0" w14:textId="77777777"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 xml:space="preserve">Након креирања правног оквира и упознавања јавности са реформама (укључујући и програме обука) у 2021. години (Закон о фискализацији усвојен у децембру 2020. године са почетком примене од новембра 2021. </w:t>
      </w:r>
      <w:r>
        <w:rPr>
          <w:rFonts w:eastAsia="Calibri" w:cs="Times New Roman"/>
          <w:szCs w:val="24"/>
          <w:lang w:val="sr-Cyrl-RS"/>
        </w:rPr>
        <w:t>године</w:t>
      </w:r>
      <w:r w:rsidRPr="008744E3">
        <w:rPr>
          <w:rFonts w:eastAsia="Calibri" w:cs="Times New Roman"/>
          <w:szCs w:val="24"/>
          <w:lang w:val="sr-Cyrl-RS"/>
        </w:rPr>
        <w:t xml:space="preserve"> а пратећа подзаконска акта у фебруару 2021.</w:t>
      </w:r>
      <w:r w:rsidRPr="005C5708">
        <w:rPr>
          <w:rFonts w:eastAsia="Calibri" w:cs="Times New Roman"/>
          <w:szCs w:val="24"/>
          <w:lang w:val="sr-Cyrl-RS"/>
        </w:rPr>
        <w:t xml:space="preserve"> </w:t>
      </w:r>
      <w:r>
        <w:rPr>
          <w:rFonts w:eastAsia="Calibri" w:cs="Times New Roman"/>
          <w:szCs w:val="24"/>
          <w:lang w:val="sr-Cyrl-RS"/>
        </w:rPr>
        <w:t>године</w:t>
      </w:r>
      <w:r w:rsidRPr="008744E3">
        <w:rPr>
          <w:rFonts w:eastAsia="Times New Roman" w:cs="Times New Roman"/>
          <w:szCs w:val="24"/>
          <w:lang w:val="sr-Cyrl-RS"/>
        </w:rPr>
        <w:t>)</w:t>
      </w:r>
      <w:r w:rsidRPr="008744E3">
        <w:rPr>
          <w:rFonts w:eastAsia="Calibri" w:cs="Times New Roman"/>
          <w:szCs w:val="24"/>
          <w:lang w:val="sr-Cyrl-RS"/>
        </w:rPr>
        <w:t xml:space="preserve"> </w:t>
      </w:r>
      <w:r w:rsidRPr="008744E3">
        <w:rPr>
          <w:rFonts w:eastAsia="Times New Roman" w:cs="Times New Roman"/>
          <w:szCs w:val="24"/>
          <w:lang w:val="sr-Cyrl-RS"/>
        </w:rPr>
        <w:t>имплементација и прелазак на нове дигитализоване моделе издавања фискалних рачуна и фактурисања</w:t>
      </w:r>
      <w:r w:rsidRPr="008744E3">
        <w:rPr>
          <w:rFonts w:eastAsia="Calibri" w:cs="Times New Roman"/>
          <w:szCs w:val="24"/>
          <w:lang w:val="sr-Cyrl-RS"/>
        </w:rPr>
        <w:t xml:space="preserve"> почиње </w:t>
      </w:r>
      <w:r w:rsidRPr="008744E3">
        <w:rPr>
          <w:rFonts w:eastAsia="Times New Roman" w:cs="Times New Roman"/>
          <w:szCs w:val="24"/>
          <w:lang w:val="sr-Cyrl-RS"/>
        </w:rPr>
        <w:t>у 2022. години, тако да поступно, сви обвезници пређу на нове моделе у року од годину дана.</w:t>
      </w:r>
    </w:p>
    <w:p w14:paraId="432A0B2B"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Увођење новог модела фискализације подразумева централизовану дигиталну платформу у оквиру Пореске управе, као и он-лајн пренос и верификовање података који се шаљу са фискалних у Пореску управу.</w:t>
      </w:r>
      <w:r w:rsidRPr="008744E3">
        <w:rPr>
          <w:rFonts w:eastAsia="Calibri" w:cs="Times New Roman"/>
          <w:szCs w:val="24"/>
          <w:lang w:val="sr-Cyrl-RS"/>
        </w:rPr>
        <w:t xml:space="preserve"> Циљ је сузбијање сиве економије и повећање наплате ПДВ, као и унапређење и аутоматизовање процеса пореске контроле. Нови модел садржи и тзв. сигурносни елемент (сертификовану картицу) за сваког обвезника, чиме се степен злоупотребе своди на минимум или потпуно елиминише. </w:t>
      </w:r>
      <w:r w:rsidRPr="005C5708">
        <w:rPr>
          <w:rFonts w:eastAsia="Calibri" w:cs="Times New Roman"/>
          <w:szCs w:val="24"/>
          <w:lang w:val="sr-Cyrl-RS"/>
        </w:rPr>
        <w:t>Обвезници фискализације из приватног сектора ће бити од стране државе субвенционисани за износ реално процењених трошкова преласка на нови модел.</w:t>
      </w:r>
    </w:p>
    <w:p w14:paraId="3EFB509B" w14:textId="2E855D7D"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Циљ увођења централизоване платформе за размену електронских фактура је</w:t>
      </w:r>
      <w:r w:rsidRPr="008744E3">
        <w:rPr>
          <w:rFonts w:eastAsia="Times New Roman" w:cs="Times New Roman"/>
          <w:szCs w:val="24"/>
          <w:lang w:val="sr-Cyrl-RS"/>
        </w:rPr>
        <w:t xml:space="preserve"> потпуна замена папирног облика фактуре у дигитални за све обвезнике ПДВ-а, који се преноси путем централизоване платформе од издаваоца ка примаоцу фактуре без физичког облика. </w:t>
      </w:r>
      <w:r w:rsidRPr="008744E3">
        <w:rPr>
          <w:rFonts w:eastAsia="Calibri" w:cs="Times New Roman"/>
          <w:szCs w:val="24"/>
          <w:lang w:val="sr-Cyrl-RS"/>
        </w:rPr>
        <w:t xml:space="preserve">Закон о електронском фактурисању и пратећа подзаконска усвојена су 2021. године, са </w:t>
      </w:r>
      <w:r w:rsidRPr="008744E3">
        <w:rPr>
          <w:rFonts w:eastAsia="Times New Roman" w:cs="Times New Roman"/>
          <w:szCs w:val="24"/>
          <w:lang w:val="sr-Cyrl-RS"/>
        </w:rPr>
        <w:t>почетком примене од јануара 2022. године.</w:t>
      </w:r>
    </w:p>
    <w:p w14:paraId="4A5017EF"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Реформом се доприноси спровођењу </w:t>
      </w:r>
      <w:r w:rsidRPr="008744E3">
        <w:rPr>
          <w:rFonts w:eastAsia="Times New Roman" w:cs="Times New Roman"/>
          <w:b/>
          <w:szCs w:val="24"/>
          <w:lang w:val="sr-Cyrl-RS"/>
        </w:rPr>
        <w:t>ЦОР 16.6.</w:t>
      </w:r>
      <w:r w:rsidRPr="008744E3">
        <w:rPr>
          <w:rFonts w:eastAsia="Times New Roman" w:cs="Times New Roman"/>
          <w:szCs w:val="24"/>
          <w:lang w:val="sr-Cyrl-RS"/>
        </w:rPr>
        <w:t xml:space="preserve"> </w:t>
      </w:r>
      <w:r w:rsidRPr="008744E3">
        <w:rPr>
          <w:rFonts w:eastAsia="Times New Roman" w:cs="Times New Roman"/>
          <w:szCs w:val="24"/>
          <w:lang w:val="sr-Latn-RS"/>
        </w:rPr>
        <w:t xml:space="preserve">- </w:t>
      </w:r>
      <w:r w:rsidRPr="008744E3">
        <w:rPr>
          <w:rFonts w:eastAsia="Times New Roman" w:cs="Times New Roman"/>
          <w:szCs w:val="24"/>
          <w:lang w:val="sr-Cyrl-RS"/>
        </w:rPr>
        <w:t>Развити ефикасне, одговорне и транспарентне институције на свим нивоима.</w:t>
      </w:r>
    </w:p>
    <w:p w14:paraId="7DB30C8E"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18F452BE"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58F59088"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5FB68F71"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79A9BA50"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F5D8E36"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325B743"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73DE0B03"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0170ED9"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3FA19424"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4BD05E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298BDDE"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8B8E20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7C36A4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1ED1E451"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530B0E5"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7FF273E"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2915EA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DE8DA1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902E797"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F7B59C9"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A3023E7"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58D018E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85977D7"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single" w:sz="4" w:space="0" w:color="auto"/>
            </w:tcBorders>
            <w:shd w:val="clear" w:color="auto" w:fill="auto"/>
          </w:tcPr>
          <w:p w14:paraId="0B572F6D" w14:textId="25BA8E7B" w:rsidR="00DC7F92" w:rsidRPr="008744E3" w:rsidRDefault="00E81606" w:rsidP="00DC7F92">
            <w:pPr>
              <w:spacing w:after="0"/>
              <w:rPr>
                <w:rFonts w:eastAsia="Times New Roman" w:cs="Times New Roman"/>
                <w:sz w:val="20"/>
                <w:szCs w:val="20"/>
                <w:lang w:val="sr-Cyrl-RS"/>
              </w:rPr>
            </w:pPr>
            <w:r>
              <w:rPr>
                <w:rFonts w:eastAsia="Calibri" w:cs="Times New Roman"/>
                <w:sz w:val="20"/>
                <w:szCs w:val="20"/>
                <w:lang w:val="sr-Cyrl-RS"/>
              </w:rPr>
              <w:t>Почетак рада</w:t>
            </w:r>
            <w:r w:rsidR="00DC7F92" w:rsidRPr="008744E3">
              <w:rPr>
                <w:rFonts w:eastAsia="Calibri" w:cs="Times New Roman"/>
                <w:sz w:val="20"/>
                <w:szCs w:val="20"/>
                <w:lang w:val="sr-Cyrl-RS"/>
              </w:rPr>
              <w:t xml:space="preserve"> нове централизоване платформе за фискализацију</w:t>
            </w:r>
          </w:p>
        </w:tc>
        <w:tc>
          <w:tcPr>
            <w:tcW w:w="422" w:type="dxa"/>
            <w:tcBorders>
              <w:top w:val="single" w:sz="8" w:space="0" w:color="auto"/>
              <w:left w:val="single" w:sz="4" w:space="0" w:color="auto"/>
              <w:bottom w:val="single" w:sz="4" w:space="0" w:color="auto"/>
              <w:right w:val="single" w:sz="4" w:space="0" w:color="auto"/>
            </w:tcBorders>
            <w:shd w:val="clear" w:color="auto" w:fill="BFBFBF"/>
            <w:vAlign w:val="center"/>
          </w:tcPr>
          <w:p w14:paraId="2AC3248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B5DA7F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3015C6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64406E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AC8EFF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9AB4EE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BFE717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B52FC7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ACBAE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28AD69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356E17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714ECDF"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3CE4C33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258335B"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4CB6F0F1" w14:textId="77777777"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Пуштање у рад централизоване платформе за електронске фактуре</w:t>
            </w:r>
          </w:p>
        </w:tc>
        <w:tc>
          <w:tcPr>
            <w:tcW w:w="422" w:type="dxa"/>
            <w:tcBorders>
              <w:top w:val="nil"/>
              <w:left w:val="single" w:sz="8" w:space="0" w:color="auto"/>
              <w:bottom w:val="single" w:sz="4" w:space="0" w:color="auto"/>
              <w:right w:val="single" w:sz="4" w:space="0" w:color="auto"/>
            </w:tcBorders>
            <w:shd w:val="clear" w:color="auto" w:fill="BFBFBF"/>
          </w:tcPr>
          <w:p w14:paraId="214620F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14:paraId="1A6AC42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14:paraId="0CF2BBC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cPr>
          <w:p w14:paraId="571B2F1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14:paraId="48EB599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07D962A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39A993B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tcPr>
          <w:p w14:paraId="39952D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2AF4B7B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09383F9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4DED785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tcPr>
          <w:p w14:paraId="2A2DDF85"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4172BA7C" w14:textId="77777777" w:rsidTr="00DC7F92">
        <w:trPr>
          <w:trHeight w:val="300"/>
        </w:trPr>
        <w:tc>
          <w:tcPr>
            <w:tcW w:w="426" w:type="dxa"/>
            <w:tcBorders>
              <w:top w:val="single" w:sz="4" w:space="0" w:color="auto"/>
              <w:left w:val="single" w:sz="8" w:space="0" w:color="auto"/>
              <w:bottom w:val="single" w:sz="4" w:space="0" w:color="auto"/>
              <w:right w:val="nil"/>
            </w:tcBorders>
            <w:shd w:val="clear" w:color="auto" w:fill="auto"/>
          </w:tcPr>
          <w:p w14:paraId="2F21DCEA"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4124BEDF" w14:textId="77777777"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Ширење обухвата електронских фактура на целокупан сектор привреде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9BB3DE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F42153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535B4F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786BCEC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AE895D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7C9222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A305C8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C5B8F5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981CE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99D19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D0B4C0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56F7F4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0353EFD"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968EBE7"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single" w:sz="4" w:space="0" w:color="auto"/>
              <w:left w:val="nil"/>
              <w:bottom w:val="single" w:sz="4" w:space="0" w:color="auto"/>
              <w:right w:val="single" w:sz="4" w:space="0" w:color="auto"/>
            </w:tcBorders>
            <w:shd w:val="clear" w:color="auto" w:fill="auto"/>
          </w:tcPr>
          <w:p w14:paraId="792EFA58" w14:textId="77777777"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Едукација и комуникација са корисницима платформе за фискализацију и платформе за електронске фактуре ради помоћи у преласку на нови систем</w:t>
            </w:r>
          </w:p>
        </w:tc>
        <w:tc>
          <w:tcPr>
            <w:tcW w:w="422" w:type="dxa"/>
            <w:tcBorders>
              <w:top w:val="single" w:sz="4" w:space="0" w:color="auto"/>
              <w:left w:val="nil"/>
              <w:bottom w:val="single" w:sz="4" w:space="0" w:color="auto"/>
              <w:right w:val="single" w:sz="4" w:space="0" w:color="auto"/>
            </w:tcBorders>
            <w:shd w:val="clear" w:color="auto" w:fill="BFBFBF"/>
            <w:vAlign w:val="center"/>
          </w:tcPr>
          <w:p w14:paraId="1A4704B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318CDF5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460AD9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BEFB73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655B35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20CF01E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089C6B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0098A68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7B3A742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0C86922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1A09D2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9BAD976" w14:textId="77777777" w:rsidR="00DC7F92" w:rsidRPr="008744E3" w:rsidRDefault="00DC7F92" w:rsidP="00DC7F92">
            <w:pPr>
              <w:spacing w:after="0"/>
              <w:jc w:val="center"/>
              <w:rPr>
                <w:rFonts w:eastAsia="Times New Roman" w:cs="Times New Roman"/>
                <w:sz w:val="20"/>
                <w:szCs w:val="20"/>
                <w:lang w:val="sr-Cyrl-RS"/>
              </w:rPr>
            </w:pPr>
          </w:p>
        </w:tc>
      </w:tr>
    </w:tbl>
    <w:p w14:paraId="15BE2F74" w14:textId="77777777" w:rsidR="00DC7F92" w:rsidRPr="008744E3" w:rsidRDefault="00DC7F92" w:rsidP="004D22FA">
      <w:pPr>
        <w:widowControl w:val="0"/>
        <w:numPr>
          <w:ilvl w:val="0"/>
          <w:numId w:val="33"/>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5"/>
        <w:tblW w:w="9634" w:type="dxa"/>
        <w:tblLayout w:type="fixed"/>
        <w:tblLook w:val="04A0" w:firstRow="1" w:lastRow="0" w:firstColumn="1" w:lastColumn="0" w:noHBand="0" w:noVBand="1"/>
      </w:tblPr>
      <w:tblGrid>
        <w:gridCol w:w="4106"/>
        <w:gridCol w:w="1842"/>
        <w:gridCol w:w="1843"/>
        <w:gridCol w:w="1843"/>
      </w:tblGrid>
      <w:tr w:rsidR="00DC7F92" w:rsidRPr="008744E3" w14:paraId="4CF9ECB0" w14:textId="77777777" w:rsidTr="00DC7F92">
        <w:tc>
          <w:tcPr>
            <w:tcW w:w="4106" w:type="dxa"/>
            <w:vAlign w:val="center"/>
          </w:tcPr>
          <w:p w14:paraId="3C2F29D1"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7864135E"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14:paraId="3247E467"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14:paraId="0B120296"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14:paraId="1ACC4CB5" w14:textId="77777777" w:rsidTr="00DC7F92">
        <w:trPr>
          <w:trHeight w:val="284"/>
        </w:trPr>
        <w:tc>
          <w:tcPr>
            <w:tcW w:w="4106" w:type="dxa"/>
          </w:tcPr>
          <w:p w14:paraId="2AF9FE9F"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Обухват укључених обвезника фискализације новом платформом</w:t>
            </w:r>
          </w:p>
        </w:tc>
        <w:tc>
          <w:tcPr>
            <w:tcW w:w="1842" w:type="dxa"/>
          </w:tcPr>
          <w:p w14:paraId="53A9D5B4"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0% 1.1.2022.</w:t>
            </w:r>
          </w:p>
        </w:tc>
        <w:tc>
          <w:tcPr>
            <w:tcW w:w="1843" w:type="dxa"/>
          </w:tcPr>
          <w:p w14:paraId="35784038" w14:textId="77777777" w:rsidR="00DC7F92" w:rsidRPr="008744E3" w:rsidRDefault="00DC7F92" w:rsidP="001F4238">
            <w:pPr>
              <w:spacing w:after="0"/>
              <w:jc w:val="right"/>
              <w:rPr>
                <w:rFonts w:eastAsia="Calibri"/>
                <w:sz w:val="20"/>
                <w:szCs w:val="20"/>
                <w:lang w:val="sr-Latn-RS"/>
              </w:rPr>
            </w:pPr>
            <w:r w:rsidRPr="008744E3">
              <w:rPr>
                <w:rFonts w:eastAsia="Calibri"/>
                <w:sz w:val="20"/>
                <w:szCs w:val="20"/>
                <w:lang w:val="sr-Latn-RS"/>
              </w:rPr>
              <w:t>/</w:t>
            </w:r>
          </w:p>
        </w:tc>
        <w:tc>
          <w:tcPr>
            <w:tcW w:w="1843" w:type="dxa"/>
          </w:tcPr>
          <w:p w14:paraId="61447869"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100% 31.12.2022.</w:t>
            </w:r>
          </w:p>
        </w:tc>
      </w:tr>
      <w:tr w:rsidR="00DC7F92" w:rsidRPr="008744E3" w14:paraId="4F3C7EAF" w14:textId="77777777" w:rsidTr="00DC7F92">
        <w:trPr>
          <w:trHeight w:val="284"/>
        </w:trPr>
        <w:tc>
          <w:tcPr>
            <w:tcW w:w="4106" w:type="dxa"/>
          </w:tcPr>
          <w:p w14:paraId="2AA77932"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Обухват свих B2G трансакција</w:t>
            </w:r>
          </w:p>
        </w:tc>
        <w:tc>
          <w:tcPr>
            <w:tcW w:w="1842" w:type="dxa"/>
          </w:tcPr>
          <w:p w14:paraId="75E14AE7"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0% 1.1.202</w:t>
            </w:r>
            <w:r w:rsidRPr="008744E3">
              <w:rPr>
                <w:rFonts w:eastAsia="Calibri"/>
                <w:sz w:val="20"/>
                <w:szCs w:val="20"/>
                <w:lang w:val="sr-Latn-RS"/>
              </w:rPr>
              <w:t>2</w:t>
            </w:r>
            <w:r w:rsidRPr="008744E3">
              <w:rPr>
                <w:rFonts w:eastAsia="Calibri"/>
                <w:sz w:val="20"/>
                <w:szCs w:val="20"/>
                <w:lang w:val="sr-Cyrl-RS"/>
              </w:rPr>
              <w:t>.</w:t>
            </w:r>
          </w:p>
        </w:tc>
        <w:tc>
          <w:tcPr>
            <w:tcW w:w="1843" w:type="dxa"/>
          </w:tcPr>
          <w:p w14:paraId="5F0374A8" w14:textId="77777777" w:rsidR="00DC7F92" w:rsidRPr="008744E3" w:rsidRDefault="00DC7F92" w:rsidP="001F4238">
            <w:pPr>
              <w:spacing w:after="0"/>
              <w:jc w:val="right"/>
              <w:rPr>
                <w:rFonts w:eastAsia="Calibri"/>
                <w:sz w:val="20"/>
                <w:szCs w:val="20"/>
                <w:lang w:val="sr-Latn-RS"/>
              </w:rPr>
            </w:pPr>
            <w:r w:rsidRPr="008744E3">
              <w:rPr>
                <w:rFonts w:eastAsia="Calibri"/>
                <w:sz w:val="20"/>
                <w:szCs w:val="20"/>
                <w:lang w:val="sr-Latn-RS"/>
              </w:rPr>
              <w:t>/</w:t>
            </w:r>
          </w:p>
        </w:tc>
        <w:tc>
          <w:tcPr>
            <w:tcW w:w="1843" w:type="dxa"/>
          </w:tcPr>
          <w:p w14:paraId="229F2ADF"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100% 1.7.202</w:t>
            </w:r>
            <w:r w:rsidRPr="008744E3">
              <w:rPr>
                <w:rFonts w:eastAsia="Calibri"/>
                <w:sz w:val="20"/>
                <w:szCs w:val="20"/>
                <w:lang w:val="sr-Latn-RS"/>
              </w:rPr>
              <w:t>2</w:t>
            </w:r>
            <w:r w:rsidRPr="008744E3">
              <w:rPr>
                <w:rFonts w:eastAsia="Calibri"/>
                <w:sz w:val="20"/>
                <w:szCs w:val="20"/>
                <w:lang w:val="sr-Cyrl-RS"/>
              </w:rPr>
              <w:t>.</w:t>
            </w:r>
          </w:p>
        </w:tc>
      </w:tr>
      <w:tr w:rsidR="00DC7F92" w:rsidRPr="008744E3" w14:paraId="5A0E6806" w14:textId="77777777" w:rsidTr="00DC7F92">
        <w:trPr>
          <w:trHeight w:val="284"/>
        </w:trPr>
        <w:tc>
          <w:tcPr>
            <w:tcW w:w="4106" w:type="dxa"/>
          </w:tcPr>
          <w:p w14:paraId="5ED4D8F6"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lastRenderedPageBreak/>
              <w:t>Обухват свих B2B трансакција између правних лица која су обвезници ПДВ-а</w:t>
            </w:r>
          </w:p>
        </w:tc>
        <w:tc>
          <w:tcPr>
            <w:tcW w:w="1842" w:type="dxa"/>
          </w:tcPr>
          <w:p w14:paraId="269449F5" w14:textId="77777777" w:rsidR="00DC7F92" w:rsidRPr="008744E3" w:rsidRDefault="00DC7F92" w:rsidP="001F4238">
            <w:pPr>
              <w:spacing w:after="0"/>
              <w:jc w:val="right"/>
              <w:rPr>
                <w:rFonts w:eastAsia="Calibri"/>
                <w:b/>
                <w:sz w:val="20"/>
                <w:szCs w:val="20"/>
                <w:lang w:val="sr-Cyrl-RS"/>
              </w:rPr>
            </w:pPr>
            <w:r w:rsidRPr="008744E3">
              <w:rPr>
                <w:rFonts w:eastAsia="Calibri"/>
                <w:sz w:val="20"/>
                <w:szCs w:val="20"/>
                <w:lang w:val="sr-Cyrl-RS"/>
              </w:rPr>
              <w:t>0% 1.7.2022.</w:t>
            </w:r>
          </w:p>
        </w:tc>
        <w:tc>
          <w:tcPr>
            <w:tcW w:w="1843" w:type="dxa"/>
          </w:tcPr>
          <w:p w14:paraId="21E607C2" w14:textId="77777777" w:rsidR="00DC7F92" w:rsidRPr="008744E3" w:rsidRDefault="00DC7F92" w:rsidP="001F4238">
            <w:pPr>
              <w:spacing w:after="0"/>
              <w:jc w:val="right"/>
              <w:rPr>
                <w:rFonts w:eastAsia="Calibri"/>
                <w:b/>
                <w:sz w:val="20"/>
                <w:szCs w:val="20"/>
                <w:lang w:val="sr-Latn-RS"/>
              </w:rPr>
            </w:pPr>
            <w:r w:rsidRPr="008744E3">
              <w:rPr>
                <w:rFonts w:eastAsia="Calibri"/>
                <w:b/>
                <w:sz w:val="20"/>
                <w:szCs w:val="20"/>
                <w:lang w:val="sr-Latn-RS"/>
              </w:rPr>
              <w:t>/</w:t>
            </w:r>
          </w:p>
        </w:tc>
        <w:tc>
          <w:tcPr>
            <w:tcW w:w="1843" w:type="dxa"/>
          </w:tcPr>
          <w:p w14:paraId="10C46975" w14:textId="77777777" w:rsidR="00DC7F92" w:rsidRPr="008744E3" w:rsidRDefault="00DC7F92" w:rsidP="001F4238">
            <w:pPr>
              <w:spacing w:after="0"/>
              <w:jc w:val="right"/>
              <w:rPr>
                <w:rFonts w:eastAsia="Calibri"/>
                <w:b/>
                <w:sz w:val="20"/>
                <w:szCs w:val="20"/>
                <w:lang w:val="sr-Cyrl-RS"/>
              </w:rPr>
            </w:pPr>
            <w:r w:rsidRPr="008744E3">
              <w:rPr>
                <w:rFonts w:eastAsia="Calibri"/>
                <w:sz w:val="20"/>
                <w:szCs w:val="20"/>
                <w:lang w:val="sr-Cyrl-RS"/>
              </w:rPr>
              <w:t>100% 1.1.2023.</w:t>
            </w:r>
          </w:p>
        </w:tc>
      </w:tr>
    </w:tbl>
    <w:p w14:paraId="75B982B2" w14:textId="77777777" w:rsidR="00DC7F92" w:rsidRPr="008744E3" w:rsidRDefault="00DC7F92" w:rsidP="004D22FA">
      <w:pPr>
        <w:widowControl w:val="0"/>
        <w:numPr>
          <w:ilvl w:val="0"/>
          <w:numId w:val="33"/>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68D7E2AB"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Нови модел фискализације ће утицати на повећање конкурентности економије, кроз снижавање трошкова пословања и повећање ефикасности, у смислу: укидања дупле траке на фискалном штампачу и укидања обавезе њеног чувања, могућност коришћења различитих уређаја поред класичне фискалне касе (рачунар, мобилни телефон и сл.), аутоматизације и смањивања трошкова везаних за пренос података Пореској управи, подизања ефикасности пословања привредних субјеката путем коришћења савремених софтвера итд. Примена електронског фактурисања знатно ће утицати на убрзање токова ликвидности у привреди, на усаглашавање са правним тековинама ЕУ и одговарајућим пословним амбијентом.</w:t>
      </w:r>
    </w:p>
    <w:p w14:paraId="3D1FABA3" w14:textId="77777777"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Очекује се већа финансијска дисциплина и значајно већа наплата пореских прихода, стварање једнаких услова по питању конкурентности за приватни сектор, омогућавање Пореској управи партнерски приступ пореским обвезницима, боља и унапређена пореска контрола, дестимулисање привредних субјеката на избегавање обрачуна и плаћања пореза и сл.</w:t>
      </w:r>
    </w:p>
    <w:p w14:paraId="03086D2D"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14:paraId="75510C78"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Финансирање увођења  е</w:t>
      </w:r>
      <w:r>
        <w:rPr>
          <w:rFonts w:eastAsia="Times New Roman" w:cs="Times New Roman"/>
          <w:szCs w:val="24"/>
          <w:lang w:val="sr-Cyrl-RS"/>
        </w:rPr>
        <w:t xml:space="preserve">лектронског  фактурисања у 2022. години подразумева додатно прилагођавање централне ИТ платформе система и омогућавање додатних функционалности и сервиса корисницима у износу од 1.494.500 </w:t>
      </w:r>
      <w:r w:rsidRPr="008744E3">
        <w:rPr>
          <w:rFonts w:eastAsia="Times New Roman" w:cs="Times New Roman"/>
          <w:szCs w:val="24"/>
          <w:lang w:val="sr-Cyrl-RS"/>
        </w:rPr>
        <w:t>евра.</w:t>
      </w:r>
    </w:p>
    <w:p w14:paraId="41584F7B"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73EE0436"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Структурна реформа ће значајно утицати на побољшање пословног амбијента чиме се може очекивати утицај на смањење незапослености. Структурна реформа је родно неутрална.</w:t>
      </w:r>
    </w:p>
    <w:p w14:paraId="0D24865A"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4D42F28D" w14:textId="19521595" w:rsidR="00DC7F92"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Узимајући у обзир да се у потпуности прелази на нови, и у значајном делу електронски вид фискализације, као и на електронски вид фактурисања, ова структурна реформа ће у многоме утицати на смањење количине папира и тонера који су у оптицају у пословним операцијама, чиме се значајно утиче на заштиту животне средине.</w:t>
      </w:r>
    </w:p>
    <w:p w14:paraId="7D12C599" w14:textId="77777777" w:rsidR="001F4238" w:rsidRPr="008744E3" w:rsidRDefault="001F4238" w:rsidP="00DC7F92">
      <w:pPr>
        <w:widowControl w:val="0"/>
        <w:spacing w:after="60"/>
        <w:rPr>
          <w:rFonts w:eastAsia="Calibri" w:cs="Times New Roman"/>
          <w:szCs w:val="24"/>
          <w:lang w:val="sr-Cyrl-RS" w:eastAsia="sr-Cyrl-CS" w:bidi="sr-Cyrl-CS"/>
        </w:rPr>
      </w:pPr>
    </w:p>
    <w:p w14:paraId="1C5FEC7B"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5"/>
        <w:tblW w:w="9694" w:type="dxa"/>
        <w:tblInd w:w="-5" w:type="dxa"/>
        <w:tblLayout w:type="fixed"/>
        <w:tblLook w:val="04A0" w:firstRow="1" w:lastRow="0" w:firstColumn="1" w:lastColumn="0" w:noHBand="0" w:noVBand="1"/>
      </w:tblPr>
      <w:tblGrid>
        <w:gridCol w:w="3329"/>
        <w:gridCol w:w="2200"/>
        <w:gridCol w:w="4165"/>
      </w:tblGrid>
      <w:tr w:rsidR="00DC7F92" w:rsidRPr="008744E3" w14:paraId="19FB0A4B" w14:textId="77777777" w:rsidTr="00DC7F92">
        <w:trPr>
          <w:trHeight w:val="421"/>
        </w:trPr>
        <w:tc>
          <w:tcPr>
            <w:tcW w:w="3329" w:type="dxa"/>
            <w:vAlign w:val="center"/>
          </w:tcPr>
          <w:p w14:paraId="26FFFBAF"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4567299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21B438F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2E1C3179" w14:textId="77777777" w:rsidTr="00DC7F92">
        <w:trPr>
          <w:trHeight w:val="429"/>
        </w:trPr>
        <w:tc>
          <w:tcPr>
            <w:tcW w:w="3329" w:type="dxa"/>
          </w:tcPr>
          <w:p w14:paraId="4EC6A48E"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Недовољна обученост корисника за прелазак на нови систем фискализације</w:t>
            </w:r>
          </w:p>
        </w:tc>
        <w:tc>
          <w:tcPr>
            <w:tcW w:w="2200" w:type="dxa"/>
          </w:tcPr>
          <w:p w14:paraId="35A3B61A"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Низак</w:t>
            </w:r>
          </w:p>
        </w:tc>
        <w:tc>
          <w:tcPr>
            <w:tcW w:w="4165" w:type="dxa"/>
          </w:tcPr>
          <w:p w14:paraId="648DC71B"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Адекватне обуке, тренинзи и комуникациона стратегија ка привреди</w:t>
            </w:r>
          </w:p>
        </w:tc>
      </w:tr>
      <w:tr w:rsidR="00DC7F92" w:rsidRPr="008744E3" w14:paraId="5D941147" w14:textId="77777777" w:rsidTr="00DC7F92">
        <w:trPr>
          <w:trHeight w:val="536"/>
        </w:trPr>
        <w:tc>
          <w:tcPr>
            <w:tcW w:w="3329" w:type="dxa"/>
          </w:tcPr>
          <w:p w14:paraId="0AA2C08F"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Недовољна обученост корисника за прелазак на нови систем фактурисања</w:t>
            </w:r>
          </w:p>
        </w:tc>
        <w:tc>
          <w:tcPr>
            <w:tcW w:w="2200" w:type="dxa"/>
          </w:tcPr>
          <w:p w14:paraId="20C1DA02"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Низак</w:t>
            </w:r>
          </w:p>
        </w:tc>
        <w:tc>
          <w:tcPr>
            <w:tcW w:w="4165" w:type="dxa"/>
          </w:tcPr>
          <w:p w14:paraId="47D55113"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Адекватне обуке, тренинзи и комуникациона стратегија ка привреди</w:t>
            </w:r>
          </w:p>
        </w:tc>
      </w:tr>
    </w:tbl>
    <w:p w14:paraId="1467C6A8" w14:textId="77777777" w:rsidR="00DC7F92" w:rsidRPr="00606803" w:rsidRDefault="00DC7F92" w:rsidP="00DC7F92">
      <w:pPr>
        <w:spacing w:after="60"/>
        <w:rPr>
          <w:rFonts w:eastAsia="Times New Roman" w:cs="Times New Roman"/>
          <w:bCs/>
          <w:szCs w:val="24"/>
          <w:lang w:val="sr-Cyrl-RS"/>
        </w:rPr>
      </w:pPr>
    </w:p>
    <w:p w14:paraId="6C3CEA27" w14:textId="77777777"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30" w:name="_Toc62458645"/>
      <w:bookmarkStart w:id="31" w:name="_Toc89375535"/>
      <w:r w:rsidRPr="008C478F">
        <w:rPr>
          <w:rFonts w:eastAsia="Times New Roman" w:cs="Times New Roman"/>
          <w:b/>
          <w:lang w:val="sr-Cyrl-RS"/>
        </w:rPr>
        <w:t xml:space="preserve">5.2.2. Област </w:t>
      </w:r>
      <w:bookmarkEnd w:id="30"/>
      <w:r w:rsidRPr="008C478F">
        <w:rPr>
          <w:rFonts w:eastAsia="Times New Roman" w:cs="Times New Roman"/>
          <w:b/>
          <w:lang w:val="sr-Cyrl-RS"/>
        </w:rPr>
        <w:t>ЗЕЛЕНА ТРАНЗИЦИЈА</w:t>
      </w:r>
      <w:bookmarkEnd w:id="31"/>
    </w:p>
    <w:p w14:paraId="77EFD32D" w14:textId="77777777" w:rsidR="00DC7F92" w:rsidRPr="008744E3" w:rsidRDefault="00DC7F92" w:rsidP="00DC7F92">
      <w:pPr>
        <w:rPr>
          <w:rFonts w:eastAsia="Times New Roman" w:cs="Times New Roman"/>
          <w:i/>
          <w:szCs w:val="24"/>
          <w:lang w:val="sr-Cyrl-RS"/>
        </w:rPr>
      </w:pPr>
      <w:r w:rsidRPr="008744E3">
        <w:rPr>
          <w:rFonts w:eastAsia="Times New Roman" w:cs="Times New Roman"/>
          <w:b/>
          <w:szCs w:val="24"/>
          <w:lang w:val="sr-Cyrl-RS"/>
        </w:rPr>
        <w:t>а) Анализа главних препрека</w:t>
      </w:r>
    </w:p>
    <w:p w14:paraId="46854CAC" w14:textId="77777777" w:rsidR="00DC7F92" w:rsidRPr="008744E3" w:rsidRDefault="00DC7F92" w:rsidP="00DC7F92">
      <w:pPr>
        <w:spacing w:after="60"/>
        <w:rPr>
          <w:rFonts w:eastAsia="Calibri" w:cs="Times New Roman"/>
          <w:szCs w:val="24"/>
          <w:lang w:val="sr-Latn-RS"/>
        </w:rPr>
      </w:pPr>
      <w:r w:rsidRPr="008744E3">
        <w:rPr>
          <w:rFonts w:eastAsia="Calibri" w:cs="Times New Roman"/>
          <w:b/>
          <w:szCs w:val="24"/>
          <w:lang w:val="sr-Cyrl-RS"/>
        </w:rPr>
        <w:lastRenderedPageBreak/>
        <w:t>Привреда Србије се у великој мери ослања на делатности које су зависне од временских услова па је тиме осетљива и на климатске промене, што неповољно утиче и на укупну конкурентност Србије на глобалном тржишту.</w:t>
      </w:r>
      <w:r w:rsidRPr="008744E3">
        <w:rPr>
          <w:rFonts w:eastAsia="Calibri" w:cs="Times New Roman"/>
          <w:szCs w:val="24"/>
          <w:lang w:val="sr-Cyrl-RS"/>
        </w:rPr>
        <w:t xml:space="preserve"> Тренд раста средње температуре у Србији је три пута већи од тренда раста средње глобалне температуре и средње глобалне температуре копна. Укупна материјална штета изазвана екстремним климатским и временским условима у Србији, у периоду од 2000-2015. већа је од 5 млрд. </w:t>
      </w:r>
      <w:r>
        <w:rPr>
          <w:rFonts w:eastAsia="Calibri" w:cs="Times New Roman"/>
          <w:szCs w:val="24"/>
          <w:lang w:val="sr-Cyrl-RS"/>
        </w:rPr>
        <w:t>евра</w:t>
      </w:r>
      <w:r w:rsidRPr="008744E3">
        <w:rPr>
          <w:rFonts w:eastAsia="Calibri" w:cs="Times New Roman"/>
          <w:szCs w:val="24"/>
          <w:lang w:val="sr-Cyrl-RS"/>
        </w:rPr>
        <w:t xml:space="preserve">, од чега је 70% повезано са сушом и високим температурама. Вредност штета и губитака од катастрофалних поплава из 2014. године износи 1,5 млрд. </w:t>
      </w:r>
      <w:r>
        <w:rPr>
          <w:rFonts w:eastAsia="Calibri" w:cs="Times New Roman"/>
          <w:szCs w:val="24"/>
          <w:lang w:val="sr-Cyrl-RS"/>
        </w:rPr>
        <w:t>евра</w:t>
      </w:r>
      <w:r w:rsidRPr="008744E3">
        <w:rPr>
          <w:rFonts w:eastAsia="Calibri" w:cs="Times New Roman"/>
          <w:szCs w:val="24"/>
          <w:lang w:val="sr-Cyrl-RS"/>
        </w:rPr>
        <w:t xml:space="preserve">. Врло је вероватно да ће у </w:t>
      </w:r>
      <w:r>
        <w:rPr>
          <w:rFonts w:eastAsia="Calibri" w:cs="Times New Roman"/>
          <w:szCs w:val="24"/>
          <w:lang w:val="sr-Cyrl-RS"/>
        </w:rPr>
        <w:t xml:space="preserve">Републици </w:t>
      </w:r>
      <w:r w:rsidRPr="008744E3">
        <w:rPr>
          <w:rFonts w:eastAsia="Calibri" w:cs="Times New Roman"/>
          <w:szCs w:val="24"/>
          <w:lang w:val="sr-Cyrl-RS"/>
        </w:rPr>
        <w:t xml:space="preserve">Србији и у наредном периоду доћи до повећаног броја елементарних непогода и то пре свега поплава, суша и пожара. </w:t>
      </w:r>
      <w:r w:rsidRPr="008744E3">
        <w:rPr>
          <w:rFonts w:eastAsia="Calibri" w:cs="Times New Roman"/>
          <w:i/>
          <w:szCs w:val="24"/>
          <w:lang w:val="sr-Cyrl-RS"/>
        </w:rPr>
        <w:t>Законом о климатским променама</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w:t>
      </w:r>
      <w:r>
        <w:rPr>
          <w:rFonts w:eastAsia="Calibri" w:cs="Times New Roman"/>
          <w:szCs w:val="24"/>
          <w:lang w:val="sr-Cyrl-RS"/>
        </w:rPr>
        <w:t>лужбени гласник</w:t>
      </w:r>
      <w:r w:rsidRPr="008744E3">
        <w:rPr>
          <w:rFonts w:eastAsia="Calibri" w:cs="Times New Roman"/>
          <w:szCs w:val="24"/>
          <w:lang w:val="sr-Cyrl-RS"/>
        </w:rPr>
        <w:t xml:space="preserve"> РС</w:t>
      </w:r>
      <w:r>
        <w:rPr>
          <w:rFonts w:eastAsia="Calibri" w:cs="Times New Roman"/>
          <w:szCs w:val="24"/>
          <w:lang w:val="sr-Cyrl-RS"/>
        </w:rPr>
        <w:t>“, бр.</w:t>
      </w:r>
      <w:r w:rsidRPr="008744E3">
        <w:rPr>
          <w:rFonts w:eastAsia="Calibri" w:cs="Times New Roman"/>
          <w:szCs w:val="24"/>
          <w:lang w:val="sr-Cyrl-RS"/>
        </w:rPr>
        <w:t xml:space="preserve"> 26/2021) омогућено је успостављање система за смањење емисије гасова са ефектом стаклене баште (GHG) на исплатив и економски ефикасан начин, како би се избегле опасне промене климе на глобалном нивоу и неповољни утицаји промене климе. Овим законом је утврђено доношење</w:t>
      </w:r>
      <w:r w:rsidRPr="008744E3">
        <w:rPr>
          <w:rFonts w:eastAsia="Calibri" w:cs="Times New Roman"/>
          <w:szCs w:val="24"/>
          <w:lang w:val="sr-Latn-RS"/>
        </w:rPr>
        <w:t xml:space="preserve"> </w:t>
      </w:r>
      <w:r w:rsidRPr="008744E3">
        <w:rPr>
          <w:rFonts w:eastAsia="Calibri" w:cs="Times New Roman"/>
          <w:i/>
          <w:szCs w:val="24"/>
          <w:lang w:val="sr-Cyrl-RS"/>
        </w:rPr>
        <w:t>Стратегије нискоугљеничног развоја</w:t>
      </w:r>
      <w:r w:rsidRPr="008744E3">
        <w:rPr>
          <w:rFonts w:eastAsia="Calibri" w:cs="Times New Roman"/>
          <w:i/>
          <w:szCs w:val="24"/>
        </w:rPr>
        <w:t xml:space="preserve"> </w:t>
      </w:r>
      <w:r w:rsidRPr="008744E3">
        <w:rPr>
          <w:rFonts w:eastAsia="Calibri" w:cs="Times New Roman"/>
          <w:i/>
          <w:szCs w:val="24"/>
          <w:lang w:val="sr-Cyrl-RS"/>
        </w:rPr>
        <w:t>са Акционим планом</w:t>
      </w:r>
      <w:r w:rsidRPr="008744E3">
        <w:rPr>
          <w:rFonts w:eastAsia="Calibri" w:cs="Times New Roman"/>
          <w:szCs w:val="24"/>
          <w:lang w:val="sr-Latn-RS"/>
        </w:rPr>
        <w:t>,</w:t>
      </w:r>
      <w:r w:rsidRPr="008744E3">
        <w:rPr>
          <w:rFonts w:eastAsia="Calibri" w:cs="Times New Roman"/>
          <w:szCs w:val="24"/>
          <w:lang w:val="sr-Cyrl-RS"/>
        </w:rPr>
        <w:t xml:space="preserve"> као и </w:t>
      </w:r>
      <w:r w:rsidRPr="008744E3">
        <w:rPr>
          <w:rFonts w:eastAsia="Calibri" w:cs="Times New Roman"/>
          <w:i/>
          <w:szCs w:val="24"/>
          <w:lang w:val="sr-Cyrl-RS"/>
        </w:rPr>
        <w:t>Програм прилагођавања на измењене климатске услове</w:t>
      </w:r>
      <w:r w:rsidRPr="008744E3">
        <w:rPr>
          <w:rFonts w:eastAsia="Calibri" w:cs="Times New Roman"/>
          <w:szCs w:val="24"/>
          <w:lang w:val="sr-Cyrl-RS"/>
        </w:rPr>
        <w:t xml:space="preserve"> (израда ових докумената је у току), као и мониторинг и извештавање о емисијама GНG.</w:t>
      </w:r>
      <w:r w:rsidRPr="008744E3">
        <w:rPr>
          <w:rFonts w:eastAsia="Calibri" w:cs="Times New Roman"/>
          <w:szCs w:val="24"/>
          <w:lang w:val="sr-Latn-RS"/>
        </w:rPr>
        <w:t xml:space="preserve"> </w:t>
      </w:r>
    </w:p>
    <w:p w14:paraId="02DB4EE9" w14:textId="737853E6" w:rsidR="00DC7F92" w:rsidRPr="008744E3" w:rsidRDefault="00DC7F92" w:rsidP="00DC7F92">
      <w:pPr>
        <w:spacing w:after="60"/>
        <w:rPr>
          <w:rFonts w:eastAsia="Calibri" w:cs="Times New Roman"/>
          <w:szCs w:val="24"/>
          <w:lang w:val="sr-Cyrl-RS"/>
        </w:rPr>
      </w:pPr>
      <w:r w:rsidRPr="008744E3">
        <w:rPr>
          <w:rFonts w:eastAsia="Calibri" w:cs="Times New Roman"/>
          <w:b/>
          <w:szCs w:val="24"/>
          <w:lang w:val="sr-Cyrl-RS"/>
        </w:rPr>
        <w:t>Концентрације загађивача ваздуха у градовима, посебно прашкастих честица (ПМ), редовно прелазе нивое препоручене у смерницама СЗО о квалитету ваздуха, што се неповољно одражава на здравље људи и животну средину.</w:t>
      </w:r>
      <w:r w:rsidRPr="008744E3">
        <w:rPr>
          <w:rFonts w:eastAsia="Calibri" w:cs="Times New Roman"/>
          <w:szCs w:val="24"/>
          <w:lang w:val="sr-Cyrl-RS"/>
        </w:rPr>
        <w:t xml:space="preserve"> Изложеност загађењу ваздуха, посебно ПМ честицама, повезана је са повећаним морталитетом и морбидитетом. Емисија сумпордиоксида је за 14,0% виша у 2019. години у односу на претходну годину</w:t>
      </w:r>
      <w:r w:rsidRPr="008744E3">
        <w:rPr>
          <w:rFonts w:eastAsia="Calibri" w:cs="Times New Roman"/>
          <w:szCs w:val="24"/>
          <w:vertAlign w:val="superscript"/>
          <w:lang w:val="sr-Cyrl-RS"/>
        </w:rPr>
        <w:footnoteReference w:id="53"/>
      </w:r>
      <w:r w:rsidRPr="008744E3">
        <w:rPr>
          <w:rFonts w:eastAsia="Calibri" w:cs="Times New Roman"/>
          <w:szCs w:val="24"/>
          <w:lang w:val="sr-Cyrl-RS"/>
        </w:rPr>
        <w:t>. Велики загађивачи ваздуха су и индивидуална ложишта, којих у Србији има око 1,2 милиона (укупан број домаћинства износи 2,6 милиона) у којима се за сагоревање користе угаљ и мазут</w:t>
      </w:r>
      <w:r w:rsidRPr="008744E3">
        <w:rPr>
          <w:rFonts w:eastAsia="Calibri" w:cs="Times New Roman"/>
          <w:szCs w:val="24"/>
          <w:vertAlign w:val="superscript"/>
          <w:lang w:val="sr-Cyrl-RS"/>
        </w:rPr>
        <w:footnoteReference w:id="54"/>
      </w:r>
      <w:r w:rsidRPr="008744E3">
        <w:rPr>
          <w:rFonts w:eastAsia="Calibri" w:cs="Times New Roman"/>
          <w:szCs w:val="24"/>
          <w:lang w:val="sr-Cyrl-RS"/>
        </w:rPr>
        <w:t xml:space="preserve">. Од укупно емитованог угљен-моноксида 60,9% су емисије из домаћинстава у 2019. години, и то углавном због грејања. У плану је субвенционисање домаћинства за прелазак на чистије изворе енергије (пелет, гас, електрична енергија). Загађење ваздуха има и негативан економски ефекат, што се огледа у смањеној продуктивности због болести и повећаним трошковима боловања и лечења. Стратегија заштите ваздуха још увек није израђена, иако је </w:t>
      </w:r>
      <w:r w:rsidRPr="008744E3">
        <w:rPr>
          <w:rFonts w:eastAsia="Calibri" w:cs="Times New Roman"/>
          <w:i/>
          <w:szCs w:val="24"/>
          <w:lang w:val="sr-Cyrl-RS"/>
        </w:rPr>
        <w:t>Законом о заштити ваздуха</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w:t>
      </w:r>
      <w:r>
        <w:rPr>
          <w:rFonts w:eastAsia="Calibri" w:cs="Times New Roman"/>
          <w:szCs w:val="24"/>
          <w:lang w:val="sr-Cyrl-RS"/>
        </w:rPr>
        <w:t>лужбени гласник</w:t>
      </w:r>
      <w:r w:rsidRPr="008744E3">
        <w:rPr>
          <w:rFonts w:eastAsia="Calibri" w:cs="Times New Roman"/>
          <w:szCs w:val="24"/>
          <w:lang w:val="sr-Cyrl-RS"/>
        </w:rPr>
        <w:t xml:space="preserve"> РС</w:t>
      </w:r>
      <w:r>
        <w:rPr>
          <w:rFonts w:eastAsia="Calibri" w:cs="Times New Roman"/>
          <w:szCs w:val="24"/>
          <w:lang w:val="sr-Cyrl-RS"/>
        </w:rPr>
        <w:t>“, бр.</w:t>
      </w:r>
      <w:r w:rsidRPr="008744E3">
        <w:rPr>
          <w:rFonts w:eastAsia="Calibri" w:cs="Times New Roman"/>
          <w:szCs w:val="24"/>
          <w:lang w:val="sr-Cyrl-RS"/>
        </w:rPr>
        <w:t xml:space="preserve"> 10/2013) предвиђено њено доношење до 2015. године. </w:t>
      </w:r>
    </w:p>
    <w:p w14:paraId="326EEDC1" w14:textId="1DA4BE9C" w:rsidR="00DC7F92" w:rsidRPr="008744E3" w:rsidRDefault="00DC7F92" w:rsidP="00DC7F92">
      <w:pPr>
        <w:autoSpaceDE w:val="0"/>
        <w:autoSpaceDN w:val="0"/>
        <w:adjustRightInd w:val="0"/>
        <w:spacing w:after="60"/>
        <w:rPr>
          <w:rFonts w:ascii="Arial" w:eastAsia="Calibri" w:hAnsi="Arial" w:cs="Arial"/>
          <w:color w:val="000000"/>
          <w:szCs w:val="24"/>
        </w:rPr>
      </w:pPr>
      <w:r w:rsidRPr="008744E3">
        <w:rPr>
          <w:rFonts w:eastAsia="Times New Roman" w:cs="Times New Roman"/>
          <w:b/>
          <w:color w:val="000000"/>
          <w:szCs w:val="24"/>
          <w:lang w:val="sr-Cyrl-RS"/>
        </w:rPr>
        <w:t xml:space="preserve">Економија Србије је тренутно највећим делом линеарна, те је неопходно унапредити ефикасност употребе ресурса и увести концепт циркуларне економије. </w:t>
      </w:r>
      <w:r w:rsidRPr="008744E3">
        <w:rPr>
          <w:rFonts w:eastAsia="Times New Roman" w:cs="Times New Roman"/>
          <w:color w:val="000000"/>
          <w:szCs w:val="24"/>
          <w:lang w:val="sr-Cyrl-RS"/>
        </w:rPr>
        <w:t>Највеће слабости су недовољно разрађена законска регулатива, неусаглашеност докумената јавних политика, лоше управљање отпадом, неефикасна потрошња енергије и неодговарајући инспекцијски капацитети. У Србији је створено 56,3 мил</w:t>
      </w:r>
      <w:r>
        <w:rPr>
          <w:rFonts w:eastAsia="Times New Roman" w:cs="Times New Roman"/>
          <w:color w:val="000000"/>
          <w:szCs w:val="24"/>
          <w:lang w:val="sr-Cyrl-RS"/>
        </w:rPr>
        <w:t>иона</w:t>
      </w:r>
      <w:r w:rsidRPr="008744E3">
        <w:rPr>
          <w:rFonts w:eastAsia="Times New Roman" w:cs="Times New Roman"/>
          <w:color w:val="000000"/>
          <w:szCs w:val="24"/>
          <w:lang w:val="sr-Cyrl-RS"/>
        </w:rPr>
        <w:t xml:space="preserve"> тона отпада у 2020. (12,8% мање него 2019. године), од чега 79,9% чини неопасни, а 20,1% опасни отпад. Од укупно створеног отпада, одложено је 95,8%, а поново искоришћено само 4,2%. Највише отпада креирају рударство и енергетика, али је значајан и удео комуналног отпада (око 2 мил</w:t>
      </w:r>
      <w:r>
        <w:rPr>
          <w:rFonts w:eastAsia="Times New Roman" w:cs="Times New Roman"/>
          <w:color w:val="000000"/>
          <w:szCs w:val="24"/>
          <w:lang w:val="sr-Cyrl-RS"/>
        </w:rPr>
        <w:t>иона</w:t>
      </w:r>
      <w:r w:rsidRPr="008744E3">
        <w:rPr>
          <w:rFonts w:eastAsia="Times New Roman" w:cs="Times New Roman"/>
          <w:color w:val="000000"/>
          <w:szCs w:val="24"/>
          <w:lang w:val="sr-Cyrl-RS"/>
        </w:rPr>
        <w:t xml:space="preserve"> тона годишње) који најчешће завршава на депонијама. Србија је са створених 327 кг отпада на 1.000 евра БДП-а у 2018. години веома удаљена од просека ЕУ (70 кг). </w:t>
      </w:r>
      <w:r w:rsidRPr="005104C6">
        <w:rPr>
          <w:rFonts w:eastAsia="Times New Roman" w:cs="Times New Roman"/>
          <w:color w:val="000000"/>
          <w:szCs w:val="24"/>
          <w:lang w:val="sr-Cyrl-RS"/>
        </w:rPr>
        <w:t>Инвестиције у заштиту животну средине у Србији (0,2% БДП у 2019.) су четири до пет пута мање него у земљама Европске уније.</w:t>
      </w:r>
      <w:r w:rsidRPr="008744E3">
        <w:rPr>
          <w:rFonts w:eastAsia="Times New Roman" w:cs="Times New Roman"/>
          <w:color w:val="000000"/>
          <w:szCs w:val="24"/>
          <w:lang w:val="sr-Cyrl-RS"/>
        </w:rPr>
        <w:t xml:space="preserve"> Урађена је </w:t>
      </w:r>
      <w:r w:rsidRPr="008744E3">
        <w:rPr>
          <w:rFonts w:eastAsia="Times New Roman" w:cs="Times New Roman"/>
          <w:i/>
          <w:color w:val="000000"/>
          <w:szCs w:val="24"/>
          <w:lang w:val="sr-Cyrl-RS"/>
        </w:rPr>
        <w:t>Мапа пута за циркуларну економију</w:t>
      </w:r>
      <w:r w:rsidRPr="008744E3">
        <w:rPr>
          <w:rFonts w:eastAsia="Times New Roman" w:cs="Times New Roman"/>
          <w:color w:val="000000"/>
          <w:szCs w:val="24"/>
          <w:lang w:val="sr-Cyrl-RS"/>
        </w:rPr>
        <w:t xml:space="preserve"> у 2020. години, која даје препоруке за транзицију од линеарне ка кружној економији у области управљања отпадом. </w:t>
      </w:r>
      <w:r w:rsidRPr="008744E3">
        <w:rPr>
          <w:rFonts w:eastAsia="Times New Roman" w:cs="Times New Roman"/>
          <w:i/>
          <w:color w:val="000000"/>
          <w:szCs w:val="24"/>
          <w:lang w:val="sr-Cyrl-RS"/>
        </w:rPr>
        <w:t xml:space="preserve">Програмом за </w:t>
      </w:r>
      <w:r w:rsidRPr="008744E3">
        <w:rPr>
          <w:rFonts w:eastAsia="Times New Roman" w:cs="Times New Roman"/>
          <w:i/>
          <w:color w:val="000000"/>
          <w:szCs w:val="24"/>
          <w:lang w:val="sr-Cyrl-RS"/>
        </w:rPr>
        <w:lastRenderedPageBreak/>
        <w:t>циркуларну економију са Акционим планом</w:t>
      </w:r>
      <w:r w:rsidRPr="008744E3">
        <w:rPr>
          <w:rFonts w:eastAsia="Times New Roman" w:cs="Times New Roman"/>
          <w:color w:val="000000"/>
          <w:szCs w:val="24"/>
          <w:lang w:val="sr-Cyrl-RS"/>
        </w:rPr>
        <w:t xml:space="preserve">, чија је припрема у току, дефинисаће се мере за рационално и одрживо коришћење ресурса и енергије. </w:t>
      </w:r>
    </w:p>
    <w:p w14:paraId="64A3C5ED" w14:textId="0860DA16" w:rsidR="00DC7F92" w:rsidRPr="008744E3" w:rsidRDefault="00DC7F92" w:rsidP="00DC7F92">
      <w:pPr>
        <w:spacing w:after="60"/>
        <w:rPr>
          <w:rFonts w:eastAsia="Calibri" w:cs="Times New Roman"/>
          <w:szCs w:val="24"/>
          <w:lang w:val="sr-Cyrl-RS"/>
        </w:rPr>
      </w:pPr>
      <w:r w:rsidRPr="008744E3">
        <w:rPr>
          <w:rFonts w:eastAsia="Calibri" w:cs="Times New Roman"/>
          <w:b/>
          <w:szCs w:val="24"/>
          <w:lang w:val="sr-Cyrl-RS"/>
        </w:rPr>
        <w:t>Зелена трансформација захтева додатна улагања, како за државни тако и за привредни сектор, те је неопходно успоставити одговарајуће инструменте финансирања.</w:t>
      </w:r>
      <w:r w:rsidRPr="008744E3">
        <w:rPr>
          <w:rFonts w:eastAsia="Calibri" w:cs="Times New Roman"/>
          <w:szCs w:val="24"/>
          <w:lang w:val="sr-Cyrl-RS"/>
        </w:rPr>
        <w:t xml:space="preserve"> У области финансирања зелене транзиције, користе се средстава буџета РС, билатералне донације, ИПА фондови, WBIF и кредити међународних финансијских институција</w:t>
      </w:r>
      <w:r w:rsidRPr="008744E3">
        <w:rPr>
          <w:rFonts w:eastAsia="Calibri" w:cs="Times New Roman"/>
          <w:i/>
          <w:szCs w:val="24"/>
          <w:lang w:val="sr-Cyrl-RS"/>
        </w:rPr>
        <w:t>. Законом о накнадама за коришћење јавних добара</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w:t>
      </w:r>
      <w:r>
        <w:rPr>
          <w:rFonts w:eastAsia="Calibri" w:cs="Times New Roman"/>
          <w:szCs w:val="24"/>
          <w:lang w:val="sr-Cyrl-RS"/>
        </w:rPr>
        <w:t>лужбени гласник</w:t>
      </w:r>
      <w:r w:rsidRPr="008744E3">
        <w:rPr>
          <w:rFonts w:eastAsia="Calibri" w:cs="Times New Roman"/>
          <w:szCs w:val="24"/>
          <w:lang w:val="sr-Cyrl-RS"/>
        </w:rPr>
        <w:t xml:space="preserve"> РС</w:t>
      </w:r>
      <w:r>
        <w:rPr>
          <w:rFonts w:eastAsia="Calibri" w:cs="Times New Roman"/>
          <w:szCs w:val="24"/>
          <w:lang w:val="sr-Cyrl-RS"/>
        </w:rPr>
        <w:t>“, бр.</w:t>
      </w:r>
      <w:r w:rsidRPr="008744E3">
        <w:rPr>
          <w:rFonts w:eastAsia="Calibri" w:cs="Times New Roman"/>
          <w:szCs w:val="24"/>
          <w:lang w:val="sr-Cyrl-RS"/>
        </w:rPr>
        <w:t xml:space="preserve"> 49/2019) уведене су накнаде за заштиту и унапређење животне средине и прописани износи које загађивачи плаћају у зависности од врсте и количине загађења. Висину накнаде годишње утврђују јединице локалне самоуправе, а остварени приходи од накнада се уплаћују у буџете градова и општина. </w:t>
      </w:r>
      <w:r w:rsidRPr="008744E3">
        <w:rPr>
          <w:rFonts w:eastAsia="Calibri" w:cs="Times New Roman"/>
          <w:b/>
          <w:i/>
          <w:szCs w:val="24"/>
          <w:lang w:val="sr-Cyrl-RS"/>
        </w:rPr>
        <w:t>Остварени су приходи</w:t>
      </w:r>
      <w:r w:rsidRPr="008744E3">
        <w:rPr>
          <w:rFonts w:eastAsia="Calibri" w:cs="Times New Roman"/>
          <w:i/>
          <w:szCs w:val="24"/>
          <w:lang w:val="sr-Cyrl-RS"/>
        </w:rPr>
        <w:t xml:space="preserve"> </w:t>
      </w:r>
      <w:r w:rsidRPr="008744E3">
        <w:rPr>
          <w:rFonts w:eastAsia="Calibri" w:cs="Times New Roman"/>
          <w:b/>
          <w:i/>
          <w:szCs w:val="24"/>
          <w:lang w:val="sr-Cyrl-RS"/>
        </w:rPr>
        <w:t>од накнада у области животне средине</w:t>
      </w:r>
      <w:r w:rsidRPr="008744E3">
        <w:rPr>
          <w:rFonts w:eastAsia="Calibri" w:cs="Times New Roman"/>
          <w:szCs w:val="24"/>
          <w:lang w:val="sr-Cyrl-RS"/>
        </w:rPr>
        <w:t xml:space="preserve"> од 1,9 млрд. </w:t>
      </w:r>
      <w:r>
        <w:rPr>
          <w:rFonts w:eastAsia="Calibri" w:cs="Times New Roman"/>
          <w:szCs w:val="24"/>
          <w:lang w:val="sr-Cyrl-RS"/>
        </w:rPr>
        <w:t>евра</w:t>
      </w:r>
      <w:r w:rsidRPr="008744E3">
        <w:rPr>
          <w:rFonts w:eastAsia="Calibri" w:cs="Times New Roman"/>
          <w:szCs w:val="24"/>
          <w:lang w:val="sr-Cyrl-RS"/>
        </w:rPr>
        <w:t xml:space="preserve"> (4,1% БДП) у 2019. години, што је за 5,6% више у односу на претходну годину. Највеће учешће у структури прихода имали су енергетски порези (85,9%) и порези из области саобраћаја (7,1%), док су накнаде за загађење и накнаде за коришћење ресурса учествовале са 5,6% и 1,5%, респективно. Република Србија је емитовала и прву зелену обвезницу од 1 млрд. </w:t>
      </w:r>
      <w:r>
        <w:rPr>
          <w:rFonts w:eastAsia="Calibri" w:cs="Times New Roman"/>
          <w:szCs w:val="24"/>
          <w:lang w:val="sr-Cyrl-RS"/>
        </w:rPr>
        <w:t>евра</w:t>
      </w:r>
      <w:r w:rsidRPr="008744E3">
        <w:rPr>
          <w:rFonts w:eastAsia="Calibri" w:cs="Times New Roman"/>
          <w:szCs w:val="24"/>
          <w:lang w:val="sr-Cyrl-RS"/>
        </w:rPr>
        <w:t xml:space="preserve"> на међународном тржишту у септембру 2021. године, а средства ће бити искоришћена за финансирање пројеката у области зелене агенде. </w:t>
      </w:r>
      <w:r w:rsidRPr="008744E3">
        <w:rPr>
          <w:rFonts w:eastAsia="Calibri" w:cs="Times New Roman"/>
          <w:b/>
          <w:i/>
          <w:szCs w:val="24"/>
          <w:lang w:val="sr-Cyrl-RS"/>
        </w:rPr>
        <w:t>Укупни трошкови за заштиту животне средине</w:t>
      </w:r>
      <w:r w:rsidRPr="008744E3">
        <w:rPr>
          <w:rFonts w:eastAsia="Calibri" w:cs="Times New Roman"/>
          <w:szCs w:val="24"/>
          <w:lang w:val="sr-Cyrl-RS"/>
        </w:rPr>
        <w:t xml:space="preserve"> износили су 353 мил</w:t>
      </w:r>
      <w:r>
        <w:rPr>
          <w:rFonts w:eastAsia="Calibri" w:cs="Times New Roman"/>
          <w:szCs w:val="24"/>
          <w:lang w:val="sr-Cyrl-RS"/>
        </w:rPr>
        <w:t>иона</w:t>
      </w:r>
      <w:r w:rsidRPr="008744E3">
        <w:rPr>
          <w:rFonts w:eastAsia="Calibri" w:cs="Times New Roman"/>
          <w:szCs w:val="24"/>
          <w:lang w:val="sr-Cyrl-RS"/>
        </w:rPr>
        <w:t xml:space="preserve"> </w:t>
      </w:r>
      <w:r>
        <w:rPr>
          <w:rFonts w:eastAsia="Calibri" w:cs="Times New Roman"/>
          <w:szCs w:val="24"/>
          <w:lang w:val="sr-Cyrl-RS"/>
        </w:rPr>
        <w:t>евра</w:t>
      </w:r>
      <w:r w:rsidRPr="008744E3">
        <w:rPr>
          <w:rFonts w:eastAsia="Calibri" w:cs="Times New Roman"/>
          <w:szCs w:val="24"/>
          <w:lang w:val="sr-Cyrl-RS"/>
        </w:rPr>
        <w:t xml:space="preserve"> у 2019. години што је за 10,7% више него претходне године. У структури ових трошкова, инвестиције за заштиту животне средине чине 27,4% (од чега 37% у области управљања отпадом), док је учешће текућих издатака 72,6%. </w:t>
      </w:r>
      <w:r w:rsidR="00630038" w:rsidRPr="00072F40">
        <w:rPr>
          <w:rFonts w:eastAsia="Calibri" w:cs="Times New Roman"/>
          <w:szCs w:val="24"/>
          <w:lang w:val="sr-Cyrl-RS"/>
        </w:rPr>
        <w:t>У буџету за 2022. годину за екологију су обезбеђена средства у износу од 2</w:t>
      </w:r>
      <w:r w:rsidR="00630038" w:rsidRPr="00072F40">
        <w:rPr>
          <w:rFonts w:eastAsia="Calibri" w:cs="Times New Roman"/>
          <w:szCs w:val="24"/>
        </w:rPr>
        <w:t>1,6</w:t>
      </w:r>
      <w:r w:rsidR="00630038" w:rsidRPr="00072F40">
        <w:rPr>
          <w:rFonts w:eastAsia="Calibri" w:cs="Times New Roman"/>
          <w:szCs w:val="24"/>
          <w:lang w:val="sr-Cyrl-RS"/>
        </w:rPr>
        <w:t xml:space="preserve"> милијарди динара, што је за скоро </w:t>
      </w:r>
      <w:r w:rsidR="00630038" w:rsidRPr="00072F40">
        <w:rPr>
          <w:rFonts w:eastAsia="Calibri" w:cs="Times New Roman"/>
          <w:szCs w:val="24"/>
        </w:rPr>
        <w:t>19%</w:t>
      </w:r>
      <w:r w:rsidR="00630038" w:rsidRPr="00072F40">
        <w:rPr>
          <w:rFonts w:eastAsia="Calibri" w:cs="Times New Roman"/>
          <w:szCs w:val="24"/>
          <w:lang w:val="sr-Cyrl-RS"/>
        </w:rPr>
        <w:t xml:space="preserve"> више у односу на текући буџет за 2021. годину.</w:t>
      </w:r>
    </w:p>
    <w:p w14:paraId="56F8915A" w14:textId="7ED160FC" w:rsidR="001F4238" w:rsidRPr="00DA46DB" w:rsidRDefault="00DC7F92" w:rsidP="00DA46DB">
      <w:pPr>
        <w:spacing w:after="60"/>
        <w:rPr>
          <w:rFonts w:eastAsia="Calibri" w:cs="Times New Roman"/>
          <w:b/>
          <w:szCs w:val="24"/>
          <w:lang w:val="sr-Cyrl-RS"/>
        </w:rPr>
      </w:pPr>
      <w:r w:rsidRPr="008744E3">
        <w:rPr>
          <w:rFonts w:eastAsia="Calibri" w:cs="Times New Roman"/>
          <w:b/>
          <w:szCs w:val="24"/>
          <w:lang w:val="sr-Cyrl-RS"/>
        </w:rPr>
        <w:t xml:space="preserve">Евидентан је и недостатак институционалне инфраструктуре и административних капацитета на националном и локалном нивоу за имплементацију донетих законских решења и интензивирање процеса зелене транзиције. </w:t>
      </w:r>
      <w:r w:rsidRPr="008744E3">
        <w:rPr>
          <w:rFonts w:eastAsia="Calibri" w:cs="Times New Roman"/>
          <w:i/>
          <w:szCs w:val="24"/>
          <w:lang w:val="sr-Cyrl-RS"/>
        </w:rPr>
        <w:t>Зелена агенда за Западни Балкан (ЗАЗБ)</w:t>
      </w:r>
      <w:r w:rsidRPr="008744E3">
        <w:rPr>
          <w:rFonts w:eastAsia="Calibri" w:cs="Times New Roman"/>
          <w:b/>
          <w:szCs w:val="24"/>
          <w:lang w:val="sr-Cyrl-RS"/>
        </w:rPr>
        <w:t xml:space="preserve"> </w:t>
      </w:r>
      <w:r w:rsidRPr="008744E3">
        <w:rPr>
          <w:rFonts w:eastAsia="Calibri" w:cs="Times New Roman"/>
          <w:szCs w:val="24"/>
          <w:lang w:val="sr-Cyrl-RS"/>
        </w:rPr>
        <w:t xml:space="preserve">потписана у новембру 2020. ставља акценат на регионалну сарадњу, тако да зелена трансформација, одрживи развој, ефикасност ресурса, заштита природе и климатске активности буду центар економских активности, како би се изазови у овим областима претворили у развојне могућности. Ова агенда подразумева комплексну координацију унутар самих економија и међусобно у региону, као и усклађивање са политикама ЕУ и обавезама у процесу европских интеграција. Подстицање иновација, креирање нових (зелених) послова и одржив привредни раст су неопходни за зелену транзицију која треба да смањи притисак на природне ресурсе и побољша квалитет живота у складу са стандардима Европске уније. </w:t>
      </w:r>
    </w:p>
    <w:p w14:paraId="15B90F45" w14:textId="4A0C5A7F"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14:paraId="778B8F39" w14:textId="02CEA0A0" w:rsidR="00DC7F92" w:rsidRPr="008744E3" w:rsidRDefault="00DC7F92" w:rsidP="00DC7F92">
      <w:pPr>
        <w:spacing w:before="120"/>
        <w:rPr>
          <w:rFonts w:eastAsia="Calibri" w:cs="Times New Roman"/>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8C478F">
        <w:rPr>
          <w:rFonts w:eastAsia="Calibri" w:cs="Times New Roman"/>
          <w:b/>
          <w:noProof/>
          <w:szCs w:val="24"/>
          <w:u w:val="single"/>
        </w:rPr>
        <w:t>11</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УВОЂЕЊЕ КОНЦЕПТА ЦИРКУЛАРНЕ ЕКОНОМИЈЕ</w:t>
      </w:r>
    </w:p>
    <w:p w14:paraId="400270A6" w14:textId="77777777" w:rsidR="00DC7F92" w:rsidRPr="008744E3" w:rsidRDefault="00DC7F92" w:rsidP="004D22FA">
      <w:pPr>
        <w:widowControl w:val="0"/>
        <w:numPr>
          <w:ilvl w:val="0"/>
          <w:numId w:val="34"/>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38A85C5C"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Увођење концепта циркуларне економије као мултидисплинарног модела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 Развојем иновативног дизајна, дигитализације и нових технолошких достигнућа, допринеће се стварању модерног, конкуретног и климатски неутралног друштва. Циркуларна економија је један од кључних алата за достизање циљева одрживог развоја УН - Агенда 2030 и циљева Париског споразума. Реформа је повезана са </w:t>
      </w:r>
      <w:r w:rsidRPr="008744E3">
        <w:rPr>
          <w:rFonts w:eastAsia="Times New Roman" w:cs="Times New Roman"/>
          <w:b/>
          <w:szCs w:val="24"/>
          <w:lang w:val="sr-Cyrl-RS"/>
        </w:rPr>
        <w:t>ЦОР 3</w:t>
      </w:r>
      <w:r w:rsidRPr="008744E3">
        <w:rPr>
          <w:rFonts w:eastAsia="Times New Roman" w:cs="Times New Roman"/>
          <w:szCs w:val="24"/>
          <w:lang w:val="sr-Cyrl-RS"/>
        </w:rPr>
        <w:t xml:space="preserve"> - Добро здравље и </w:t>
      </w:r>
      <w:r w:rsidRPr="008744E3">
        <w:rPr>
          <w:rFonts w:eastAsia="Times New Roman" w:cs="Times New Roman"/>
          <w:b/>
          <w:szCs w:val="24"/>
          <w:lang w:val="sr-Cyrl-RS"/>
        </w:rPr>
        <w:t>ЦОР 12.</w:t>
      </w:r>
      <w:r w:rsidRPr="008744E3">
        <w:rPr>
          <w:rFonts w:eastAsia="Times New Roman" w:cs="Times New Roman"/>
          <w:szCs w:val="24"/>
          <w:lang w:val="sr-Cyrl-RS"/>
        </w:rPr>
        <w:t xml:space="preserve"> - Обезбедити одрживе обрасце потрошње и </w:t>
      </w:r>
      <w:r w:rsidRPr="008744E3">
        <w:rPr>
          <w:rFonts w:eastAsia="Times New Roman" w:cs="Times New Roman"/>
          <w:szCs w:val="24"/>
          <w:lang w:val="sr-Cyrl-RS"/>
        </w:rPr>
        <w:lastRenderedPageBreak/>
        <w:t xml:space="preserve">производње, односно доприноси остваривању </w:t>
      </w:r>
      <w:r w:rsidRPr="008744E3">
        <w:rPr>
          <w:rFonts w:eastAsia="Times New Roman" w:cs="Times New Roman"/>
          <w:b/>
          <w:szCs w:val="24"/>
          <w:lang w:val="sr-Cyrl-RS"/>
        </w:rPr>
        <w:t>ЦОР 12.1.</w:t>
      </w:r>
      <w:r w:rsidRPr="008744E3">
        <w:rPr>
          <w:rFonts w:eastAsia="Times New Roman" w:cs="Times New Roman"/>
          <w:szCs w:val="24"/>
          <w:lang w:val="sr-Cyrl-RS"/>
        </w:rPr>
        <w:t xml:space="preserve"> - Спровести десетогодишњи оквирни програм о одрживој потрошњи и производњи и </w:t>
      </w:r>
      <w:r w:rsidRPr="008744E3">
        <w:rPr>
          <w:rFonts w:eastAsia="Times New Roman" w:cs="Times New Roman"/>
          <w:b/>
          <w:szCs w:val="24"/>
          <w:lang w:val="sr-Cyrl-RS"/>
        </w:rPr>
        <w:t>ЦОР 12.2.</w:t>
      </w:r>
      <w:r w:rsidRPr="008744E3">
        <w:rPr>
          <w:rFonts w:eastAsia="Times New Roman" w:cs="Times New Roman"/>
          <w:szCs w:val="24"/>
          <w:lang w:val="sr-Cyrl-RS"/>
        </w:rPr>
        <w:t xml:space="preserve"> - До 2030. постићи одрживо управљање и ефикасно коршћење природних ресурса. </w:t>
      </w:r>
    </w:p>
    <w:p w14:paraId="2DEBF6E9"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Циркуларна економија знатно доприноси и смањењу утицаја климатских промена, односно спречавању да се температура повећа за више од 1,5°С у односу на преиндустријски период, на шта обавезују Конвенција УН о промени климе и Париски споразум. У току је припрема Програма </w:t>
      </w:r>
      <w:r>
        <w:rPr>
          <w:rFonts w:eastAsia="Times New Roman" w:cs="Times New Roman"/>
          <w:szCs w:val="24"/>
          <w:lang w:val="sr-Cyrl-RS"/>
        </w:rPr>
        <w:t xml:space="preserve">развоја </w:t>
      </w:r>
      <w:r w:rsidRPr="008744E3">
        <w:rPr>
          <w:rFonts w:eastAsia="Times New Roman" w:cs="Times New Roman"/>
          <w:szCs w:val="24"/>
          <w:lang w:val="sr-Cyrl-RS"/>
        </w:rPr>
        <w:t xml:space="preserve"> циркуларн</w:t>
      </w:r>
      <w:r>
        <w:rPr>
          <w:rFonts w:eastAsia="Times New Roman" w:cs="Times New Roman"/>
          <w:szCs w:val="24"/>
          <w:lang w:val="sr-Cyrl-RS"/>
        </w:rPr>
        <w:t>е</w:t>
      </w:r>
      <w:r w:rsidRPr="008744E3">
        <w:rPr>
          <w:rFonts w:eastAsia="Times New Roman" w:cs="Times New Roman"/>
          <w:szCs w:val="24"/>
          <w:lang w:val="sr-Cyrl-RS"/>
        </w:rPr>
        <w:t xml:space="preserve"> економиј</w:t>
      </w:r>
      <w:r>
        <w:rPr>
          <w:rFonts w:eastAsia="Times New Roman" w:cs="Times New Roman"/>
          <w:szCs w:val="24"/>
          <w:lang w:val="sr-Cyrl-RS"/>
        </w:rPr>
        <w:t>е у Републици Србији за период 2022-2024. године (</w:t>
      </w:r>
      <w:r w:rsidRPr="008744E3">
        <w:rPr>
          <w:rFonts w:eastAsia="Times New Roman" w:cs="Times New Roman"/>
          <w:szCs w:val="24"/>
          <w:lang w:val="sr-Cyrl-RS"/>
        </w:rPr>
        <w:t xml:space="preserve"> са акционим планом за три године</w:t>
      </w:r>
      <w:r>
        <w:rPr>
          <w:rFonts w:eastAsia="Times New Roman" w:cs="Times New Roman"/>
          <w:szCs w:val="24"/>
          <w:lang w:val="sr-Cyrl-RS"/>
        </w:rPr>
        <w:t>)</w:t>
      </w:r>
      <w:r w:rsidRPr="008744E3">
        <w:rPr>
          <w:rFonts w:eastAsia="Times New Roman" w:cs="Times New Roman"/>
          <w:szCs w:val="24"/>
          <w:lang w:val="sr-Cyrl-RS"/>
        </w:rPr>
        <w:t xml:space="preserve">, што је и предвиђено у Зеленој агенди за Западни Балкан, у оквиру стуба циркуларна економија. Реформа је пренета из прошле године, будући да због пандемије Ковид-19 </w:t>
      </w:r>
      <w:r w:rsidRPr="00EC663C">
        <w:rPr>
          <w:rFonts w:eastAsia="Times New Roman" w:cs="Times New Roman"/>
          <w:szCs w:val="24"/>
          <w:lang w:val="sr-Cyrl-RS"/>
        </w:rPr>
        <w:t>планиране активности није било могуће реали</w:t>
      </w:r>
      <w:r>
        <w:rPr>
          <w:rFonts w:eastAsia="Times New Roman" w:cs="Times New Roman"/>
          <w:szCs w:val="24"/>
          <w:lang w:val="sr-Cyrl-RS"/>
        </w:rPr>
        <w:t>зовати у складу са предвиђеном динамиком.</w:t>
      </w:r>
    </w:p>
    <w:p w14:paraId="506C190B"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089F72C5"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5E099103"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00D0E03"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7FDF4E78"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4D25971"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04BE03AB"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09BAD6F6"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8029328"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45D44A16"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7C2AFEB0"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87997D5"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BC27D7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F53920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415C39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1FCBE9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829493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2EA244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B7DE60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7EF2DAD"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DB8457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14D336F"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49282DD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FD5403B"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130E0ADD"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Подршка привредним субјектима у транзицији на моделе пословања засноване на принципима циркуларне економије</w:t>
            </w:r>
          </w:p>
        </w:tc>
        <w:tc>
          <w:tcPr>
            <w:tcW w:w="422" w:type="dxa"/>
            <w:tcBorders>
              <w:top w:val="nil"/>
              <w:left w:val="single" w:sz="8" w:space="0" w:color="auto"/>
              <w:bottom w:val="single" w:sz="4" w:space="0" w:color="auto"/>
              <w:right w:val="single" w:sz="4" w:space="0" w:color="auto"/>
            </w:tcBorders>
            <w:shd w:val="clear" w:color="auto" w:fill="auto"/>
            <w:vAlign w:val="center"/>
          </w:tcPr>
          <w:p w14:paraId="1CC37FF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3115C6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C13D42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FBEE77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9C2670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F7EE4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F7D1F7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E2CF3D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D946B1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DDD48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2F4A8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F4C320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1AF69249"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572FE73"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479852DA"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Промоција циркуларне економије и едукација привредних субјеката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9AF3D3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2CBBCB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D13CDF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BD13E8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5583A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BE88A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C8E4B3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9E9165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E0ABD6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11024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091C3F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318014D"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71E23CC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056AD8D"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184CA216"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Подршка локалним самоуправама за увођење концепта циркуларне економије кроз израду локалних мапа пута за циркуларну економију</w:t>
            </w:r>
          </w:p>
        </w:tc>
        <w:tc>
          <w:tcPr>
            <w:tcW w:w="422" w:type="dxa"/>
            <w:tcBorders>
              <w:top w:val="nil"/>
              <w:left w:val="single" w:sz="8" w:space="0" w:color="auto"/>
              <w:bottom w:val="single" w:sz="4" w:space="0" w:color="auto"/>
              <w:right w:val="single" w:sz="4" w:space="0" w:color="auto"/>
            </w:tcBorders>
            <w:shd w:val="clear" w:color="auto" w:fill="auto"/>
            <w:vAlign w:val="center"/>
          </w:tcPr>
          <w:p w14:paraId="4EF2F1B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3106B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8DC17E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E8D452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A2629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CAC7BD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017CA2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BB365A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C50956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A81994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E1ACB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4AC526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12C1680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F421501"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752C8D1E"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p>
        </w:tc>
        <w:tc>
          <w:tcPr>
            <w:tcW w:w="422" w:type="dxa"/>
            <w:tcBorders>
              <w:top w:val="nil"/>
              <w:left w:val="single" w:sz="8" w:space="0" w:color="auto"/>
              <w:bottom w:val="single" w:sz="4" w:space="0" w:color="auto"/>
              <w:right w:val="single" w:sz="4" w:space="0" w:color="auto"/>
            </w:tcBorders>
            <w:shd w:val="clear" w:color="auto" w:fill="auto"/>
            <w:vAlign w:val="center"/>
          </w:tcPr>
          <w:p w14:paraId="492EBC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0F7A82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FACB0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B4B330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EF1F7A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B58BA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BBF11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31CF49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8E1358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CE631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BD33C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F78A792" w14:textId="77777777" w:rsidR="00DC7F92" w:rsidRPr="008744E3" w:rsidRDefault="00DC7F92" w:rsidP="00DC7F92">
            <w:pPr>
              <w:spacing w:after="0"/>
              <w:jc w:val="center"/>
              <w:rPr>
                <w:rFonts w:eastAsia="Times New Roman" w:cs="Times New Roman"/>
                <w:sz w:val="20"/>
                <w:szCs w:val="20"/>
                <w:lang w:val="sr-Cyrl-RS"/>
              </w:rPr>
            </w:pPr>
          </w:p>
        </w:tc>
      </w:tr>
    </w:tbl>
    <w:p w14:paraId="20C196A9" w14:textId="77777777" w:rsidR="00DC7F92" w:rsidRPr="008744E3" w:rsidRDefault="00DC7F92" w:rsidP="004D22FA">
      <w:pPr>
        <w:widowControl w:val="0"/>
        <w:numPr>
          <w:ilvl w:val="0"/>
          <w:numId w:val="34"/>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2"/>
        <w:tblW w:w="9634" w:type="dxa"/>
        <w:tblLayout w:type="fixed"/>
        <w:tblLook w:val="04A0" w:firstRow="1" w:lastRow="0" w:firstColumn="1" w:lastColumn="0" w:noHBand="0" w:noVBand="1"/>
      </w:tblPr>
      <w:tblGrid>
        <w:gridCol w:w="4106"/>
        <w:gridCol w:w="1842"/>
        <w:gridCol w:w="1843"/>
        <w:gridCol w:w="1843"/>
      </w:tblGrid>
      <w:tr w:rsidR="00DC7F92" w:rsidRPr="008744E3" w14:paraId="4EBB8FB2" w14:textId="77777777" w:rsidTr="00DC7F92">
        <w:tc>
          <w:tcPr>
            <w:tcW w:w="4106" w:type="dxa"/>
            <w:vAlign w:val="center"/>
          </w:tcPr>
          <w:p w14:paraId="3DBDA65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2FA416E0"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14:paraId="450E6817"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14:paraId="54BC1697"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14:paraId="7B2BA611" w14:textId="77777777" w:rsidTr="00DC7F92">
        <w:trPr>
          <w:trHeight w:val="284"/>
        </w:trPr>
        <w:tc>
          <w:tcPr>
            <w:tcW w:w="4106" w:type="dxa"/>
          </w:tcPr>
          <w:p w14:paraId="0C848EA3"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Број привредних субјеката који су прешли на пословне моделе засноване на приницпима циркуларне економије</w:t>
            </w:r>
          </w:p>
        </w:tc>
        <w:tc>
          <w:tcPr>
            <w:tcW w:w="1842" w:type="dxa"/>
            <w:tcBorders>
              <w:top w:val="single" w:sz="4" w:space="0" w:color="auto"/>
              <w:left w:val="single" w:sz="4" w:space="0" w:color="auto"/>
              <w:bottom w:val="single" w:sz="4" w:space="0" w:color="auto"/>
              <w:right w:val="single" w:sz="4" w:space="0" w:color="auto"/>
            </w:tcBorders>
          </w:tcPr>
          <w:p w14:paraId="5460B710"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0</w:t>
            </w:r>
            <w:r w:rsidRPr="008744E3">
              <w:rPr>
                <w:rFonts w:eastAsia="Calibri"/>
                <w:lang w:val="sr-Cyrl-RS"/>
              </w:rPr>
              <w:t xml:space="preserve"> (2021)</w:t>
            </w:r>
          </w:p>
        </w:tc>
        <w:tc>
          <w:tcPr>
            <w:tcW w:w="1843" w:type="dxa"/>
            <w:tcBorders>
              <w:top w:val="single" w:sz="4" w:space="0" w:color="auto"/>
              <w:left w:val="single" w:sz="4" w:space="0" w:color="auto"/>
              <w:bottom w:val="single" w:sz="4" w:space="0" w:color="auto"/>
              <w:right w:val="single" w:sz="4" w:space="0" w:color="auto"/>
            </w:tcBorders>
          </w:tcPr>
          <w:p w14:paraId="1D5BD554" w14:textId="77777777"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6713BC4C"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5 </w:t>
            </w:r>
            <w:r w:rsidRPr="008744E3">
              <w:rPr>
                <w:rFonts w:eastAsia="Calibri"/>
                <w:lang w:val="sr-Cyrl-RS"/>
              </w:rPr>
              <w:t>(202</w:t>
            </w:r>
            <w:r w:rsidRPr="008744E3">
              <w:rPr>
                <w:rFonts w:eastAsia="Calibri"/>
                <w:lang w:val="sr-Latn-RS"/>
              </w:rPr>
              <w:t>4</w:t>
            </w:r>
            <w:r w:rsidRPr="008744E3">
              <w:rPr>
                <w:rFonts w:eastAsia="Calibri"/>
                <w:lang w:val="sr-Cyrl-RS"/>
              </w:rPr>
              <w:t>)</w:t>
            </w:r>
          </w:p>
        </w:tc>
      </w:tr>
      <w:tr w:rsidR="00DC7F92" w:rsidRPr="008744E3" w14:paraId="055C7EBC" w14:textId="77777777" w:rsidTr="00DC7F92">
        <w:trPr>
          <w:trHeight w:val="284"/>
        </w:trPr>
        <w:tc>
          <w:tcPr>
            <w:tcW w:w="4106" w:type="dxa"/>
          </w:tcPr>
          <w:p w14:paraId="548EE10C"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Број запослених у привредним субјектима на стратешком нивоу који су похађали формате обуке о циркуларној економији на годишњем нивоу</w:t>
            </w:r>
          </w:p>
        </w:tc>
        <w:tc>
          <w:tcPr>
            <w:tcW w:w="1842" w:type="dxa"/>
            <w:tcBorders>
              <w:top w:val="single" w:sz="4" w:space="0" w:color="auto"/>
              <w:left w:val="single" w:sz="4" w:space="0" w:color="auto"/>
              <w:bottom w:val="single" w:sz="4" w:space="0" w:color="auto"/>
              <w:right w:val="single" w:sz="4" w:space="0" w:color="auto"/>
            </w:tcBorders>
          </w:tcPr>
          <w:p w14:paraId="085C6167"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0 (2020)</w:t>
            </w:r>
          </w:p>
        </w:tc>
        <w:tc>
          <w:tcPr>
            <w:tcW w:w="1843" w:type="dxa"/>
            <w:tcBorders>
              <w:top w:val="single" w:sz="4" w:space="0" w:color="auto"/>
              <w:left w:val="single" w:sz="4" w:space="0" w:color="auto"/>
              <w:bottom w:val="single" w:sz="4" w:space="0" w:color="auto"/>
              <w:right w:val="single" w:sz="4" w:space="0" w:color="auto"/>
            </w:tcBorders>
          </w:tcPr>
          <w:p w14:paraId="5B11704D" w14:textId="77777777"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470E298A"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3</w:t>
            </w:r>
            <w:r w:rsidRPr="008744E3">
              <w:rPr>
                <w:rFonts w:eastAsia="Calibri"/>
                <w:lang w:val="sr-Cyrl-RS"/>
              </w:rPr>
              <w:t>.</w:t>
            </w:r>
            <w:r w:rsidRPr="008744E3">
              <w:rPr>
                <w:rFonts w:eastAsia="Calibri"/>
                <w:lang w:val="sr-Latn-RS"/>
              </w:rPr>
              <w:t>000 (2023)</w:t>
            </w:r>
          </w:p>
        </w:tc>
      </w:tr>
      <w:tr w:rsidR="00DC7F92" w:rsidRPr="008744E3" w14:paraId="04DDA45B" w14:textId="77777777" w:rsidTr="00DC7F92">
        <w:trPr>
          <w:trHeight w:val="332"/>
        </w:trPr>
        <w:tc>
          <w:tcPr>
            <w:tcW w:w="4106" w:type="dxa"/>
          </w:tcPr>
          <w:p w14:paraId="48769F7A"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Број локалних самоуправа за које ће бити израђене локалне мапе пута</w:t>
            </w:r>
          </w:p>
        </w:tc>
        <w:tc>
          <w:tcPr>
            <w:tcW w:w="1842" w:type="dxa"/>
            <w:tcBorders>
              <w:top w:val="single" w:sz="4" w:space="0" w:color="auto"/>
              <w:left w:val="single" w:sz="4" w:space="0" w:color="auto"/>
              <w:bottom w:val="single" w:sz="4" w:space="0" w:color="auto"/>
              <w:right w:val="single" w:sz="4" w:space="0" w:color="auto"/>
            </w:tcBorders>
          </w:tcPr>
          <w:p w14:paraId="09D0F978" w14:textId="77777777" w:rsidR="00DC7F92" w:rsidRPr="008744E3" w:rsidRDefault="00DC7F92" w:rsidP="001F4238">
            <w:pPr>
              <w:spacing w:after="0"/>
              <w:jc w:val="right"/>
              <w:rPr>
                <w:rFonts w:eastAsia="Calibri"/>
                <w:b/>
                <w:sz w:val="20"/>
                <w:szCs w:val="20"/>
                <w:lang w:val="sr-Cyrl-RS"/>
              </w:rPr>
            </w:pPr>
            <w:r w:rsidRPr="008744E3">
              <w:rPr>
                <w:rFonts w:eastAsia="Calibri"/>
                <w:lang w:val="sr-Latn-RS"/>
              </w:rPr>
              <w:t>0</w:t>
            </w:r>
            <w:r w:rsidRPr="008744E3">
              <w:rPr>
                <w:rFonts w:eastAsia="Calibri"/>
                <w:lang w:val="sr-Cyrl-RS"/>
              </w:rPr>
              <w:t xml:space="preserve"> (202</w:t>
            </w:r>
            <w:r>
              <w:rPr>
                <w:rFonts w:eastAsia="Calibri"/>
                <w:lang w:val="sr-Cyrl-RS"/>
              </w:rPr>
              <w:t>1</w:t>
            </w:r>
            <w:r w:rsidRPr="008744E3">
              <w:rPr>
                <w:rFonts w:eastAsia="Calibri"/>
                <w:lang w:val="sr-Cyrl-RS"/>
              </w:rPr>
              <w:t>)</w:t>
            </w:r>
          </w:p>
        </w:tc>
        <w:tc>
          <w:tcPr>
            <w:tcW w:w="1843" w:type="dxa"/>
            <w:tcBorders>
              <w:top w:val="single" w:sz="4" w:space="0" w:color="auto"/>
              <w:left w:val="single" w:sz="4" w:space="0" w:color="auto"/>
              <w:bottom w:val="single" w:sz="4" w:space="0" w:color="auto"/>
              <w:right w:val="single" w:sz="4" w:space="0" w:color="auto"/>
            </w:tcBorders>
          </w:tcPr>
          <w:p w14:paraId="30FF2485" w14:textId="77777777" w:rsidR="00DC7F92" w:rsidRPr="008744E3" w:rsidRDefault="00DC7F92" w:rsidP="001F4238">
            <w:pPr>
              <w:spacing w:after="0"/>
              <w:jc w:val="right"/>
              <w:rPr>
                <w:rFonts w:eastAsia="Calibri"/>
                <w:b/>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4728D76F" w14:textId="77777777" w:rsidR="00DC7F92" w:rsidRPr="008744E3" w:rsidRDefault="00DC7F92" w:rsidP="001F4238">
            <w:pPr>
              <w:spacing w:after="0"/>
              <w:jc w:val="right"/>
              <w:rPr>
                <w:rFonts w:eastAsia="Calibri"/>
                <w:b/>
                <w:sz w:val="20"/>
                <w:szCs w:val="20"/>
                <w:lang w:val="sr-Cyrl-RS"/>
              </w:rPr>
            </w:pPr>
            <w:r>
              <w:rPr>
                <w:rFonts w:eastAsia="Calibri"/>
                <w:lang w:val="sr-Cyrl-RS"/>
              </w:rPr>
              <w:t>3</w:t>
            </w:r>
            <w:r w:rsidRPr="008744E3">
              <w:rPr>
                <w:rFonts w:eastAsia="Calibri"/>
                <w:lang w:val="sr-Latn-RS"/>
              </w:rPr>
              <w:t xml:space="preserve"> </w:t>
            </w:r>
            <w:r w:rsidRPr="008744E3">
              <w:rPr>
                <w:rFonts w:eastAsia="Calibri"/>
                <w:lang w:val="sr-Cyrl-RS"/>
              </w:rPr>
              <w:t>(202</w:t>
            </w:r>
            <w:r w:rsidRPr="008744E3">
              <w:rPr>
                <w:rFonts w:eastAsia="Calibri"/>
                <w:lang w:val="sr-Latn-RS"/>
              </w:rPr>
              <w:t>4</w:t>
            </w:r>
            <w:r w:rsidRPr="008744E3">
              <w:rPr>
                <w:rFonts w:eastAsia="Calibri"/>
                <w:lang w:val="sr-Cyrl-RS"/>
              </w:rPr>
              <w:t>)</w:t>
            </w:r>
          </w:p>
        </w:tc>
      </w:tr>
      <w:tr w:rsidR="00DC7F92" w:rsidRPr="008744E3" w14:paraId="485DBE6C" w14:textId="77777777" w:rsidTr="00DC7F92">
        <w:trPr>
          <w:trHeight w:val="284"/>
        </w:trPr>
        <w:tc>
          <w:tcPr>
            <w:tcW w:w="4106" w:type="dxa"/>
          </w:tcPr>
          <w:p w14:paraId="45F6E12B"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Број додељених циркуларних ваучера  </w:t>
            </w:r>
          </w:p>
        </w:tc>
        <w:tc>
          <w:tcPr>
            <w:tcW w:w="1842" w:type="dxa"/>
            <w:tcBorders>
              <w:top w:val="single" w:sz="4" w:space="0" w:color="auto"/>
              <w:left w:val="single" w:sz="4" w:space="0" w:color="auto"/>
              <w:bottom w:val="single" w:sz="4" w:space="0" w:color="auto"/>
              <w:right w:val="single" w:sz="4" w:space="0" w:color="auto"/>
            </w:tcBorders>
          </w:tcPr>
          <w:p w14:paraId="2B290B9C"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0 </w:t>
            </w:r>
            <w:r w:rsidRPr="008744E3">
              <w:rPr>
                <w:rFonts w:eastAsia="Calibri"/>
                <w:lang w:val="sr-Cyrl-RS"/>
              </w:rPr>
              <w:t>(202</w:t>
            </w:r>
            <w:r>
              <w:rPr>
                <w:rFonts w:eastAsia="Calibri"/>
                <w:lang w:val="sr-Cyrl-RS"/>
              </w:rPr>
              <w:t>1</w:t>
            </w:r>
            <w:r w:rsidRPr="008744E3">
              <w:rPr>
                <w:rFonts w:eastAsia="Calibri"/>
                <w:lang w:val="sr-Cyrl-RS"/>
              </w:rPr>
              <w:t>)</w:t>
            </w:r>
          </w:p>
        </w:tc>
        <w:tc>
          <w:tcPr>
            <w:tcW w:w="1843" w:type="dxa"/>
            <w:tcBorders>
              <w:top w:val="single" w:sz="4" w:space="0" w:color="auto"/>
              <w:left w:val="single" w:sz="4" w:space="0" w:color="auto"/>
              <w:bottom w:val="single" w:sz="4" w:space="0" w:color="auto"/>
              <w:right w:val="single" w:sz="4" w:space="0" w:color="auto"/>
            </w:tcBorders>
          </w:tcPr>
          <w:p w14:paraId="60AF231B" w14:textId="77777777"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39E2AEEE"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3 </w:t>
            </w:r>
            <w:r w:rsidRPr="008744E3">
              <w:rPr>
                <w:rFonts w:eastAsia="Calibri"/>
                <w:lang w:val="sr-Cyrl-RS"/>
              </w:rPr>
              <w:t>(2024)</w:t>
            </w:r>
          </w:p>
        </w:tc>
      </w:tr>
    </w:tbl>
    <w:p w14:paraId="4F5F0688" w14:textId="77777777" w:rsidR="00DC7F92" w:rsidRPr="008744E3" w:rsidRDefault="00DC7F92" w:rsidP="004D22FA">
      <w:pPr>
        <w:widowControl w:val="0"/>
        <w:numPr>
          <w:ilvl w:val="0"/>
          <w:numId w:val="34"/>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0B8A6C52"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Применом концепта циркуларне економије штеде се ресурси и енергија, што може довести до нових инвестиционих улагања и подстицања развоја бизнис сектора. Циркуларна економија доприноси креирању просперитетнијег и конкурентнијег друштва кроз подстицаје за оснивање микро, малих и средњих предузећа и развој технологија које штеде ресурсе и енергију и не загађују животну средину. Компаније окренуте ка циркуларном моделу пословања могу постати конкурентније, јер нови начин производње доводи до сировинске и енергетске ефикасности и смањења настајања отпада.</w:t>
      </w:r>
    </w:p>
    <w:p w14:paraId="586A4241"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lastRenderedPageBreak/>
        <w:t>Процењени трошкови активности и извори финансирања</w:t>
      </w:r>
    </w:p>
    <w:p w14:paraId="7F7CA7DA"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 xml:space="preserve">За спровођење активности </w:t>
      </w:r>
      <w:r>
        <w:rPr>
          <w:rFonts w:eastAsia="Times New Roman" w:cs="Times New Roman"/>
          <w:szCs w:val="24"/>
          <w:lang w:val="sr-Cyrl-RS"/>
        </w:rPr>
        <w:t>„</w:t>
      </w:r>
      <w:r w:rsidRPr="008744E3">
        <w:rPr>
          <w:rFonts w:eastAsia="Times New Roman" w:cs="Times New Roman"/>
          <w:szCs w:val="24"/>
          <w:lang w:val="sr-Cyrl-RS"/>
        </w:rPr>
        <w:t>Подршка привредним субјектима у транзицији на циркуларни модел пословања</w:t>
      </w:r>
      <w:r>
        <w:rPr>
          <w:rFonts w:eastAsia="Times New Roman" w:cs="Times New Roman"/>
          <w:szCs w:val="24"/>
          <w:lang w:val="sr-Cyrl-RS"/>
        </w:rPr>
        <w:t>“</w:t>
      </w:r>
      <w:r w:rsidRPr="008744E3">
        <w:rPr>
          <w:rFonts w:eastAsia="Times New Roman" w:cs="Times New Roman"/>
          <w:szCs w:val="24"/>
          <w:lang w:val="sr-Cyrl-RS"/>
        </w:rPr>
        <w:t xml:space="preserve"> за 2022. средства ће бити обезбеђена од међународних донатора кроз пројекте који су у току, тако да из буџета неће бити директног издвајања. У оквиру активности </w:t>
      </w:r>
      <w:r>
        <w:rPr>
          <w:rFonts w:eastAsia="Times New Roman" w:cs="Times New Roman"/>
          <w:szCs w:val="24"/>
          <w:lang w:val="sr-Cyrl-RS"/>
        </w:rPr>
        <w:t>„</w:t>
      </w:r>
      <w:r w:rsidRPr="008744E3">
        <w:rPr>
          <w:rFonts w:eastAsia="Times New Roman" w:cs="Times New Roman"/>
          <w:szCs w:val="24"/>
          <w:lang w:val="sr-Cyrl-RS"/>
        </w:rPr>
        <w:t>Промоција циркуларне економије и едукација привредних субјеката</w:t>
      </w:r>
      <w:r>
        <w:rPr>
          <w:rFonts w:eastAsia="Times New Roman" w:cs="Times New Roman"/>
          <w:szCs w:val="24"/>
          <w:lang w:val="sr-Cyrl-RS"/>
        </w:rPr>
        <w:t>“</w:t>
      </w:r>
      <w:r w:rsidRPr="008744E3">
        <w:rPr>
          <w:rFonts w:eastAsia="Times New Roman" w:cs="Times New Roman"/>
          <w:szCs w:val="24"/>
          <w:lang w:val="sr-Cyrl-RS"/>
        </w:rPr>
        <w:t xml:space="preserve"> у 2022. години, из буџета ће бити обезбеђена средства у износу 125.000 евра. </w:t>
      </w:r>
      <w:r>
        <w:rPr>
          <w:rFonts w:eastAsia="Times New Roman" w:cs="Times New Roman"/>
          <w:szCs w:val="24"/>
          <w:lang w:val="sr-Cyrl-RS"/>
        </w:rPr>
        <w:t>Реализација активности „</w:t>
      </w:r>
      <w:r w:rsidRPr="00EC663C">
        <w:rPr>
          <w:rFonts w:eastAsia="Times New Roman" w:cs="Times New Roman"/>
          <w:szCs w:val="24"/>
          <w:lang w:val="sr-Cyrl-RS"/>
        </w:rPr>
        <w:t>Подршка локалним самоуправама за увођење концепта циркуларне економије кроз израду локалних мапа пута за циркуларну економију</w:t>
      </w:r>
      <w:r>
        <w:rPr>
          <w:rFonts w:eastAsia="Times New Roman" w:cs="Times New Roman"/>
          <w:szCs w:val="24"/>
          <w:lang w:val="sr-Cyrl-RS"/>
        </w:rPr>
        <w:t>“, финансираће се из</w:t>
      </w:r>
      <w:r>
        <w:rPr>
          <w:rFonts w:eastAsia="Times New Roman" w:cs="Times New Roman"/>
          <w:szCs w:val="24"/>
          <w:lang w:val="sr-Latn-RS"/>
        </w:rPr>
        <w:t xml:space="preserve"> </w:t>
      </w:r>
      <w:r>
        <w:rPr>
          <w:rFonts w:eastAsia="Times New Roman" w:cs="Times New Roman"/>
          <w:szCs w:val="24"/>
          <w:lang w:val="sr-Cyrl-RS"/>
        </w:rPr>
        <w:t>међународног пројекта</w:t>
      </w:r>
      <w:r>
        <w:rPr>
          <w:rFonts w:eastAsia="Times New Roman" w:cs="Times New Roman"/>
          <w:szCs w:val="24"/>
          <w:lang w:val="sr-Latn-RS"/>
        </w:rPr>
        <w:t xml:space="preserve">, </w:t>
      </w:r>
      <w:r>
        <w:rPr>
          <w:rFonts w:eastAsia="Times New Roman" w:cs="Times New Roman"/>
          <w:szCs w:val="24"/>
          <w:lang w:val="sr-Cyrl-RS"/>
        </w:rPr>
        <w:t xml:space="preserve">у укупном износу од 50.000 евра (16.000,00 у 2022; 17.000,00 у 2023. и 17.000,00 у 2024. години). За реализацију </w:t>
      </w:r>
      <w:r w:rsidRPr="001B2E8C">
        <w:rPr>
          <w:rFonts w:eastAsia="Times New Roman" w:cs="Times New Roman"/>
          <w:szCs w:val="24"/>
          <w:lang w:val="sr-Cyrl-RS"/>
        </w:rPr>
        <w:t xml:space="preserve">активности </w:t>
      </w:r>
      <w:r>
        <w:rPr>
          <w:rFonts w:eastAsia="Times New Roman" w:cs="Times New Roman"/>
          <w:szCs w:val="24"/>
          <w:lang w:val="sr-Cyrl-RS"/>
        </w:rPr>
        <w:t>„</w:t>
      </w:r>
      <w:r w:rsidRPr="00EC663C">
        <w:rPr>
          <w:rFonts w:eastAsia="Times New Roman" w:cs="Times New Roman"/>
          <w:szCs w:val="24"/>
          <w:lang w:val="sr-Cyrl-R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 обезбеђена су средства од међунар</w:t>
      </w:r>
      <w:r w:rsidRPr="001034DF">
        <w:rPr>
          <w:rFonts w:eastAsia="Times New Roman" w:cs="Times New Roman"/>
          <w:szCs w:val="24"/>
          <w:lang w:val="sr-Cyrl-RS"/>
        </w:rPr>
        <w:t>одног</w:t>
      </w:r>
      <w:r w:rsidRPr="00EC663C">
        <w:rPr>
          <w:rFonts w:eastAsia="Times New Roman" w:cs="Times New Roman"/>
          <w:szCs w:val="24"/>
          <w:lang w:val="sr-Cyrl-RS"/>
        </w:rPr>
        <w:t xml:space="preserve"> донатора у износу од 35.000,00 евра за 2022. годину. З</w:t>
      </w:r>
      <w:r w:rsidRPr="001034DF">
        <w:rPr>
          <w:rFonts w:eastAsia="Times New Roman" w:cs="Times New Roman"/>
          <w:szCs w:val="24"/>
          <w:lang w:val="sr-Cyrl-RS"/>
        </w:rPr>
        <w:t xml:space="preserve">а </w:t>
      </w:r>
      <w:r>
        <w:rPr>
          <w:rFonts w:eastAsia="Times New Roman" w:cs="Times New Roman"/>
          <w:szCs w:val="24"/>
          <w:lang w:val="sr-Cyrl-RS"/>
        </w:rPr>
        <w:t>реализацију поменуте</w:t>
      </w:r>
      <w:r w:rsidRPr="001034DF">
        <w:rPr>
          <w:rFonts w:eastAsia="Times New Roman" w:cs="Times New Roman"/>
          <w:szCs w:val="24"/>
          <w:lang w:val="sr-Cyrl-RS"/>
        </w:rPr>
        <w:t xml:space="preserve"> активност</w:t>
      </w:r>
      <w:r>
        <w:rPr>
          <w:rFonts w:eastAsia="Times New Roman" w:cs="Times New Roman"/>
          <w:szCs w:val="24"/>
          <w:lang w:val="sr-Cyrl-RS"/>
        </w:rPr>
        <w:t>и</w:t>
      </w:r>
      <w:r w:rsidRPr="001034DF">
        <w:rPr>
          <w:rFonts w:eastAsia="Times New Roman" w:cs="Times New Roman"/>
          <w:szCs w:val="24"/>
          <w:lang w:val="sr-Cyrl-RS"/>
        </w:rPr>
        <w:t xml:space="preserve"> средст</w:t>
      </w:r>
      <w:r w:rsidRPr="00EC663C">
        <w:rPr>
          <w:rFonts w:eastAsia="Times New Roman" w:cs="Times New Roman"/>
          <w:szCs w:val="24"/>
          <w:lang w:val="sr-Cyrl-RS"/>
        </w:rPr>
        <w:t>в</w:t>
      </w:r>
      <w:r>
        <w:rPr>
          <w:rFonts w:eastAsia="Times New Roman" w:cs="Times New Roman"/>
          <w:szCs w:val="24"/>
          <w:lang w:val="sr-Cyrl-RS"/>
        </w:rPr>
        <w:t>а</w:t>
      </w:r>
      <w:r w:rsidRPr="00EC663C">
        <w:rPr>
          <w:rFonts w:eastAsia="Times New Roman" w:cs="Times New Roman"/>
          <w:szCs w:val="24"/>
          <w:lang w:val="sr-Cyrl-RS"/>
        </w:rPr>
        <w:t xml:space="preserve"> </w:t>
      </w:r>
      <w:r>
        <w:rPr>
          <w:rFonts w:eastAsia="Times New Roman" w:cs="Times New Roman"/>
          <w:szCs w:val="24"/>
          <w:lang w:val="sr-Cyrl-RS"/>
        </w:rPr>
        <w:t xml:space="preserve">и извор финасирања </w:t>
      </w:r>
      <w:r w:rsidRPr="00EC663C">
        <w:rPr>
          <w:rFonts w:eastAsia="Times New Roman" w:cs="Times New Roman"/>
          <w:szCs w:val="24"/>
          <w:lang w:val="sr-Cyrl-RS"/>
        </w:rPr>
        <w:t>за 2023. и 2024. годину тек треба да се утврде.</w:t>
      </w:r>
      <w:r w:rsidRPr="008744E3" w:rsidDel="00787716">
        <w:rPr>
          <w:rFonts w:eastAsia="Times New Roman" w:cs="Times New Roman"/>
          <w:szCs w:val="24"/>
          <w:lang w:val="sr-Cyrl-RS"/>
        </w:rPr>
        <w:t xml:space="preserve"> </w:t>
      </w:r>
    </w:p>
    <w:p w14:paraId="6C405A24" w14:textId="77777777" w:rsidR="00DC7F92" w:rsidRPr="008744E3" w:rsidRDefault="00DC7F92" w:rsidP="004D22FA">
      <w:pPr>
        <w:widowControl w:val="0"/>
        <w:numPr>
          <w:ilvl w:val="0"/>
          <w:numId w:val="34"/>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7BCF1255"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Очекивано је повећање запошљавања услед развоја циркуларне економије и повећања привредног раста, у зависности од висине јавних улагања потребних за споровођење овог концепта. Послови у циркуларној економији могу да утичу на повећање запошљавања осетљивих група и жена. Крајњи исход ове реформе је побољшање квалитета животне средине и квалитета живота свих грађана, што се позитивно одражава и на здравље људи.</w:t>
      </w:r>
    </w:p>
    <w:p w14:paraId="51FF3F70"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2BB88D6A" w14:textId="7E01FFCE" w:rsidR="001F4238"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Увођење концепта циркуларне економије директно утиче на остваривање стратешких циљева и достизање одговарајућих стандарда у области заштите животне средине у кратком, средњем и дужем року. Циркуларна економија има важну улогу у развоју конкурентне економије која штеди ресурсе и утиче на смањење свих врста загађења, а посебно на смањење емисија са ефектом стаклене баште, што даље утиче на нискоугљенични развој, којем се тежи на глобалном нивоу.</w:t>
      </w:r>
    </w:p>
    <w:p w14:paraId="305D8C63"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2"/>
        <w:tblW w:w="9694" w:type="dxa"/>
        <w:tblInd w:w="-5" w:type="dxa"/>
        <w:tblLayout w:type="fixed"/>
        <w:tblLook w:val="04A0" w:firstRow="1" w:lastRow="0" w:firstColumn="1" w:lastColumn="0" w:noHBand="0" w:noVBand="1"/>
      </w:tblPr>
      <w:tblGrid>
        <w:gridCol w:w="3329"/>
        <w:gridCol w:w="2200"/>
        <w:gridCol w:w="4165"/>
      </w:tblGrid>
      <w:tr w:rsidR="00DC7F92" w:rsidRPr="008744E3" w14:paraId="7F8CBC72" w14:textId="77777777" w:rsidTr="00DC7F92">
        <w:trPr>
          <w:trHeight w:val="421"/>
        </w:trPr>
        <w:tc>
          <w:tcPr>
            <w:tcW w:w="3329" w:type="dxa"/>
            <w:vAlign w:val="center"/>
          </w:tcPr>
          <w:p w14:paraId="0FDF7C39"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0BAD4A69"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120C5E5C"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79F52130" w14:textId="77777777" w:rsidTr="00DC7F92">
        <w:trPr>
          <w:trHeight w:val="429"/>
        </w:trPr>
        <w:tc>
          <w:tcPr>
            <w:tcW w:w="3329" w:type="dxa"/>
          </w:tcPr>
          <w:p w14:paraId="55265720"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Непрепознавање користи од увођења концепта циркуларне економије од стране привредних субјеката, локалних самоуправа и научно-истраживачког сектора</w:t>
            </w:r>
          </w:p>
        </w:tc>
        <w:tc>
          <w:tcPr>
            <w:tcW w:w="2200" w:type="dxa"/>
          </w:tcPr>
          <w:p w14:paraId="3AE94E40"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Ниска</w:t>
            </w:r>
          </w:p>
        </w:tc>
        <w:tc>
          <w:tcPr>
            <w:tcW w:w="4165" w:type="dxa"/>
          </w:tcPr>
          <w:p w14:paraId="236BCF1C"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Програмом </w:t>
            </w:r>
            <w:r>
              <w:rPr>
                <w:rFonts w:eastAsia="Calibri"/>
                <w:sz w:val="20"/>
                <w:szCs w:val="20"/>
                <w:lang w:val="sr-Cyrl-RS"/>
              </w:rPr>
              <w:t>развоја</w:t>
            </w:r>
            <w:r w:rsidRPr="008744E3">
              <w:rPr>
                <w:rFonts w:eastAsia="Calibri"/>
                <w:sz w:val="20"/>
                <w:szCs w:val="20"/>
                <w:lang w:val="sr-Cyrl-RS"/>
              </w:rPr>
              <w:t xml:space="preserve"> циркуларн</w:t>
            </w:r>
            <w:r>
              <w:rPr>
                <w:rFonts w:eastAsia="Calibri"/>
                <w:sz w:val="20"/>
                <w:szCs w:val="20"/>
                <w:lang w:val="sr-Cyrl-RS"/>
              </w:rPr>
              <w:t>е</w:t>
            </w:r>
            <w:r w:rsidRPr="008744E3">
              <w:rPr>
                <w:rFonts w:eastAsia="Calibri"/>
                <w:sz w:val="20"/>
                <w:szCs w:val="20"/>
                <w:lang w:val="sr-Cyrl-RS"/>
              </w:rPr>
              <w:t xml:space="preserve"> економиј</w:t>
            </w:r>
            <w:r>
              <w:rPr>
                <w:rFonts w:eastAsia="Calibri"/>
                <w:sz w:val="20"/>
                <w:szCs w:val="20"/>
                <w:lang w:val="sr-Cyrl-RS"/>
              </w:rPr>
              <w:t>е</w:t>
            </w:r>
            <w:r w:rsidRPr="008744E3">
              <w:rPr>
                <w:rFonts w:eastAsia="Calibri"/>
                <w:sz w:val="20"/>
                <w:szCs w:val="20"/>
                <w:lang w:val="sr-Cyrl-RS"/>
              </w:rPr>
              <w:t xml:space="preserve"> дефинисаће се правац деловања РС у области циркуларне економије и одрживог развоја. Планирано је да се сви идентификовани актери укључе у препознавање користи које им циркуларна економија може донети.</w:t>
            </w:r>
          </w:p>
        </w:tc>
      </w:tr>
    </w:tbl>
    <w:p w14:paraId="4C071B3C" w14:textId="77777777" w:rsidR="00DC7F92" w:rsidRPr="008744E3" w:rsidRDefault="00DC7F92" w:rsidP="00DC7F92">
      <w:pPr>
        <w:spacing w:before="120"/>
        <w:rPr>
          <w:rFonts w:eastAsia="Calibri" w:cs="Times New Roman"/>
          <w:szCs w:val="24"/>
          <w:lang w:val="sr-Cyrl-CS"/>
        </w:rPr>
      </w:pPr>
    </w:p>
    <w:p w14:paraId="47AC9CBF" w14:textId="77777777"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32" w:name="_Toc89375536"/>
      <w:r w:rsidRPr="008C478F">
        <w:rPr>
          <w:rFonts w:eastAsia="Times New Roman" w:cs="Times New Roman"/>
          <w:b/>
          <w:lang w:val="sr-Cyrl-RS"/>
        </w:rPr>
        <w:t>5.2.3. Област ДИГИТАЛНА ТРАНСФОРМАЦИЈА</w:t>
      </w:r>
      <w:bookmarkEnd w:id="32"/>
    </w:p>
    <w:p w14:paraId="44061DF5" w14:textId="77777777" w:rsidR="00DC7F92" w:rsidRPr="008744E3" w:rsidRDefault="00DC7F92" w:rsidP="00DC7F92">
      <w:pPr>
        <w:spacing w:before="120"/>
        <w:rPr>
          <w:rFonts w:eastAsia="Calibri" w:cs="Times New Roman"/>
          <w:szCs w:val="24"/>
          <w:lang w:val="sr-Cyrl-RS"/>
        </w:rPr>
      </w:pPr>
      <w:r w:rsidRPr="008744E3">
        <w:rPr>
          <w:rFonts w:eastAsia="Times New Roman" w:cs="Times New Roman"/>
          <w:b/>
          <w:szCs w:val="24"/>
          <w:lang w:val="sr-Cyrl-RS"/>
        </w:rPr>
        <w:t>а) Анализа главних препрека</w:t>
      </w:r>
    </w:p>
    <w:p w14:paraId="39B8204A" w14:textId="77777777" w:rsidR="00DC7F92" w:rsidRPr="008744E3" w:rsidRDefault="00DC7F92" w:rsidP="00DC7F92">
      <w:pPr>
        <w:spacing w:after="60"/>
        <w:rPr>
          <w:rFonts w:eastAsia="Calibri" w:cs="Times New Roman"/>
          <w:szCs w:val="24"/>
          <w:lang w:val="sr-Cyrl-RS"/>
        </w:rPr>
      </w:pPr>
      <w:r w:rsidRPr="008744E3">
        <w:rPr>
          <w:rFonts w:eastAsia="Calibri" w:cs="Times New Roman"/>
          <w:szCs w:val="24"/>
          <w:lang w:val="sr-Cyrl-RS"/>
        </w:rPr>
        <w:t xml:space="preserve">Србија традиционално има развијену индустрију и пољопривредну базу са снажном интеграцијом у међународне ланце вредности. Међутим, </w:t>
      </w:r>
      <w:r w:rsidRPr="008744E3">
        <w:rPr>
          <w:rFonts w:eastAsia="Calibri" w:cs="Times New Roman"/>
          <w:b/>
          <w:szCs w:val="24"/>
          <w:lang w:val="sr-Cyrl-RS"/>
        </w:rPr>
        <w:t>најдинамичнији сектор у Србији у последњих 10 година је сектор информационо-комуникационих технологија (ИКТ), чиме овај</w:t>
      </w:r>
      <w:r w:rsidRPr="008744E3">
        <w:rPr>
          <w:rFonts w:eastAsia="Calibri" w:cs="Times New Roman"/>
          <w:b/>
          <w:szCs w:val="24"/>
        </w:rPr>
        <w:t xml:space="preserve"> </w:t>
      </w:r>
      <w:r w:rsidRPr="008744E3">
        <w:rPr>
          <w:rFonts w:eastAsia="Calibri" w:cs="Times New Roman"/>
          <w:b/>
          <w:szCs w:val="24"/>
          <w:lang w:val="sr-Cyrl-RS"/>
        </w:rPr>
        <w:t>сектор</w:t>
      </w:r>
      <w:r w:rsidRPr="008744E3">
        <w:rPr>
          <w:rFonts w:eastAsia="Calibri" w:cs="Times New Roman"/>
          <w:b/>
          <w:szCs w:val="24"/>
        </w:rPr>
        <w:t xml:space="preserve"> </w:t>
      </w:r>
      <w:r w:rsidRPr="008744E3">
        <w:rPr>
          <w:rFonts w:eastAsia="Calibri" w:cs="Times New Roman"/>
          <w:b/>
          <w:szCs w:val="24"/>
          <w:lang w:val="sr-Cyrl-RS"/>
        </w:rPr>
        <w:t>постаје носилац развоја и економског раста.</w:t>
      </w:r>
      <w:r w:rsidRPr="008744E3">
        <w:rPr>
          <w:rFonts w:eastAsia="Calibri" w:cs="Times New Roman"/>
          <w:szCs w:val="24"/>
          <w:lang w:val="sr-Cyrl-RS"/>
        </w:rPr>
        <w:t xml:space="preserve"> </w:t>
      </w:r>
      <w:r w:rsidRPr="008744E3">
        <w:rPr>
          <w:rFonts w:eastAsia="Calibri" w:cs="Times New Roman"/>
          <w:szCs w:val="24"/>
          <w:lang w:val="sr-Cyrl-RS"/>
        </w:rPr>
        <w:lastRenderedPageBreak/>
        <w:t>Извоз ИКТ услуга бележи континуиран раст од преко 20% у периоду од 2015-2019.</w:t>
      </w:r>
      <w:r w:rsidRPr="008744E3">
        <w:rPr>
          <w:rFonts w:eastAsia="Calibri" w:cs="Times New Roman"/>
          <w:szCs w:val="24"/>
          <w:vertAlign w:val="superscript"/>
          <w:lang w:val="sr-Cyrl-RS"/>
        </w:rPr>
        <w:footnoteReference w:id="55"/>
      </w:r>
      <w:r w:rsidRPr="008744E3">
        <w:rPr>
          <w:rFonts w:eastAsia="Calibri" w:cs="Times New Roman"/>
          <w:szCs w:val="24"/>
          <w:lang w:val="sr-Cyrl-RS"/>
        </w:rPr>
        <w:t xml:space="preserve"> године</w:t>
      </w:r>
      <w:r w:rsidRPr="008744E3">
        <w:rPr>
          <w:rFonts w:eastAsia="Calibri" w:cs="Times New Roman"/>
          <w:szCs w:val="24"/>
        </w:rPr>
        <w:t>.</w:t>
      </w:r>
      <w:r w:rsidRPr="008744E3">
        <w:rPr>
          <w:rFonts w:eastAsia="Calibri" w:cs="Times New Roman"/>
          <w:szCs w:val="24"/>
          <w:lang w:val="sr-Cyrl-RS"/>
        </w:rPr>
        <w:t xml:space="preserve"> Избијањем глобалне пандемије долази до смањења тражње у свим секторима, па је извоз ИКТ услуга порастао само за 1,2% у 2020.</w:t>
      </w:r>
      <w:r w:rsidRPr="008744E3">
        <w:rPr>
          <w:rFonts w:eastAsia="Calibri" w:cs="Times New Roman"/>
          <w:szCs w:val="24"/>
          <w:vertAlign w:val="superscript"/>
          <w:lang w:val="sr-Cyrl-RS"/>
        </w:rPr>
        <w:footnoteReference w:id="56"/>
      </w:r>
      <w:r w:rsidRPr="008744E3">
        <w:rPr>
          <w:rFonts w:eastAsia="Calibri" w:cs="Times New Roman"/>
          <w:szCs w:val="24"/>
          <w:lang w:val="sr-Cyrl-RS"/>
        </w:rPr>
        <w:t xml:space="preserve"> у односу на 2019. годину као последица везаности за страна тржишта. Извоз ИКТ услуга (1,44 милијарде евра) представља 23,3% укупног извоза</w:t>
      </w:r>
      <w:r w:rsidRPr="008744E3">
        <w:rPr>
          <w:rFonts w:eastAsia="Calibri" w:cs="Times New Roman"/>
          <w:szCs w:val="24"/>
        </w:rPr>
        <w:t xml:space="preserve"> </w:t>
      </w:r>
      <w:r w:rsidRPr="008744E3">
        <w:rPr>
          <w:rFonts w:eastAsia="Calibri" w:cs="Times New Roman"/>
          <w:szCs w:val="24"/>
          <w:lang w:val="sr-Cyrl-RS"/>
        </w:rPr>
        <w:t xml:space="preserve">услуга у 2020. години, док остварени суфицит у размени ИКТ услуга од 908 милиона евра представља повећање од 13,3% у односу на 2019. годину. Упркос паду прихода и броја пројеката, ИТ компаније у Србији успеле су да очувају ликвидност и људске ресурсе, тако да извоз ИКТ услуга бележи раст од </w:t>
      </w:r>
      <w:r w:rsidRPr="008744E3">
        <w:rPr>
          <w:rFonts w:eastAsia="Calibri" w:cs="Times New Roman"/>
          <w:szCs w:val="24"/>
          <w:lang w:val="sr-Latn-RS"/>
        </w:rPr>
        <w:t>25,5</w:t>
      </w:r>
      <w:r w:rsidRPr="008744E3">
        <w:rPr>
          <w:rFonts w:eastAsia="Calibri" w:cs="Times New Roman"/>
          <w:szCs w:val="24"/>
          <w:lang w:val="sr-Cyrl-RS"/>
        </w:rPr>
        <w:t>% у периоду јануар-август 2021. у односу на исти период претходне године. Иако запослени у ИКТ сектору представљају само 2,</w:t>
      </w:r>
      <w:r w:rsidRPr="008744E3">
        <w:rPr>
          <w:rFonts w:eastAsia="Calibri" w:cs="Times New Roman"/>
          <w:szCs w:val="24"/>
          <w:lang w:val="sr-Latn-RS"/>
        </w:rPr>
        <w:t>5</w:t>
      </w:r>
      <w:r w:rsidRPr="008744E3">
        <w:rPr>
          <w:rFonts w:eastAsia="Calibri" w:cs="Times New Roman"/>
          <w:szCs w:val="24"/>
          <w:lang w:val="sr-Cyrl-RS"/>
        </w:rPr>
        <w:t>% укупне регистроване запослености</w:t>
      </w:r>
      <w:r w:rsidRPr="008744E3">
        <w:rPr>
          <w:rFonts w:eastAsia="Calibri" w:cs="Times New Roman"/>
          <w:szCs w:val="24"/>
          <w:vertAlign w:val="superscript"/>
          <w:lang w:val="sr-Cyrl-RS"/>
        </w:rPr>
        <w:footnoteReference w:id="57"/>
      </w:r>
      <w:r w:rsidRPr="008744E3">
        <w:rPr>
          <w:rFonts w:eastAsia="Calibri" w:cs="Times New Roman"/>
          <w:szCs w:val="24"/>
          <w:lang w:val="sr-Cyrl-RS"/>
        </w:rPr>
        <w:t>, број запослених у овом сектору значајно расте из године у годину (</w:t>
      </w:r>
      <w:r w:rsidRPr="008744E3">
        <w:rPr>
          <w:rFonts w:eastAsia="Calibri" w:cs="Times New Roman"/>
          <w:szCs w:val="24"/>
          <w:lang w:val="sr-Latn-RS"/>
        </w:rPr>
        <w:t xml:space="preserve">12% </w:t>
      </w:r>
      <w:r w:rsidRPr="008744E3">
        <w:rPr>
          <w:rFonts w:eastAsia="Calibri" w:cs="Times New Roman"/>
          <w:szCs w:val="24"/>
          <w:lang w:val="sr-Cyrl-RS"/>
        </w:rPr>
        <w:t>у</w:t>
      </w:r>
      <w:r w:rsidRPr="008744E3">
        <w:rPr>
          <w:rFonts w:eastAsia="Calibri" w:cs="Times New Roman"/>
          <w:szCs w:val="24"/>
          <w:lang w:val="sr-Latn-RS"/>
        </w:rPr>
        <w:t xml:space="preserve"> 2020, </w:t>
      </w:r>
      <w:r w:rsidRPr="008744E3">
        <w:rPr>
          <w:rFonts w:eastAsia="Calibri" w:cs="Times New Roman"/>
          <w:szCs w:val="24"/>
          <w:lang w:val="sr-Cyrl-RS"/>
        </w:rPr>
        <w:t>7% у 2019. и 10% у 2018).</w:t>
      </w:r>
    </w:p>
    <w:p w14:paraId="67BB7A04" w14:textId="77777777" w:rsidR="00DC7F92" w:rsidRPr="008744E3" w:rsidRDefault="00DC7F92" w:rsidP="00DC7F92">
      <w:pPr>
        <w:spacing w:after="60"/>
        <w:rPr>
          <w:rFonts w:eastAsia="Calibri" w:cs="Times New Roman"/>
          <w:szCs w:val="24"/>
          <w:lang w:val="sr-Cyrl-RS"/>
        </w:rPr>
      </w:pPr>
      <w:r w:rsidRPr="008744E3">
        <w:rPr>
          <w:rFonts w:eastAsia="Calibri" w:cs="Times New Roman"/>
          <w:szCs w:val="24"/>
          <w:lang w:val="sr-Cyrl-RS"/>
        </w:rPr>
        <w:t>Удео Србије у извозу ИТ услуга је око 0,3% глобалног извоза и има простора за даљи раст, али за то су потребни ИТ стручњаци који недостају. На пример, да би се достигло 2 милијарде евра извоза ИТ услуга, према садашњем моделу рада потребно је додатних 30.000 ИТ стручњака</w:t>
      </w:r>
      <w:r w:rsidRPr="008744E3">
        <w:rPr>
          <w:rFonts w:eastAsia="Calibri" w:cs="Times New Roman"/>
          <w:szCs w:val="24"/>
          <w:vertAlign w:val="superscript"/>
          <w:lang w:val="sr-Cyrl-RS"/>
        </w:rPr>
        <w:footnoteReference w:id="58"/>
      </w:r>
      <w:r w:rsidRPr="008744E3">
        <w:rPr>
          <w:rFonts w:eastAsia="Calibri" w:cs="Times New Roman"/>
          <w:szCs w:val="24"/>
          <w:lang w:val="sr-Cyrl-RS"/>
        </w:rPr>
        <w:t>. На овдашњем тржишту највећа борба међу ИТ компанијама се одвија око привлачења одговарајућих радника – до пре годину или две надметале су се за најбоље стручњаке, а сада за најбоље практиканте док су још на студијама јер је тражња за кадровима далеко већа од понуде.</w:t>
      </w:r>
    </w:p>
    <w:p w14:paraId="1E44E211" w14:textId="77777777" w:rsidR="00DC7F92" w:rsidRPr="008744E3" w:rsidRDefault="00DC7F92" w:rsidP="00DC7F92">
      <w:pPr>
        <w:widowControl w:val="0"/>
        <w:spacing w:after="60"/>
        <w:rPr>
          <w:rFonts w:eastAsia="Calibri" w:cs="Times New Roman"/>
          <w:szCs w:val="24"/>
          <w:lang w:val="sr-Latn-RS"/>
        </w:rPr>
      </w:pPr>
      <w:r w:rsidRPr="008744E3">
        <w:rPr>
          <w:rFonts w:eastAsia="Times New Roman" w:cs="Times New Roman"/>
          <w:color w:val="000000"/>
          <w:szCs w:val="24"/>
          <w:lang w:val="sr-Cyrl-RS"/>
        </w:rPr>
        <w:t xml:space="preserve">Према </w:t>
      </w:r>
      <w:r w:rsidRPr="008744E3">
        <w:rPr>
          <w:rFonts w:eastAsia="Times New Roman" w:cs="Times New Roman"/>
          <w:b/>
          <w:color w:val="000000"/>
          <w:szCs w:val="24"/>
          <w:lang w:val="sr-Cyrl-RS"/>
        </w:rPr>
        <w:t>индексу мрежне спремности</w:t>
      </w:r>
      <w:r w:rsidRPr="008744E3">
        <w:rPr>
          <w:rFonts w:eastAsia="Times New Roman" w:cs="Times New Roman"/>
          <w:color w:val="000000"/>
          <w:szCs w:val="24"/>
          <w:lang w:val="sr-Cyrl-RS"/>
        </w:rPr>
        <w:t xml:space="preserve"> (</w:t>
      </w:r>
      <w:r w:rsidRPr="008744E3">
        <w:rPr>
          <w:rFonts w:eastAsia="Times New Roman" w:cs="Times New Roman"/>
          <w:i/>
          <w:color w:val="000000"/>
          <w:szCs w:val="24"/>
          <w:lang w:val="sr-Cyrl-RS"/>
        </w:rPr>
        <w:t>Network Readiness Index 2020</w:t>
      </w:r>
      <w:r w:rsidRPr="008744E3">
        <w:rPr>
          <w:rFonts w:eastAsia="Times New Roman" w:cs="Times New Roman"/>
          <w:i/>
          <w:color w:val="000000"/>
          <w:szCs w:val="24"/>
          <w:vertAlign w:val="superscript"/>
          <w:lang w:val="sr-Cyrl-RS"/>
        </w:rPr>
        <w:footnoteReference w:id="59"/>
      </w:r>
      <w:r w:rsidRPr="008744E3">
        <w:rPr>
          <w:rFonts w:eastAsia="Times New Roman" w:cs="Times New Roman"/>
          <w:color w:val="000000"/>
          <w:szCs w:val="24"/>
          <w:lang w:val="sr-Cyrl-RS"/>
        </w:rPr>
        <w:t xml:space="preserve">), као индикатору развоја дигиталне економије односно </w:t>
      </w:r>
      <w:r w:rsidRPr="008744E3">
        <w:rPr>
          <w:rFonts w:eastAsia="Times New Roman" w:cs="Times New Roman"/>
          <w:b/>
          <w:color w:val="000000"/>
          <w:szCs w:val="24"/>
          <w:lang w:val="sr-Cyrl-RS"/>
        </w:rPr>
        <w:t>спремности земље за укључење у ИТ сектор</w:t>
      </w:r>
      <w:r w:rsidRPr="008744E3">
        <w:rPr>
          <w:rFonts w:eastAsia="Times New Roman" w:cs="Times New Roman"/>
          <w:color w:val="000000"/>
          <w:szCs w:val="24"/>
          <w:lang w:val="sr-Cyrl-RS"/>
        </w:rPr>
        <w:t>, Србија је у 20</w:t>
      </w:r>
      <w:r w:rsidRPr="008744E3">
        <w:rPr>
          <w:rFonts w:eastAsia="Times New Roman" w:cs="Times New Roman"/>
          <w:color w:val="000000"/>
          <w:szCs w:val="24"/>
        </w:rPr>
        <w:t>20</w:t>
      </w:r>
      <w:r w:rsidRPr="008744E3">
        <w:rPr>
          <w:rFonts w:eastAsia="Times New Roman" w:cs="Times New Roman"/>
          <w:color w:val="000000"/>
          <w:szCs w:val="24"/>
          <w:lang w:val="sr-Cyrl-RS"/>
        </w:rPr>
        <w:t>. заузела 52. позицију од укупно 134 рангиране земље. Највиши напредак остварен је у дигиталној трансформацији у области економије.</w:t>
      </w:r>
    </w:p>
    <w:p w14:paraId="53A16E42"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b/>
          <w:szCs w:val="24"/>
          <w:lang w:val="sr-Cyrl-RS"/>
        </w:rPr>
        <w:t>Србиј</w:t>
      </w:r>
      <w:r w:rsidRPr="008744E3">
        <w:rPr>
          <w:rFonts w:eastAsia="Calibri" w:cs="Times New Roman"/>
          <w:b/>
          <w:szCs w:val="24"/>
          <w:lang w:val="sr-Latn-RS"/>
        </w:rPr>
        <w:t>a</w:t>
      </w:r>
      <w:r w:rsidRPr="008744E3">
        <w:rPr>
          <w:rFonts w:eastAsia="Calibri" w:cs="Times New Roman"/>
          <w:b/>
          <w:szCs w:val="24"/>
          <w:lang w:val="sr-Cyrl-RS"/>
        </w:rPr>
        <w:t xml:space="preserve"> је посвећена развоју дигиталне трансформације, што се види и кроз изузетно унапређење стратешког и законског оквира.</w:t>
      </w:r>
      <w:r w:rsidRPr="008744E3">
        <w:rPr>
          <w:rFonts w:eastAsia="Calibri" w:cs="Times New Roman"/>
          <w:szCs w:val="24"/>
          <w:lang w:val="sr-Cyrl-RS"/>
        </w:rPr>
        <w:t xml:space="preserve"> У</w:t>
      </w:r>
      <w:r w:rsidRPr="008744E3">
        <w:rPr>
          <w:rFonts w:eastAsia="Calibri" w:cs="Times New Roman"/>
          <w:szCs w:val="24"/>
          <w:lang w:val="sr-Latn-RS"/>
        </w:rPr>
        <w:t>св</w:t>
      </w:r>
      <w:r w:rsidRPr="008744E3">
        <w:rPr>
          <w:rFonts w:eastAsia="Calibri" w:cs="Times New Roman"/>
          <w:szCs w:val="24"/>
          <w:lang w:val="sr-Cyrl-RS"/>
        </w:rPr>
        <w:t xml:space="preserve">ојене су </w:t>
      </w:r>
      <w:r w:rsidRPr="008744E3">
        <w:rPr>
          <w:rFonts w:eastAsia="Calibri" w:cs="Times New Roman"/>
          <w:i/>
          <w:szCs w:val="24"/>
          <w:lang w:val="sr-Cyrl-RS"/>
        </w:rPr>
        <w:t>Стратегија развоја дигиталних вештина за период 2020-2024. године</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 xml:space="preserve">Службени гласник РС“, бр. 21/20) која подразумева унапређење дигиталних знања и вештина свих грађана, </w:t>
      </w:r>
      <w:r w:rsidRPr="008744E3">
        <w:rPr>
          <w:rFonts w:eastAsia="Calibri" w:cs="Times New Roman"/>
          <w:i/>
          <w:szCs w:val="24"/>
          <w:lang w:val="sr-Cyrl-RS"/>
        </w:rPr>
        <w:t>Програм развоја електронске управе у РС за период од 2020. до 2022. године</w:t>
      </w:r>
      <w:r w:rsidRPr="008744E3">
        <w:rPr>
          <w:rFonts w:eastAsia="Calibri" w:cs="Times New Roman"/>
          <w:szCs w:val="24"/>
          <w:lang w:val="sr-Cyrl-RS"/>
        </w:rPr>
        <w:t xml:space="preserve"> и </w:t>
      </w:r>
      <w:r w:rsidRPr="008744E3">
        <w:rPr>
          <w:rFonts w:eastAsia="Calibri" w:cs="Times New Roman"/>
          <w:i/>
          <w:szCs w:val="24"/>
          <w:lang w:val="sr-Cyrl-RS"/>
        </w:rPr>
        <w:t>Акциони план</w:t>
      </w:r>
      <w:r w:rsidRPr="008744E3">
        <w:rPr>
          <w:rFonts w:eastAsia="Calibri" w:cs="Times New Roman"/>
          <w:szCs w:val="24"/>
          <w:lang w:val="sr-Cyrl-RS"/>
        </w:rPr>
        <w:t xml:space="preserve"> за његово спровођење (</w:t>
      </w:r>
      <w:r>
        <w:rPr>
          <w:rFonts w:eastAsia="Calibri" w:cs="Times New Roman"/>
          <w:szCs w:val="24"/>
          <w:lang w:val="sr-Cyrl-RS"/>
        </w:rPr>
        <w:t>„</w:t>
      </w:r>
      <w:r w:rsidRPr="008744E3">
        <w:rPr>
          <w:rFonts w:eastAsia="Calibri" w:cs="Times New Roman"/>
          <w:szCs w:val="24"/>
          <w:lang w:val="sr-Cyrl-RS"/>
        </w:rPr>
        <w:t>Службени гласник РС“</w:t>
      </w:r>
      <w:r w:rsidRPr="008744E3">
        <w:rPr>
          <w:rFonts w:eastAsia="Calibri" w:cs="Times New Roman"/>
          <w:szCs w:val="24"/>
          <w:lang w:val="sr-Latn-RS"/>
        </w:rPr>
        <w:t>,</w:t>
      </w:r>
      <w:r w:rsidRPr="008744E3">
        <w:rPr>
          <w:rFonts w:eastAsia="Calibri" w:cs="Times New Roman"/>
          <w:szCs w:val="24"/>
          <w:lang w:val="sr-Cyrl-RS"/>
        </w:rPr>
        <w:t xml:space="preserve"> бр.</w:t>
      </w:r>
      <w:r>
        <w:rPr>
          <w:rFonts w:eastAsia="Calibri" w:cs="Times New Roman"/>
          <w:szCs w:val="24"/>
          <w:lang w:val="sr-Cyrl-RS"/>
        </w:rPr>
        <w:t xml:space="preserve"> </w:t>
      </w:r>
      <w:r w:rsidRPr="008744E3">
        <w:rPr>
          <w:rFonts w:eastAsia="Calibri" w:cs="Times New Roman"/>
          <w:szCs w:val="24"/>
          <w:lang w:val="sr-Cyrl-RS"/>
        </w:rPr>
        <w:t xml:space="preserve">85/20) са циљем развоја ефикасне и кориснички орјентисане управе у дигиталном окружењу, као и </w:t>
      </w:r>
      <w:r w:rsidRPr="008744E3">
        <w:rPr>
          <w:rFonts w:eastAsia="Calibri" w:cs="Times New Roman"/>
          <w:i/>
          <w:szCs w:val="24"/>
          <w:lang w:val="sr-Cyrl-RS"/>
        </w:rPr>
        <w:t>Стратегија развоја информационог друштва и информационе безбедности у Републици Србији за период од 2021. до 2026. године</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Службени гласник РС“. бр. 86/21). Три веома значајна закона и</w:t>
      </w:r>
      <w:r w:rsidRPr="008744E3">
        <w:rPr>
          <w:rFonts w:eastAsia="Times New Roman" w:cs="Times New Roman"/>
          <w:color w:val="000000"/>
          <w:szCs w:val="24"/>
          <w:lang w:val="sr-Cyrl-RS"/>
        </w:rPr>
        <w:t xml:space="preserve">з ове области, </w:t>
      </w:r>
      <w:r w:rsidRPr="008744E3">
        <w:rPr>
          <w:rFonts w:eastAsia="Times New Roman" w:cs="Times New Roman"/>
          <w:i/>
          <w:color w:val="000000"/>
          <w:szCs w:val="24"/>
          <w:lang w:val="sr-Cyrl-RS"/>
        </w:rPr>
        <w:t xml:space="preserve">Закон о дигиталној имовини </w:t>
      </w:r>
      <w:r w:rsidRPr="008744E3">
        <w:rPr>
          <w:rFonts w:eastAsia="Times New Roman" w:cs="Times New Roman"/>
          <w:color w:val="000000"/>
          <w:szCs w:val="24"/>
          <w:lang w:val="sr-Cyrl-RS"/>
        </w:rPr>
        <w:t>(</w:t>
      </w:r>
      <w:r>
        <w:rPr>
          <w:rFonts w:eastAsia="Times New Roman" w:cs="Times New Roman"/>
          <w:color w:val="000000"/>
          <w:szCs w:val="24"/>
          <w:lang w:val="sr-Cyrl-RS"/>
        </w:rPr>
        <w:t>„</w:t>
      </w:r>
      <w:r w:rsidRPr="008744E3">
        <w:rPr>
          <w:rFonts w:eastAsia="Times New Roman" w:cs="Times New Roman"/>
          <w:color w:val="000000"/>
          <w:szCs w:val="24"/>
          <w:lang w:val="sr-Cyrl-RS"/>
        </w:rPr>
        <w:t>С</w:t>
      </w:r>
      <w:r>
        <w:rPr>
          <w:rFonts w:eastAsia="Times New Roman" w:cs="Times New Roman"/>
          <w:color w:val="000000"/>
          <w:szCs w:val="24"/>
          <w:lang w:val="sr-Cyrl-RS"/>
        </w:rPr>
        <w:t>лужбени гласник</w:t>
      </w:r>
      <w:r w:rsidRPr="008744E3">
        <w:rPr>
          <w:rFonts w:eastAsia="Times New Roman" w:cs="Times New Roman"/>
          <w:color w:val="000000"/>
          <w:szCs w:val="24"/>
          <w:lang w:val="sr-Cyrl-RS"/>
        </w:rPr>
        <w:t xml:space="preserve"> РС</w:t>
      </w:r>
      <w:r>
        <w:rPr>
          <w:rFonts w:eastAsia="Times New Roman" w:cs="Times New Roman"/>
          <w:color w:val="000000"/>
          <w:szCs w:val="24"/>
          <w:lang w:val="sr-Cyrl-RS"/>
        </w:rPr>
        <w:t>“, бр.</w:t>
      </w:r>
      <w:r w:rsidRPr="008744E3">
        <w:rPr>
          <w:rFonts w:eastAsia="Times New Roman" w:cs="Times New Roman"/>
          <w:color w:val="000000"/>
          <w:szCs w:val="24"/>
          <w:lang w:val="sr-Cyrl-RS"/>
        </w:rPr>
        <w:t xml:space="preserve"> 153/20), </w:t>
      </w:r>
      <w:r w:rsidRPr="008744E3">
        <w:rPr>
          <w:rFonts w:eastAsia="Times New Roman" w:cs="Times New Roman"/>
          <w:i/>
          <w:color w:val="000000"/>
          <w:szCs w:val="24"/>
          <w:lang w:val="sr-Cyrl-RS"/>
        </w:rPr>
        <w:t>Зaкoн o eлeктрoнскoм фaктурисaњу</w:t>
      </w:r>
      <w:r w:rsidRPr="008744E3">
        <w:rPr>
          <w:rFonts w:eastAsia="Times New Roman" w:cs="Times New Roman"/>
          <w:color w:val="000000"/>
          <w:szCs w:val="24"/>
          <w:lang w:val="sr-Cyrl-RS"/>
        </w:rPr>
        <w:t xml:space="preserve"> (</w:t>
      </w:r>
      <w:r>
        <w:rPr>
          <w:rFonts w:eastAsia="Calibri" w:cs="Times New Roman"/>
          <w:szCs w:val="24"/>
          <w:lang w:val="sr-Cyrl-RS"/>
        </w:rPr>
        <w:t>„</w:t>
      </w:r>
      <w:r w:rsidRPr="008744E3">
        <w:rPr>
          <w:rFonts w:eastAsia="Calibri" w:cs="Times New Roman"/>
          <w:szCs w:val="24"/>
          <w:lang w:val="sr-Cyrl-RS"/>
        </w:rPr>
        <w:t>Службени гласник РС“, бр.</w:t>
      </w:r>
      <w:r>
        <w:rPr>
          <w:rFonts w:eastAsia="Calibri" w:cs="Times New Roman"/>
          <w:szCs w:val="24"/>
          <w:lang w:val="sr-Cyrl-RS"/>
        </w:rPr>
        <w:t xml:space="preserve"> </w:t>
      </w:r>
      <w:r w:rsidRPr="008744E3">
        <w:rPr>
          <w:rFonts w:eastAsia="Times New Roman" w:cs="Times New Roman"/>
          <w:color w:val="000000"/>
          <w:szCs w:val="24"/>
          <w:lang w:val="sr-Cyrl-RS"/>
        </w:rPr>
        <w:t xml:space="preserve">44/21) и измене и допуне </w:t>
      </w:r>
      <w:r w:rsidRPr="008744E3">
        <w:rPr>
          <w:rFonts w:eastAsia="Times New Roman" w:cs="Times New Roman"/>
          <w:i/>
          <w:color w:val="000000"/>
          <w:szCs w:val="24"/>
          <w:lang w:val="sr-Cyrl-RS"/>
        </w:rPr>
        <w:t>Закона о електронском документу, електронској идентификацији и услугама од поверења у електронском пословању</w:t>
      </w:r>
      <w:r w:rsidRPr="008744E3">
        <w:rPr>
          <w:rFonts w:eastAsia="Times New Roman" w:cs="Times New Roman"/>
          <w:color w:val="000000"/>
          <w:szCs w:val="24"/>
          <w:lang w:val="sr-Cyrl-RS"/>
        </w:rPr>
        <w:t xml:space="preserve"> (</w:t>
      </w:r>
      <w:r>
        <w:rPr>
          <w:rFonts w:eastAsia="Calibri" w:cs="Times New Roman"/>
          <w:szCs w:val="24"/>
          <w:lang w:val="sr-Cyrl-RS"/>
        </w:rPr>
        <w:t>„</w:t>
      </w:r>
      <w:r w:rsidRPr="008744E3">
        <w:rPr>
          <w:rFonts w:eastAsia="Calibri" w:cs="Times New Roman"/>
          <w:szCs w:val="24"/>
          <w:lang w:val="sr-Cyrl-RS"/>
        </w:rPr>
        <w:t>Службени гласник РС“, бр.</w:t>
      </w:r>
      <w:r w:rsidRPr="008744E3">
        <w:rPr>
          <w:rFonts w:eastAsia="Times New Roman" w:cs="Times New Roman"/>
          <w:color w:val="000000"/>
          <w:szCs w:val="24"/>
          <w:lang w:val="sr-Cyrl-RS"/>
        </w:rPr>
        <w:t xml:space="preserve"> 52/21) усвојени су т</w:t>
      </w:r>
      <w:r w:rsidRPr="008744E3">
        <w:rPr>
          <w:rFonts w:eastAsia="Calibri" w:cs="Times New Roman"/>
          <w:szCs w:val="24"/>
          <w:lang w:val="sr-Cyrl-RS"/>
        </w:rPr>
        <w:t xml:space="preserve">оком 2020. и 2021. године. </w:t>
      </w:r>
      <w:r w:rsidRPr="008744E3">
        <w:rPr>
          <w:rFonts w:eastAsia="Calibri" w:cs="Times New Roman"/>
          <w:i/>
          <w:szCs w:val="24"/>
          <w:lang w:val="sr-Cyrl-RS"/>
        </w:rPr>
        <w:t>Нацрт закона о електронским комуникацијама</w:t>
      </w:r>
      <w:r w:rsidRPr="008744E3">
        <w:rPr>
          <w:rFonts w:eastAsia="Calibri" w:cs="Times New Roman"/>
          <w:szCs w:val="24"/>
          <w:lang w:val="sr-Cyrl-RS"/>
        </w:rPr>
        <w:t>, чије се усвајање очекује до краја 2021. године, обухвата</w:t>
      </w:r>
      <w:r w:rsidRPr="008744E3">
        <w:rPr>
          <w:rFonts w:ascii="Calibri" w:eastAsia="Calibri" w:hAnsi="Calibri" w:cs="Times New Roman"/>
        </w:rPr>
        <w:t xml:space="preserve"> </w:t>
      </w:r>
      <w:r w:rsidRPr="008744E3">
        <w:rPr>
          <w:rFonts w:eastAsia="Calibri" w:cs="Times New Roman"/>
          <w:szCs w:val="24"/>
          <w:lang w:val="sr-Cyrl-RS"/>
        </w:rPr>
        <w:t xml:space="preserve">транспоновање одредби Европског законика електронских комуникација, </w:t>
      </w:r>
      <w:r w:rsidRPr="008744E3">
        <w:rPr>
          <w:rFonts w:eastAsia="Times New Roman" w:cs="Times New Roman"/>
          <w:color w:val="000000"/>
          <w:szCs w:val="24"/>
          <w:lang w:val="sr-Cyrl-RS"/>
        </w:rPr>
        <w:t>чиме ће бити завршена хармонизација са регулаторним оквиром ЕУ у области електронских комуникација</w:t>
      </w:r>
      <w:r w:rsidRPr="008744E3">
        <w:rPr>
          <w:rFonts w:eastAsia="Calibri" w:cs="Times New Roman"/>
          <w:szCs w:val="24"/>
          <w:lang w:val="sr-Cyrl-RS"/>
        </w:rPr>
        <w:t>.</w:t>
      </w:r>
    </w:p>
    <w:p w14:paraId="730FA9C6"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b/>
          <w:szCs w:val="24"/>
          <w:lang w:val="sr-Cyrl-RS"/>
        </w:rPr>
        <w:t>Глобални трендови као што су дигитална трансформација пословних модела, све више имају утицај на све индустрије и секторе у Србији.</w:t>
      </w:r>
      <w:r w:rsidRPr="008744E3">
        <w:rPr>
          <w:rFonts w:eastAsia="Calibri" w:cs="Times New Roman"/>
          <w:szCs w:val="24"/>
          <w:lang w:val="sr-Cyrl-RS"/>
        </w:rPr>
        <w:t xml:space="preserve"> Примарне потребе малих и</w:t>
      </w:r>
      <w:r w:rsidRPr="008744E3">
        <w:rPr>
          <w:rFonts w:eastAsia="Calibri" w:cs="Times New Roman"/>
          <w:szCs w:val="24"/>
          <w:lang w:val="sr-Latn-RS"/>
        </w:rPr>
        <w:t xml:space="preserve"> </w:t>
      </w:r>
      <w:r w:rsidRPr="008744E3">
        <w:rPr>
          <w:rFonts w:eastAsia="Calibri" w:cs="Times New Roman"/>
          <w:szCs w:val="24"/>
          <w:lang w:val="sr-Cyrl-RS"/>
        </w:rPr>
        <w:t xml:space="preserve">средњих предузећа у овом процесу су стварање повољне пословне климе и законског </w:t>
      </w:r>
      <w:r w:rsidRPr="008744E3">
        <w:rPr>
          <w:rFonts w:eastAsia="Calibri" w:cs="Times New Roman"/>
          <w:szCs w:val="24"/>
          <w:lang w:val="sr-Cyrl-RS"/>
        </w:rPr>
        <w:lastRenderedPageBreak/>
        <w:t xml:space="preserve">оквира, у комбинацији са пружањем практичних знања и савета како да се иницирају и успешно примене дигитална решења у компанијама свих величина и управљачким структурама свих врста. Пратећи ове потребе, основан је </w:t>
      </w:r>
      <w:r w:rsidRPr="008744E3">
        <w:rPr>
          <w:rFonts w:eastAsia="Calibri" w:cs="Times New Roman"/>
          <w:b/>
          <w:szCs w:val="24"/>
          <w:lang w:val="sr-Cyrl-RS"/>
        </w:rPr>
        <w:t>Центар за дигиталну трансформацију</w:t>
      </w:r>
      <w:r w:rsidRPr="008744E3">
        <w:rPr>
          <w:rFonts w:eastAsia="Calibri" w:cs="Times New Roman"/>
          <w:szCs w:val="24"/>
          <w:lang w:val="sr-Cyrl-RS"/>
        </w:rPr>
        <w:t xml:space="preserve"> од стране Привредне коморе Србије, као </w:t>
      </w:r>
      <w:r w:rsidRPr="008744E3">
        <w:rPr>
          <w:rFonts w:eastAsia="Calibri" w:cs="Times New Roman"/>
          <w:b/>
          <w:szCs w:val="24"/>
          <w:lang w:val="sr-Cyrl-RS"/>
        </w:rPr>
        <w:t>национални хаб иновативних пракси</w:t>
      </w:r>
      <w:r w:rsidRPr="008744E3">
        <w:rPr>
          <w:rFonts w:eastAsia="Calibri" w:cs="Times New Roman"/>
          <w:szCs w:val="24"/>
          <w:lang w:val="sr-Cyrl-RS"/>
        </w:rPr>
        <w:t>, усмерен пре свега, ка микро, малим и средњим предузећима. Центар подржава дигиталну трансформацију српске привреде кроз едукације, саветовање, као и кроз стварање стратешких партнерстава са носиоцима технологија, са једне стране, и компанијама које би у свом пословању примењивале ова решења, са друге.</w:t>
      </w:r>
    </w:p>
    <w:p w14:paraId="3AF0FBEE"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 xml:space="preserve">Спровођење </w:t>
      </w:r>
      <w:r w:rsidRPr="008744E3">
        <w:rPr>
          <w:rFonts w:eastAsia="Calibri" w:cs="Times New Roman"/>
          <w:b/>
          <w:szCs w:val="24"/>
          <w:lang w:val="sr-Cyrl-RS"/>
        </w:rPr>
        <w:t>StarTech програма</w:t>
      </w:r>
      <w:r w:rsidRPr="008744E3">
        <w:rPr>
          <w:rFonts w:eastAsia="Calibri" w:cs="Times New Roman"/>
          <w:b/>
          <w:szCs w:val="24"/>
          <w:vertAlign w:val="superscript"/>
          <w:lang w:val="sr-Cyrl-RS"/>
        </w:rPr>
        <w:footnoteReference w:id="60"/>
      </w:r>
      <w:r w:rsidRPr="008744E3">
        <w:rPr>
          <w:rFonts w:eastAsia="Calibri" w:cs="Times New Roman"/>
          <w:szCs w:val="24"/>
          <w:lang w:val="sr-Cyrl-RS"/>
        </w:rPr>
        <w:t xml:space="preserve"> подршке дигиталној трансформацији малих и средњих предузећа започето је у октобру 2020. године као трогодишњи пројекат за промоцију иновација и технолошког развоја у Србији. Циљ пројекта је убрзање раста српских компанија и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w:t>
      </w:r>
      <w:r w:rsidRPr="008744E3">
        <w:rPr>
          <w:rFonts w:eastAsia="Calibri" w:cs="Times New Roman"/>
          <w:szCs w:val="24"/>
          <w:vertAlign w:val="superscript"/>
          <w:lang w:val="sr-Cyrl-RS"/>
        </w:rPr>
        <w:footnoteReference w:id="61"/>
      </w:r>
      <w:r w:rsidRPr="008744E3">
        <w:rPr>
          <w:rFonts w:eastAsia="Calibri" w:cs="Times New Roman"/>
          <w:szCs w:val="24"/>
          <w:lang w:val="sr-Cyrl-RS"/>
        </w:rPr>
        <w:t xml:space="preserve"> Први годишњи јавни позив за доделу бесповратних финансијских средстава стартаповима, предузетницима, микро, малим и средњима предузећима који имају иновативне бизнис идеје или желе да трансформишу своје пословање увођењем нових технологија објављен је 30. марта 2021. године. Више од 200 малих и средњих предузећа, предузетника и стартап тимова</w:t>
      </w:r>
      <w:r w:rsidRPr="008744E3">
        <w:rPr>
          <w:rFonts w:eastAsia="Calibri" w:cs="Times New Roman"/>
          <w:szCs w:val="24"/>
          <w:vertAlign w:val="superscript"/>
          <w:lang w:val="sr-Cyrl-RS"/>
        </w:rPr>
        <w:footnoteReference w:id="62"/>
      </w:r>
      <w:r w:rsidRPr="008744E3">
        <w:rPr>
          <w:rFonts w:eastAsia="Calibri" w:cs="Times New Roman"/>
          <w:szCs w:val="24"/>
          <w:lang w:val="sr-Cyrl-RS"/>
        </w:rPr>
        <w:t xml:space="preserve"> из свих крајева Србије пријавило се за подршку. Изабрано је 29 пројеката у три категорије (подршка стартаповима са иновативним идејама, мали бизнис у комерцијализацији иновације и дигиталне трансформације и иновације и дигитална трансформација за извоз и нова радна места), који ће добити бесповратна средства и стручну подршку за спровођење иновација и дигитализације, отварање радних места и освајање нових тржишта.</w:t>
      </w:r>
    </w:p>
    <w:p w14:paraId="49FD9B9F"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Иако је сектор ИКТ у константном расту,</w:t>
      </w:r>
      <w:r w:rsidRPr="008744E3">
        <w:rPr>
          <w:rFonts w:eastAsia="Times New Roman" w:cs="Times New Roman"/>
          <w:b/>
          <w:color w:val="000000"/>
          <w:szCs w:val="24"/>
          <w:lang w:val="sr-Cyrl-RS"/>
        </w:rPr>
        <w:t xml:space="preserve"> комуникациону инфраструктуру у Србији потребно је и даље унапређивати</w:t>
      </w:r>
      <w:r w:rsidRPr="008744E3">
        <w:rPr>
          <w:rFonts w:eastAsia="Times New Roman" w:cs="Times New Roman"/>
          <w:color w:val="000000"/>
          <w:szCs w:val="24"/>
          <w:lang w:val="sr-Cyrl-RS"/>
        </w:rPr>
        <w:t xml:space="preserve">. </w:t>
      </w:r>
      <w:r w:rsidRPr="008744E3">
        <w:rPr>
          <w:rFonts w:eastAsia="Times New Roman" w:cs="Times New Roman"/>
          <w:b/>
          <w:color w:val="000000"/>
          <w:szCs w:val="24"/>
          <w:lang w:val="sr-Cyrl-RS"/>
        </w:rPr>
        <w:t>Развој комуникационе инфраструктуре у руралним пределима</w:t>
      </w:r>
      <w:r w:rsidRPr="008744E3">
        <w:rPr>
          <w:rFonts w:eastAsia="Times New Roman" w:cs="Times New Roman"/>
          <w:color w:val="000000"/>
          <w:szCs w:val="24"/>
          <w:lang w:val="sr-Cyrl-RS"/>
        </w:rPr>
        <w:t xml:space="preserve"> („белим или сивим зонама”) одвија се кроз</w:t>
      </w:r>
      <w:r w:rsidRPr="008744E3">
        <w:rPr>
          <w:rFonts w:ascii="Calibri" w:eastAsia="Calibri" w:hAnsi="Calibri" w:cs="Times New Roman"/>
        </w:rPr>
        <w:t xml:space="preserve"> </w:t>
      </w:r>
      <w:r w:rsidRPr="008744E3">
        <w:rPr>
          <w:rFonts w:eastAsia="Times New Roman" w:cs="Times New Roman"/>
          <w:color w:val="000000"/>
          <w:szCs w:val="24"/>
          <w:lang w:val="sr-Cyrl-RS"/>
        </w:rPr>
        <w:t>пројекат „Изградња широкопојасне ИКТ у руралним пределима Републике Србије – Фаза 1”. Закључени су уговори са операторима електронских комуникација за изградњу широкопојасне приступне комуникационе инфраструктуре за 400 насеља до јула 2021. године, чиме су створени услови за изградњу приступне комуникационе инфраструктуре укупне дужине 1.500 км.</w:t>
      </w:r>
    </w:p>
    <w:p w14:paraId="21480B83"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Унапређење информационо-комуникационе инфраструктуре у свим основним и средњим школама</w:t>
      </w:r>
      <w:r w:rsidRPr="008744E3">
        <w:rPr>
          <w:rFonts w:eastAsia="Times New Roman" w:cs="Times New Roman"/>
          <w:color w:val="000000"/>
          <w:szCs w:val="24"/>
          <w:lang w:val="sr-Cyrl-RS"/>
        </w:rPr>
        <w:t xml:space="preserve"> у Србији одвија се кроз Пројекат „Повезане школе”, и до сада је интернет уведен у више од 22.000 учионица. Изградња мреже је инфраструктурни предуслов за програм дигиталних учионица, односно опремање школа одговарајућом рачунарском опремом и израдом дигиталних наставних садржаја. Пројектом је планирано опремање 10.000 дигиталних учионица.</w:t>
      </w:r>
    </w:p>
    <w:p w14:paraId="63EE77E1"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 xml:space="preserve">Један од кључних догађаја за електронску управу јесте инфраструктурно улагање од 30 милиона евра у </w:t>
      </w:r>
      <w:r w:rsidRPr="008744E3">
        <w:rPr>
          <w:rFonts w:eastAsia="Calibri" w:cs="Times New Roman"/>
          <w:b/>
          <w:szCs w:val="24"/>
          <w:lang w:val="sr-Cyrl-RS"/>
        </w:rPr>
        <w:t>Државни Дата центар у Крагујевцу</w:t>
      </w:r>
      <w:r w:rsidRPr="008744E3">
        <w:rPr>
          <w:rFonts w:eastAsia="Calibri" w:cs="Times New Roman"/>
          <w:szCs w:val="24"/>
          <w:lang w:val="sr-Cyrl-RS"/>
        </w:rPr>
        <w:t xml:space="preserve"> који је </w:t>
      </w:r>
      <w:r w:rsidRPr="008744E3">
        <w:rPr>
          <w:rFonts w:eastAsia="Calibri" w:cs="Times New Roman"/>
          <w:b/>
          <w:szCs w:val="24"/>
          <w:lang w:val="sr-Cyrl-RS"/>
        </w:rPr>
        <w:t>отворен крајем 2020</w:t>
      </w:r>
      <w:r w:rsidRPr="008744E3">
        <w:rPr>
          <w:rFonts w:eastAsia="Calibri" w:cs="Times New Roman"/>
          <w:szCs w:val="24"/>
          <w:lang w:val="sr-Cyrl-RS"/>
        </w:rPr>
        <w:t xml:space="preserve">. </w:t>
      </w:r>
      <w:r w:rsidRPr="008744E3">
        <w:rPr>
          <w:rFonts w:eastAsia="Calibri" w:cs="Times New Roman"/>
          <w:b/>
          <w:szCs w:val="24"/>
          <w:lang w:val="sr-Cyrl-RS"/>
        </w:rPr>
        <w:t>године.</w:t>
      </w:r>
      <w:r w:rsidRPr="008744E3">
        <w:rPr>
          <w:rFonts w:eastAsia="Calibri" w:cs="Times New Roman"/>
          <w:szCs w:val="24"/>
          <w:lang w:val="sr-Cyrl-RS"/>
        </w:rPr>
        <w:t xml:space="preserve"> Дата центар ће допринети неометаном и поузданом раду услуга електронске управе, безбедном чувању података из регистара, као и развоју будућих услуга. Такође, у Дата центру ће бити смештена и прва </w:t>
      </w:r>
      <w:r w:rsidRPr="008744E3">
        <w:rPr>
          <w:rFonts w:eastAsia="Calibri" w:cs="Times New Roman"/>
          <w:b/>
          <w:szCs w:val="24"/>
          <w:lang w:val="sr-Cyrl-RS"/>
        </w:rPr>
        <w:t>државна платформа за вештачку интелигенцију</w:t>
      </w:r>
      <w:r w:rsidRPr="008744E3">
        <w:rPr>
          <w:rFonts w:eastAsia="Calibri" w:cs="Times New Roman"/>
          <w:szCs w:val="24"/>
          <w:lang w:val="sr-Cyrl-RS"/>
        </w:rPr>
        <w:t>, која ће бити на располагању држави, локалној самоуправи, али и универзитетима, научно-технолошким парковима и стартап компанијама.</w:t>
      </w:r>
    </w:p>
    <w:p w14:paraId="4E79E408"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lastRenderedPageBreak/>
        <w:t>Број претплатника фиксног широкопојасног приступа интернету износи око 1,</w:t>
      </w:r>
      <w:r>
        <w:rPr>
          <w:rFonts w:eastAsia="Times New Roman" w:cs="Times New Roman"/>
          <w:b/>
          <w:color w:val="000000"/>
          <w:szCs w:val="24"/>
        </w:rPr>
        <w:t>79</w:t>
      </w:r>
      <w:r w:rsidRPr="008744E3">
        <w:rPr>
          <w:rFonts w:eastAsia="Times New Roman" w:cs="Times New Roman"/>
          <w:b/>
          <w:color w:val="000000"/>
          <w:szCs w:val="24"/>
          <w:lang w:val="sr-Cyrl-RS"/>
        </w:rPr>
        <w:t xml:space="preserve"> милиона</w:t>
      </w:r>
      <w:r w:rsidRPr="008744E3">
        <w:rPr>
          <w:rFonts w:eastAsia="Times New Roman" w:cs="Times New Roman"/>
          <w:color w:val="000000"/>
          <w:szCs w:val="24"/>
          <w:vertAlign w:val="superscript"/>
          <w:lang w:val="sr-Cyrl-RS"/>
        </w:rPr>
        <w:footnoteReference w:id="63"/>
      </w:r>
      <w:r w:rsidRPr="008744E3">
        <w:rPr>
          <w:rFonts w:eastAsia="Times New Roman" w:cs="Times New Roman"/>
          <w:b/>
          <w:color w:val="000000"/>
          <w:szCs w:val="24"/>
          <w:lang w:val="sr-Cyrl-RS"/>
        </w:rPr>
        <w:t xml:space="preserve"> у </w:t>
      </w:r>
      <w:r>
        <w:rPr>
          <w:rFonts w:eastAsia="Times New Roman" w:cs="Times New Roman"/>
          <w:b/>
          <w:color w:val="000000"/>
          <w:szCs w:val="24"/>
          <w:lang w:val="sr-Cyrl-RS"/>
        </w:rPr>
        <w:t>трећем</w:t>
      </w:r>
      <w:r w:rsidRPr="008744E3">
        <w:rPr>
          <w:rFonts w:eastAsia="Times New Roman" w:cs="Times New Roman"/>
          <w:b/>
          <w:color w:val="000000"/>
          <w:szCs w:val="24"/>
          <w:lang w:val="sr-Cyrl-RS"/>
        </w:rPr>
        <w:t xml:space="preserve"> кварталу 2021. године </w:t>
      </w:r>
      <w:r w:rsidRPr="008744E3">
        <w:rPr>
          <w:rFonts w:eastAsia="Times New Roman" w:cs="Times New Roman"/>
          <w:color w:val="000000"/>
          <w:szCs w:val="24"/>
          <w:lang w:val="sr-Cyrl-RS"/>
        </w:rPr>
        <w:t xml:space="preserve">чиме је обухваћено скоро </w:t>
      </w:r>
      <w:r w:rsidRPr="008744E3">
        <w:rPr>
          <w:rFonts w:eastAsia="Times New Roman" w:cs="Times New Roman"/>
          <w:color w:val="000000"/>
          <w:szCs w:val="24"/>
        </w:rPr>
        <w:t>80</w:t>
      </w:r>
      <w:r w:rsidRPr="008744E3">
        <w:rPr>
          <w:rFonts w:eastAsia="Times New Roman" w:cs="Times New Roman"/>
          <w:color w:val="000000"/>
          <w:szCs w:val="24"/>
          <w:lang w:val="sr-Cyrl-RS"/>
        </w:rPr>
        <w:t>% укупног броја домаћинстава. Коришћење рачунара код појединаца и у домаћинствима је у сталном порасту (72,4% и 74,3%, респективно, у 2020), као и употреба интернета (78,4% и 81%, респективно, у 2020), док сва привредна друштва користе рачунаре и прикључена су на интернет мрежу</w:t>
      </w:r>
      <w:r w:rsidRPr="008744E3">
        <w:rPr>
          <w:rFonts w:eastAsia="Times New Roman" w:cs="Times New Roman"/>
          <w:color w:val="000000"/>
          <w:szCs w:val="24"/>
          <w:vertAlign w:val="superscript"/>
          <w:lang w:val="sr-Cyrl-RS"/>
        </w:rPr>
        <w:footnoteReference w:id="64"/>
      </w:r>
      <w:r w:rsidRPr="008744E3">
        <w:rPr>
          <w:rFonts w:eastAsia="Times New Roman" w:cs="Times New Roman"/>
          <w:color w:val="000000"/>
          <w:szCs w:val="24"/>
          <w:lang w:val="sr-Cyrl-RS"/>
        </w:rPr>
        <w:t>.</w:t>
      </w:r>
    </w:p>
    <w:p w14:paraId="352DD2F6"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Фокус Владе РС је на даљем увођењу и развоју е-услуга, односно позиционирању националног портала еУправа као централног места за пружање е-услуга.</w:t>
      </w:r>
      <w:r w:rsidRPr="008744E3">
        <w:rPr>
          <w:rFonts w:eastAsia="Times New Roman" w:cs="Times New Roman"/>
          <w:color w:val="000000"/>
          <w:szCs w:val="24"/>
          <w:lang w:val="sr-Cyrl-RS"/>
        </w:rPr>
        <w:t xml:space="preserve"> На Порталу еУправа активно је готово милион корисника, који могу да користе 900 електронских услуга различитих државних органа од којих је већина на нивоу који је већи од нивоа информација, што значи електронска услуга где је омогућено преузимање обрасца или онлине подношење захтева. Омогућено је и електронско потписивање документа, као и плаћање административних такси електронским банкарством, платним картицама и инстант плаћањем. На порталу за аутентикацију корисника електронске управе (еИД) регистровано је 835.340 налога грађана (еГрађани) до јула 2021. (у просеку се дневно региструје 1.190 грађана), док је број корисника портала е-Управа који су покренули бар једну услугу 285.548</w:t>
      </w:r>
      <w:r w:rsidRPr="008744E3">
        <w:rPr>
          <w:rFonts w:eastAsia="Times New Roman" w:cs="Times New Roman"/>
          <w:color w:val="000000"/>
          <w:szCs w:val="24"/>
          <w:vertAlign w:val="superscript"/>
          <w:lang w:val="sr-Cyrl-RS"/>
        </w:rPr>
        <w:footnoteReference w:id="65"/>
      </w:r>
      <w:r w:rsidRPr="008744E3">
        <w:rPr>
          <w:rFonts w:eastAsia="Times New Roman" w:cs="Times New Roman"/>
          <w:color w:val="000000"/>
          <w:szCs w:val="24"/>
          <w:lang w:val="sr-Cyrl-RS"/>
        </w:rPr>
        <w:t>.</w:t>
      </w:r>
    </w:p>
    <w:p w14:paraId="3A02E8DB"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Централни информациони систем у области угоститељства и туризма</w:t>
      </w:r>
      <w:r w:rsidRPr="008744E3">
        <w:rPr>
          <w:rFonts w:eastAsia="Calibri" w:cs="Times New Roman"/>
          <w:b/>
          <w:szCs w:val="24"/>
          <w:lang w:val="sr-Cyrl-RS"/>
        </w:rPr>
        <w:t xml:space="preserve"> – е-Туриста</w:t>
      </w:r>
      <w:r w:rsidRPr="008744E3">
        <w:rPr>
          <w:rFonts w:eastAsia="Calibri" w:cs="Times New Roman"/>
          <w:szCs w:val="24"/>
          <w:lang w:val="sr-Cyrl-RS"/>
        </w:rPr>
        <w:t>, у пуној је примени од 1. октобра 2020. године. Садржи све релевантне податке о пружаоцима услуге смештаја и објектима за смештај, преко кога се врши њихова евиденција и уносе други подаци проистекли из обављања туристичке делатности. Укупно је пријављено 18.220 регистрованих угоститељских објеката за смештај на порталу е-Туриста закључно са августом 2021. године.</w:t>
      </w:r>
    </w:p>
    <w:p w14:paraId="1CABE9F6" w14:textId="35E30BD8"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Дигитална трансформација у области енергетике</w:t>
      </w:r>
      <w:r w:rsidRPr="008744E3">
        <w:rPr>
          <w:rFonts w:eastAsia="Times New Roman" w:cs="Times New Roman"/>
          <w:color w:val="000000"/>
          <w:szCs w:val="24"/>
          <w:lang w:val="sr-Cyrl-RS"/>
        </w:rPr>
        <w:t xml:space="preserve"> доноси поједностављење поступака у остваривању права у овој области, као што је на пример </w:t>
      </w:r>
      <w:r w:rsidRPr="008744E3">
        <w:rPr>
          <w:rFonts w:eastAsia="Calibri" w:cs="Times New Roman"/>
          <w:szCs w:val="24"/>
          <w:lang w:val="sr-Cyrl-RS"/>
        </w:rPr>
        <w:t>смањење времена издавања одобрења за геолошка истраживања и експлоатацију минералних сировина, подземних вода и геотермалних ресурса (</w:t>
      </w:r>
      <w:r w:rsidRPr="008744E3">
        <w:rPr>
          <w:rFonts w:eastAsia="Calibri" w:cs="Times New Roman"/>
          <w:b/>
          <w:szCs w:val="24"/>
          <w:lang w:val="sr-Cyrl-RS"/>
        </w:rPr>
        <w:t>е-рударство</w:t>
      </w:r>
      <w:r w:rsidRPr="008744E3">
        <w:rPr>
          <w:rFonts w:eastAsia="Calibri" w:cs="Times New Roman"/>
          <w:szCs w:val="24"/>
          <w:lang w:val="sr-Cyrl-RS"/>
        </w:rPr>
        <w:t xml:space="preserve">) са постојећих 150 </w:t>
      </w:r>
      <w:r w:rsidRPr="00BE01F7">
        <w:rPr>
          <w:rFonts w:eastAsia="Calibri" w:cs="Times New Roman"/>
          <w:szCs w:val="24"/>
          <w:lang w:val="sr-Cyrl-RS"/>
        </w:rPr>
        <w:t>дана на 15-20 дана</w:t>
      </w:r>
      <w:r w:rsidRPr="00BE01F7">
        <w:rPr>
          <w:rFonts w:eastAsia="Times New Roman" w:cs="Times New Roman"/>
          <w:color w:val="000000"/>
          <w:szCs w:val="24"/>
          <w:lang w:val="sr-Cyrl-RS"/>
        </w:rPr>
        <w:t xml:space="preserve"> (више у Кључном изазову 3. </w:t>
      </w:r>
      <w:r w:rsidRPr="00BE01F7">
        <w:rPr>
          <w:rFonts w:eastAsia="Times New Roman" w:cs="Times New Roman"/>
          <w:i/>
          <w:szCs w:val="24"/>
          <w:lang w:val="sr-Cyrl-RS"/>
        </w:rPr>
        <w:t xml:space="preserve">Ефикасније коришћење енергије уз даље отварање енергетског тржишта </w:t>
      </w:r>
      <w:r w:rsidRPr="00BE01F7">
        <w:rPr>
          <w:rFonts w:eastAsia="Times New Roman" w:cs="Times New Roman"/>
          <w:color w:val="000000"/>
          <w:szCs w:val="24"/>
          <w:lang w:val="sr-Cyrl-RS"/>
        </w:rPr>
        <w:t xml:space="preserve">стр. </w:t>
      </w:r>
      <w:r w:rsidR="00BE01F7" w:rsidRPr="00BE01F7">
        <w:rPr>
          <w:rFonts w:eastAsia="Times New Roman" w:cs="Times New Roman"/>
          <w:color w:val="000000"/>
          <w:szCs w:val="24"/>
          <w:lang w:val="sr-Latn-RS"/>
        </w:rPr>
        <w:t>100</w:t>
      </w:r>
      <w:r w:rsidRPr="00BE01F7">
        <w:rPr>
          <w:rFonts w:eastAsia="Times New Roman" w:cs="Times New Roman"/>
          <w:color w:val="000000"/>
          <w:szCs w:val="24"/>
          <w:lang w:val="sr-Cyrl-RS"/>
        </w:rPr>
        <w:t>)</w:t>
      </w:r>
    </w:p>
    <w:p w14:paraId="0A3B3206" w14:textId="69909C5D"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Значај процеса </w:t>
      </w:r>
      <w:r w:rsidRPr="008744E3">
        <w:rPr>
          <w:rFonts w:eastAsia="Times New Roman" w:cs="Times New Roman"/>
          <w:b/>
          <w:color w:val="000000"/>
          <w:szCs w:val="24"/>
          <w:lang w:val="sr-Cyrl-RS"/>
        </w:rPr>
        <w:t>дигитализације у трговини</w:t>
      </w:r>
      <w:r w:rsidRPr="008744E3">
        <w:rPr>
          <w:rFonts w:eastAsia="Times New Roman" w:cs="Times New Roman"/>
          <w:color w:val="000000"/>
          <w:szCs w:val="24"/>
          <w:lang w:val="sr-Cyrl-RS"/>
        </w:rPr>
        <w:t xml:space="preserve"> посебно је дошао до изражаја у условима ограниченог кретања током трајања ванредног стања због пандемије, као и касније, тако да електронска трговинa током 2020. године </w:t>
      </w:r>
      <w:r w:rsidRPr="00BE01F7">
        <w:rPr>
          <w:rFonts w:eastAsia="Times New Roman" w:cs="Times New Roman"/>
          <w:color w:val="000000"/>
          <w:szCs w:val="24"/>
          <w:lang w:val="sr-Cyrl-RS"/>
        </w:rPr>
        <w:t xml:space="preserve">бележи значајан раст (више у области </w:t>
      </w:r>
      <w:r w:rsidRPr="00BE01F7">
        <w:rPr>
          <w:rFonts w:eastAsia="Times New Roman" w:cs="Times New Roman"/>
          <w:i/>
          <w:color w:val="000000"/>
          <w:szCs w:val="24"/>
          <w:lang w:val="sr-Cyrl-RS"/>
        </w:rPr>
        <w:t>Пољопривреда, индустрија и услуге</w:t>
      </w:r>
      <w:r w:rsidRPr="00BE01F7">
        <w:rPr>
          <w:rFonts w:eastAsia="Times New Roman" w:cs="Times New Roman"/>
          <w:color w:val="000000"/>
          <w:szCs w:val="24"/>
          <w:lang w:val="sr-Cyrl-RS"/>
        </w:rPr>
        <w:t xml:space="preserve">, стр. </w:t>
      </w:r>
      <w:r w:rsidR="00BE01F7" w:rsidRPr="00BE01F7">
        <w:rPr>
          <w:rFonts w:eastAsia="Times New Roman" w:cs="Times New Roman"/>
          <w:color w:val="000000"/>
          <w:szCs w:val="24"/>
          <w:lang w:val="sr-Latn-RS"/>
        </w:rPr>
        <w:t>145</w:t>
      </w:r>
      <w:r w:rsidRPr="00BE01F7">
        <w:rPr>
          <w:rFonts w:eastAsia="Times New Roman" w:cs="Times New Roman"/>
          <w:color w:val="000000"/>
          <w:szCs w:val="24"/>
          <w:lang w:val="sr-Cyrl-RS"/>
        </w:rPr>
        <w:t>).</w:t>
      </w:r>
    </w:p>
    <w:p w14:paraId="1BFAD7BD" w14:textId="60B3FFE9"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Предуслови за </w:t>
      </w:r>
      <w:r w:rsidRPr="008744E3">
        <w:rPr>
          <w:rFonts w:eastAsia="Times New Roman" w:cs="Times New Roman"/>
          <w:b/>
          <w:color w:val="000000"/>
          <w:szCs w:val="24"/>
          <w:lang w:val="sr-Cyrl-RS"/>
        </w:rPr>
        <w:t>дигитализацију у области образовања</w:t>
      </w:r>
      <w:r w:rsidRPr="008744E3">
        <w:rPr>
          <w:rFonts w:eastAsia="Times New Roman" w:cs="Times New Roman"/>
          <w:color w:val="000000"/>
          <w:szCs w:val="24"/>
          <w:lang w:val="sr-Cyrl-RS"/>
        </w:rPr>
        <w:t xml:space="preserve"> стварају се обезбеђивањем ИКТ опреме за основне и средње школе за коришћење електронских образовних система. Електронски дневник - </w:t>
      </w:r>
      <w:r w:rsidRPr="008744E3">
        <w:rPr>
          <w:rFonts w:eastAsia="Times New Roman" w:cs="Times New Roman"/>
          <w:b/>
          <w:color w:val="000000"/>
          <w:szCs w:val="24"/>
          <w:lang w:val="sr-Cyrl-RS"/>
        </w:rPr>
        <w:t>есДневник</w:t>
      </w:r>
      <w:r w:rsidRPr="008744E3">
        <w:rPr>
          <w:rFonts w:eastAsia="Times New Roman" w:cs="Times New Roman"/>
          <w:color w:val="000000"/>
          <w:szCs w:val="24"/>
          <w:lang w:val="sr-Cyrl-RS"/>
        </w:rPr>
        <w:t xml:space="preserve"> је креиран и успостављен за све основне и средње школе у Србији, а омогућава родитељима/другим законским заступницима ученика увид у постигнућа ученика електронским путем коришћењем модула „мој.есДневник”. Сервис </w:t>
      </w:r>
      <w:r w:rsidRPr="008744E3">
        <w:rPr>
          <w:rFonts w:eastAsia="Times New Roman" w:cs="Times New Roman"/>
          <w:b/>
          <w:color w:val="000000"/>
          <w:szCs w:val="24"/>
          <w:lang w:val="sr-Cyrl-RS"/>
        </w:rPr>
        <w:t>еУпис</w:t>
      </w:r>
      <w:r w:rsidRPr="008744E3">
        <w:rPr>
          <w:rFonts w:eastAsia="Times New Roman" w:cs="Times New Roman"/>
          <w:color w:val="000000"/>
          <w:szCs w:val="24"/>
          <w:lang w:val="sr-Cyrl-RS"/>
        </w:rPr>
        <w:t xml:space="preserve"> омогућава електронски упис ученика у први разред основне школе и први разред средње школе. </w:t>
      </w:r>
      <w:r w:rsidRPr="00BE01F7">
        <w:rPr>
          <w:rFonts w:eastAsia="Times New Roman" w:cs="Times New Roman"/>
          <w:color w:val="000000"/>
          <w:szCs w:val="24"/>
          <w:lang w:val="sr-Cyrl-RS"/>
        </w:rPr>
        <w:t xml:space="preserve">Више о дигитализацији у образовању видети у области </w:t>
      </w:r>
      <w:r w:rsidRPr="00BE01F7">
        <w:rPr>
          <w:rFonts w:eastAsia="Times New Roman" w:cs="Times New Roman"/>
          <w:i/>
          <w:color w:val="000000"/>
          <w:szCs w:val="24"/>
          <w:lang w:val="sr-Cyrl-RS"/>
        </w:rPr>
        <w:t>Образовање и вештине</w:t>
      </w:r>
      <w:r w:rsidRPr="00BE01F7">
        <w:rPr>
          <w:rFonts w:eastAsia="Times New Roman" w:cs="Times New Roman"/>
          <w:color w:val="000000"/>
          <w:szCs w:val="24"/>
          <w:lang w:val="sr-Cyrl-RS"/>
        </w:rPr>
        <w:t xml:space="preserve">, стр. </w:t>
      </w:r>
      <w:r w:rsidR="00BE01F7" w:rsidRPr="00BE01F7">
        <w:rPr>
          <w:rFonts w:eastAsia="Times New Roman" w:cs="Times New Roman"/>
          <w:color w:val="000000"/>
          <w:szCs w:val="24"/>
          <w:lang w:val="sr-Latn-RS"/>
        </w:rPr>
        <w:t>153</w:t>
      </w:r>
      <w:r w:rsidRPr="00BE01F7">
        <w:rPr>
          <w:rFonts w:eastAsia="Times New Roman" w:cs="Times New Roman"/>
          <w:color w:val="000000"/>
          <w:szCs w:val="24"/>
          <w:lang w:val="sr-Cyrl-RS"/>
        </w:rPr>
        <w:t>.</w:t>
      </w:r>
    </w:p>
    <w:p w14:paraId="0133330C" w14:textId="02991552"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Значај процеса </w:t>
      </w:r>
      <w:r w:rsidRPr="008744E3">
        <w:rPr>
          <w:rFonts w:eastAsia="Times New Roman" w:cs="Times New Roman"/>
          <w:b/>
          <w:color w:val="000000"/>
          <w:szCs w:val="24"/>
          <w:lang w:val="sr-Cyrl-RS"/>
        </w:rPr>
        <w:t>дигитализације услуга здравствене заштите</w:t>
      </w:r>
      <w:r w:rsidRPr="008744E3">
        <w:rPr>
          <w:rFonts w:eastAsia="Times New Roman" w:cs="Times New Roman"/>
          <w:color w:val="000000"/>
          <w:szCs w:val="24"/>
          <w:lang w:val="sr-Cyrl-RS"/>
        </w:rPr>
        <w:t xml:space="preserve"> посебно је дошао до изражаја услед пандемије Ковид</w:t>
      </w:r>
      <w:r w:rsidRPr="00421270">
        <w:rPr>
          <w:rFonts w:eastAsia="Times New Roman" w:cs="Times New Roman"/>
          <w:color w:val="000000"/>
          <w:szCs w:val="24"/>
          <w:lang w:val="sr-Cyrl-RS"/>
        </w:rPr>
        <w:t xml:space="preserve">-19 (више у области </w:t>
      </w:r>
      <w:r w:rsidR="00BE01F7" w:rsidRPr="00421270">
        <w:rPr>
          <w:rFonts w:eastAsia="Times New Roman" w:cs="Times New Roman"/>
          <w:i/>
          <w:color w:val="000000"/>
          <w:szCs w:val="24"/>
          <w:lang w:val="sr-Cyrl-RS"/>
        </w:rPr>
        <w:t>Систем</w:t>
      </w:r>
      <w:r w:rsidR="00BE01F7" w:rsidRPr="00421270">
        <w:rPr>
          <w:rFonts w:eastAsia="Times New Roman" w:cs="Times New Roman"/>
          <w:color w:val="000000"/>
          <w:szCs w:val="24"/>
          <w:lang w:val="sr-Cyrl-RS"/>
        </w:rPr>
        <w:t xml:space="preserve"> з</w:t>
      </w:r>
      <w:r w:rsidRPr="00421270">
        <w:rPr>
          <w:rFonts w:eastAsia="Times New Roman" w:cs="Times New Roman"/>
          <w:i/>
          <w:color w:val="000000"/>
          <w:szCs w:val="24"/>
          <w:lang w:val="sr-Cyrl-RS"/>
        </w:rPr>
        <w:t>дравствен</w:t>
      </w:r>
      <w:r w:rsidR="00BE01F7" w:rsidRPr="00421270">
        <w:rPr>
          <w:rFonts w:eastAsia="Times New Roman" w:cs="Times New Roman"/>
          <w:i/>
          <w:color w:val="000000"/>
          <w:szCs w:val="24"/>
          <w:lang w:val="sr-Cyrl-RS"/>
        </w:rPr>
        <w:t>е</w:t>
      </w:r>
      <w:r w:rsidRPr="00421270">
        <w:rPr>
          <w:rFonts w:eastAsia="Times New Roman" w:cs="Times New Roman"/>
          <w:i/>
          <w:color w:val="000000"/>
          <w:szCs w:val="24"/>
          <w:lang w:val="sr-Cyrl-RS"/>
        </w:rPr>
        <w:t xml:space="preserve"> </w:t>
      </w:r>
      <w:r w:rsidR="00BE01F7" w:rsidRPr="00421270">
        <w:rPr>
          <w:rFonts w:eastAsia="Times New Roman" w:cs="Times New Roman"/>
          <w:i/>
          <w:color w:val="000000"/>
          <w:szCs w:val="24"/>
          <w:lang w:val="sr-Cyrl-RS"/>
        </w:rPr>
        <w:t>заштите</w:t>
      </w:r>
      <w:r w:rsidRPr="00421270">
        <w:rPr>
          <w:rFonts w:eastAsia="Times New Roman" w:cs="Times New Roman"/>
          <w:color w:val="000000"/>
          <w:szCs w:val="24"/>
          <w:lang w:val="sr-Cyrl-RS"/>
        </w:rPr>
        <w:t xml:space="preserve">, стр. </w:t>
      </w:r>
      <w:r w:rsidR="00421270" w:rsidRPr="00421270">
        <w:rPr>
          <w:rFonts w:eastAsia="Times New Roman" w:cs="Times New Roman"/>
          <w:color w:val="000000"/>
          <w:szCs w:val="24"/>
          <w:lang w:val="sr-Cyrl-RS"/>
        </w:rPr>
        <w:t>159</w:t>
      </w:r>
      <w:r w:rsidRPr="00421270">
        <w:rPr>
          <w:rFonts w:eastAsia="Times New Roman" w:cs="Times New Roman"/>
          <w:color w:val="000000"/>
          <w:szCs w:val="24"/>
          <w:lang w:val="sr-Cyrl-RS"/>
        </w:rPr>
        <w:t>).</w:t>
      </w:r>
    </w:p>
    <w:p w14:paraId="243A0E7B" w14:textId="77777777"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14:paraId="624A4439" w14:textId="77777777" w:rsidR="00DC7F92" w:rsidRPr="008744E3" w:rsidRDefault="00DC7F92" w:rsidP="00DC7F92">
      <w:pPr>
        <w:spacing w:before="120"/>
        <w:rPr>
          <w:rFonts w:eastAsia="Calibri" w:cs="Times New Roman"/>
          <w:szCs w:val="24"/>
          <w:lang w:val="sr-Cyrl-RS"/>
        </w:rPr>
      </w:pPr>
      <w:r w:rsidRPr="008744E3">
        <w:rPr>
          <w:rFonts w:eastAsia="Calibri" w:cs="Times New Roman"/>
          <w:b/>
          <w:szCs w:val="24"/>
          <w:u w:val="single"/>
          <w:lang w:val="sr-Cyrl-RS"/>
        </w:rPr>
        <w:lastRenderedPageBreak/>
        <w:t xml:space="preserve">СТРУКТУРНА РЕФОРМА </w:t>
      </w:r>
      <w:r w:rsidRPr="00071894">
        <w:rPr>
          <w:rFonts w:eastAsia="Calibri" w:cs="Times New Roman"/>
          <w:b/>
          <w:szCs w:val="24"/>
          <w:u w:val="single"/>
          <w:lang w:val="sr-Cyrl-RS"/>
        </w:rPr>
        <w:t>12</w:t>
      </w:r>
      <w:r w:rsidRPr="00071894">
        <w:rPr>
          <w:rFonts w:eastAsia="Calibri" w:cs="Times New Roman"/>
          <w:b/>
          <w:szCs w:val="24"/>
          <w:lang w:val="sr-Cyrl-RS"/>
        </w:rPr>
        <w:t>:</w:t>
      </w:r>
      <w:r w:rsidRPr="008744E3">
        <w:rPr>
          <w:rFonts w:eastAsia="Calibri" w:cs="Times New Roman"/>
          <w:b/>
          <w:szCs w:val="24"/>
          <w:lang w:val="sr-Cyrl-RS"/>
        </w:rPr>
        <w:t xml:space="preserve"> </w:t>
      </w:r>
      <w:r w:rsidRPr="008744E3">
        <w:rPr>
          <w:rFonts w:eastAsia="Calibri" w:cs="Times New Roman"/>
          <w:szCs w:val="24"/>
          <w:lang w:val="sr-Cyrl-RS"/>
        </w:rPr>
        <w:t>РАЗВОЈ И УНАПРЕЂЕЊЕ НАЦИОНАЛНЕ ИНФОРМАЦИОНО-КОМУНИКАЦИОНЕ ИНФРАСТРУКТУРЕ</w:t>
      </w:r>
    </w:p>
    <w:p w14:paraId="5628253F" w14:textId="77777777" w:rsidR="00DC7F92" w:rsidRPr="008744E3" w:rsidRDefault="00DC7F92" w:rsidP="004D22FA">
      <w:pPr>
        <w:numPr>
          <w:ilvl w:val="0"/>
          <w:numId w:val="36"/>
        </w:numPr>
        <w:rPr>
          <w:rFonts w:eastAsia="Times New Roman" w:cs="Times New Roman"/>
          <w:b/>
          <w:szCs w:val="24"/>
          <w:lang w:val="sr-Cyrl-RS"/>
        </w:rPr>
      </w:pPr>
      <w:r w:rsidRPr="008744E3">
        <w:rPr>
          <w:rFonts w:eastAsia="Times New Roman" w:cs="Times New Roman"/>
          <w:b/>
          <w:szCs w:val="24"/>
          <w:lang w:val="sr-Cyrl-RS"/>
        </w:rPr>
        <w:t>Опис структурне реформе</w:t>
      </w:r>
    </w:p>
    <w:p w14:paraId="5D29BEA6"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Подржавањем Зелене агенде за Западни Балкан економије и друштва у региону препознале су дигитализацију као прилику да се дигиталним решењима допринесе одрживој, климатски неутралној и ресурсно ефикасној економији, као и бољим јавним услугама за грађане. Имајући ово на уму, дигитализација ће бити кључни покретач у наведеним областима у складу са концептом заједничког спровођења зелене и дигиталне транзиције. Најважнији циљеви реализације структурне реформе су: 1. Развој широкопојасних мрежа за приступ обезбеђивањем подстицаја државе за заједничку изградњу комуникационе инфраструктуре кроз реализацију пројекта изградње широкопојасне мреже у руралним областима; 2. Побољшање услова образовања и повећање коришћења сервиса електронске управе повезивањем установа образовања и културе на АМРЕС као и кроз реализацију пројекта „Повезане школе”. Реформа доприноси остваривању </w:t>
      </w:r>
      <w:r w:rsidRPr="008744E3">
        <w:rPr>
          <w:rFonts w:eastAsia="Times New Roman" w:cs="Times New Roman"/>
          <w:b/>
          <w:szCs w:val="24"/>
          <w:lang w:val="sr-Cyrl-RS"/>
        </w:rPr>
        <w:t>ЦОР 9.ц</w:t>
      </w:r>
      <w:r w:rsidRPr="008744E3">
        <w:rPr>
          <w:rFonts w:eastAsia="Times New Roman" w:cs="Times New Roman"/>
          <w:szCs w:val="24"/>
          <w:lang w:val="sr-Cyrl-RS"/>
        </w:rPr>
        <w:t xml:space="preserve"> – Значајно повећати приступ информационим и комуникационим технологијама и уложити напоре да се обезбеди универзалан и приуштив приступ интернету, као и </w:t>
      </w:r>
      <w:r w:rsidRPr="008744E3">
        <w:rPr>
          <w:rFonts w:eastAsia="Times New Roman" w:cs="Times New Roman"/>
          <w:b/>
          <w:szCs w:val="24"/>
          <w:lang w:val="sr-Cyrl-RS"/>
        </w:rPr>
        <w:t>ЦОР 4.4.</w:t>
      </w:r>
      <w:r w:rsidRPr="008744E3">
        <w:rPr>
          <w:rFonts w:eastAsia="Times New Roman" w:cs="Times New Roman"/>
          <w:szCs w:val="24"/>
          <w:lang w:val="sr-Cyrl-RS"/>
        </w:rPr>
        <w:t xml:space="preserve"> –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2583BB33"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75AE51A9"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9B165A6"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5956E24"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40AF36F1"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CDB898E"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2D38C36F"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1156F897"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3B7FC684"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FEF9530"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153B271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9581A6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3F9312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9DFF2FE"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F79F93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55A0E32"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ADF408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BB1C8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2429507"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F5BFE8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740DB89"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E32E3B8"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170021C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08B7E2A"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1</w:t>
            </w:r>
          </w:p>
        </w:tc>
        <w:tc>
          <w:tcPr>
            <w:tcW w:w="4120" w:type="dxa"/>
            <w:tcBorders>
              <w:top w:val="single" w:sz="8" w:space="0" w:color="000000"/>
              <w:left w:val="single" w:sz="8" w:space="0" w:color="auto"/>
              <w:bottom w:val="single" w:sz="4" w:space="0" w:color="000000"/>
              <w:right w:val="single" w:sz="8" w:space="0" w:color="auto"/>
            </w:tcBorders>
            <w:vAlign w:val="center"/>
          </w:tcPr>
          <w:p w14:paraId="1273EBC6"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Повезивање установа образовања и културе на АМРЕС</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428CE9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C8A518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662CE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7D5DF6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2E9514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BE10F1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40C41C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7543CB5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4DC282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FD943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72C14B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12296CE"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5F6E150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B1C6099"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2</w:t>
            </w:r>
          </w:p>
        </w:tc>
        <w:tc>
          <w:tcPr>
            <w:tcW w:w="4120" w:type="dxa"/>
            <w:tcBorders>
              <w:top w:val="single" w:sz="4" w:space="0" w:color="000000"/>
              <w:left w:val="single" w:sz="8" w:space="0" w:color="auto"/>
              <w:bottom w:val="single" w:sz="4" w:space="0" w:color="000000"/>
              <w:right w:val="single" w:sz="8" w:space="0" w:color="auto"/>
            </w:tcBorders>
            <w:vAlign w:val="center"/>
          </w:tcPr>
          <w:p w14:paraId="0AB2CC37"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Активности на унапређењу информационо-комуникационе инфраструктуре у свим основним и средњим школама у РС – „Повезане школе”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8510C90"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BFBFBF"/>
            <w:vAlign w:val="center"/>
          </w:tcPr>
          <w:p w14:paraId="285B94BB"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BFBFBF"/>
            <w:vAlign w:val="center"/>
          </w:tcPr>
          <w:p w14:paraId="5C65880C"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8" w:space="0" w:color="auto"/>
            </w:tcBorders>
            <w:shd w:val="clear" w:color="auto" w:fill="BFBFBF"/>
            <w:vAlign w:val="center"/>
          </w:tcPr>
          <w:p w14:paraId="3E212474"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auto"/>
            <w:vAlign w:val="center"/>
          </w:tcPr>
          <w:p w14:paraId="188045C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C02337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B7C66D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E8147E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B12D6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828C92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FBA929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397BE5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F2146A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D2A80D2"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3</w:t>
            </w:r>
          </w:p>
        </w:tc>
        <w:tc>
          <w:tcPr>
            <w:tcW w:w="4120" w:type="dxa"/>
            <w:tcBorders>
              <w:top w:val="single" w:sz="4" w:space="0" w:color="000000"/>
              <w:left w:val="single" w:sz="8" w:space="0" w:color="auto"/>
              <w:bottom w:val="single" w:sz="4" w:space="0" w:color="auto"/>
              <w:right w:val="nil"/>
            </w:tcBorders>
          </w:tcPr>
          <w:p w14:paraId="029CBDC0"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Изградња оптичке широкопојасне мреже у руралним областима Србије – фаза 1</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22830D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AE6638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384FE1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014C6A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8157F4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BC1CB9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4AC749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7018DC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1A8419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EE8155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887974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4C25AC6"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FC60DAC"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AA15882"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4</w:t>
            </w:r>
          </w:p>
        </w:tc>
        <w:tc>
          <w:tcPr>
            <w:tcW w:w="4120" w:type="dxa"/>
            <w:tcBorders>
              <w:top w:val="nil"/>
              <w:left w:val="single" w:sz="8" w:space="0" w:color="auto"/>
              <w:bottom w:val="single" w:sz="4" w:space="0" w:color="auto"/>
              <w:right w:val="nil"/>
            </w:tcBorders>
          </w:tcPr>
          <w:p w14:paraId="6ACD17CA" w14:textId="77777777" w:rsidR="00DC7F92" w:rsidRPr="008744E3" w:rsidRDefault="00DC7F92" w:rsidP="00DC7F92">
            <w:pPr>
              <w:spacing w:after="0"/>
              <w:rPr>
                <w:rFonts w:eastAsia="Times New Roman" w:cs="Times New Roman"/>
                <w:lang w:val="sr-Latn-RS"/>
              </w:rPr>
            </w:pPr>
            <w:r w:rsidRPr="008744E3">
              <w:rPr>
                <w:rFonts w:eastAsia="Times New Roman" w:cs="Times New Roman"/>
                <w:sz w:val="20"/>
                <w:szCs w:val="20"/>
                <w:lang w:val="sr-Cyrl-RS"/>
              </w:rPr>
              <w:t>Припрема и изградња оптичке широкопојасне мреже у руралним областима Србије – фаза 2</w:t>
            </w:r>
          </w:p>
        </w:tc>
        <w:tc>
          <w:tcPr>
            <w:tcW w:w="422" w:type="dxa"/>
            <w:tcBorders>
              <w:top w:val="nil"/>
              <w:left w:val="single" w:sz="8" w:space="0" w:color="auto"/>
              <w:bottom w:val="single" w:sz="4" w:space="0" w:color="auto"/>
              <w:right w:val="single" w:sz="4" w:space="0" w:color="auto"/>
            </w:tcBorders>
            <w:shd w:val="clear" w:color="auto" w:fill="auto"/>
            <w:vAlign w:val="center"/>
          </w:tcPr>
          <w:p w14:paraId="591692C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0A840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87824A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422531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3DB478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E54685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733274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0766A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9D5AC6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543BEE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2FEFD1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B40CB5A" w14:textId="77777777" w:rsidR="00DC7F92" w:rsidRPr="008744E3" w:rsidRDefault="00DC7F92" w:rsidP="00DC7F92">
            <w:pPr>
              <w:spacing w:after="0"/>
              <w:jc w:val="center"/>
              <w:rPr>
                <w:rFonts w:eastAsia="Times New Roman" w:cs="Times New Roman"/>
                <w:sz w:val="20"/>
                <w:szCs w:val="20"/>
                <w:lang w:val="sr-Cyrl-RS"/>
              </w:rPr>
            </w:pPr>
          </w:p>
        </w:tc>
      </w:tr>
    </w:tbl>
    <w:p w14:paraId="3C072805" w14:textId="77777777" w:rsidR="00DC7F92" w:rsidRPr="008744E3" w:rsidRDefault="00DC7F92" w:rsidP="004D22FA">
      <w:pPr>
        <w:numPr>
          <w:ilvl w:val="0"/>
          <w:numId w:val="36"/>
        </w:numPr>
        <w:spacing w:before="240"/>
        <w:rPr>
          <w:rFonts w:eastAsia="Times New Roman" w:cs="Times New Roman"/>
          <w:b/>
          <w:szCs w:val="24"/>
          <w:lang w:val="sr-Cyrl-RS"/>
        </w:rPr>
      </w:pPr>
      <w:r w:rsidRPr="008744E3">
        <w:rPr>
          <w:rFonts w:eastAsia="Times New Roman" w:cs="Times New Roman"/>
          <w:b/>
          <w:szCs w:val="24"/>
          <w:lang w:val="sr-Cyrl-RS"/>
        </w:rPr>
        <w:t>Индикатори рeзултата</w:t>
      </w:r>
    </w:p>
    <w:tbl>
      <w:tblPr>
        <w:tblStyle w:val="TableGrid13"/>
        <w:tblW w:w="9634" w:type="dxa"/>
        <w:tblLayout w:type="fixed"/>
        <w:tblLook w:val="04A0" w:firstRow="1" w:lastRow="0" w:firstColumn="1" w:lastColumn="0" w:noHBand="0" w:noVBand="1"/>
      </w:tblPr>
      <w:tblGrid>
        <w:gridCol w:w="4106"/>
        <w:gridCol w:w="1842"/>
        <w:gridCol w:w="1843"/>
        <w:gridCol w:w="1843"/>
      </w:tblGrid>
      <w:tr w:rsidR="00DC7F92" w:rsidRPr="008744E3" w14:paraId="769B0C4B" w14:textId="77777777" w:rsidTr="00DC7F92">
        <w:tc>
          <w:tcPr>
            <w:tcW w:w="4106" w:type="dxa"/>
            <w:vAlign w:val="center"/>
          </w:tcPr>
          <w:p w14:paraId="79972BEB"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377CC9FC"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Почетна вредност (2019)</w:t>
            </w:r>
          </w:p>
        </w:tc>
        <w:tc>
          <w:tcPr>
            <w:tcW w:w="1843" w:type="dxa"/>
            <w:vAlign w:val="center"/>
          </w:tcPr>
          <w:p w14:paraId="495DACE0"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Међурезултат (2022)</w:t>
            </w:r>
          </w:p>
        </w:tc>
        <w:tc>
          <w:tcPr>
            <w:tcW w:w="1843" w:type="dxa"/>
            <w:vAlign w:val="center"/>
          </w:tcPr>
          <w:p w14:paraId="29BDEF88"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Циљна вредност (2024)</w:t>
            </w:r>
          </w:p>
        </w:tc>
      </w:tr>
      <w:tr w:rsidR="00DC7F92" w:rsidRPr="008744E3" w14:paraId="5CCD9DC3" w14:textId="77777777" w:rsidTr="00DC7F92">
        <w:trPr>
          <w:trHeight w:val="284"/>
        </w:trPr>
        <w:tc>
          <w:tcPr>
            <w:tcW w:w="4106" w:type="dxa"/>
          </w:tcPr>
          <w:p w14:paraId="35339BEC" w14:textId="77777777" w:rsidR="00DC7F92" w:rsidRPr="008744E3" w:rsidRDefault="00DC7F92" w:rsidP="006B76C3">
            <w:pPr>
              <w:spacing w:after="0"/>
              <w:rPr>
                <w:rFonts w:eastAsia="Calibri"/>
                <w:b/>
              </w:rPr>
            </w:pPr>
            <w:r w:rsidRPr="008744E3">
              <w:rPr>
                <w:rFonts w:eastAsia="Calibri"/>
                <w:sz w:val="20"/>
                <w:szCs w:val="20"/>
              </w:rPr>
              <w:t xml:space="preserve">Број руралних насеља </w:t>
            </w:r>
            <w:r w:rsidRPr="008744E3">
              <w:rPr>
                <w:rFonts w:eastAsia="Calibri"/>
                <w:sz w:val="20"/>
                <w:szCs w:val="20"/>
                <w:lang w:val="sr-Cyrl-RS"/>
              </w:rPr>
              <w:t xml:space="preserve">у белим областима </w:t>
            </w:r>
            <w:r w:rsidRPr="008744E3">
              <w:rPr>
                <w:rFonts w:eastAsia="Calibri"/>
                <w:sz w:val="20"/>
                <w:szCs w:val="20"/>
              </w:rPr>
              <w:t xml:space="preserve">до којих је изграђена </w:t>
            </w:r>
            <w:r w:rsidRPr="008744E3">
              <w:rPr>
                <w:rFonts w:eastAsia="Calibri"/>
                <w:sz w:val="20"/>
                <w:szCs w:val="20"/>
                <w:lang w:val="sr-Cyrl-RS"/>
              </w:rPr>
              <w:t xml:space="preserve">субвенционисана </w:t>
            </w:r>
            <w:r w:rsidRPr="008744E3">
              <w:rPr>
                <w:rFonts w:eastAsia="Calibri"/>
                <w:sz w:val="20"/>
                <w:szCs w:val="20"/>
              </w:rPr>
              <w:t xml:space="preserve">оптичка мрежа </w:t>
            </w:r>
          </w:p>
        </w:tc>
        <w:tc>
          <w:tcPr>
            <w:tcW w:w="1842" w:type="dxa"/>
          </w:tcPr>
          <w:p w14:paraId="17F17E2F"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0</w:t>
            </w:r>
          </w:p>
        </w:tc>
        <w:tc>
          <w:tcPr>
            <w:tcW w:w="1843" w:type="dxa"/>
          </w:tcPr>
          <w:p w14:paraId="26829590"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450</w:t>
            </w:r>
          </w:p>
        </w:tc>
        <w:tc>
          <w:tcPr>
            <w:tcW w:w="1843" w:type="dxa"/>
          </w:tcPr>
          <w:p w14:paraId="7AB06989"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1</w:t>
            </w:r>
            <w:r w:rsidRPr="008744E3">
              <w:rPr>
                <w:rFonts w:eastAsia="Calibri"/>
                <w:bCs/>
                <w:sz w:val="20"/>
                <w:szCs w:val="20"/>
                <w:lang w:val="sr-Cyrl-RS"/>
              </w:rPr>
              <w:t>.</w:t>
            </w:r>
            <w:r w:rsidRPr="008744E3">
              <w:rPr>
                <w:rFonts w:eastAsia="Calibri"/>
                <w:bCs/>
                <w:sz w:val="20"/>
                <w:szCs w:val="20"/>
                <w:lang w:val="sr-Latn-RS"/>
              </w:rPr>
              <w:t>500</w:t>
            </w:r>
          </w:p>
        </w:tc>
      </w:tr>
      <w:tr w:rsidR="00DC7F92" w:rsidRPr="008744E3" w14:paraId="33F2E585" w14:textId="77777777" w:rsidTr="00DC7F92">
        <w:trPr>
          <w:trHeight w:val="284"/>
        </w:trPr>
        <w:tc>
          <w:tcPr>
            <w:tcW w:w="4106" w:type="dxa"/>
          </w:tcPr>
          <w:p w14:paraId="572A1862" w14:textId="77777777" w:rsidR="00DC7F92" w:rsidRPr="008744E3" w:rsidRDefault="00DC7F92" w:rsidP="006B76C3">
            <w:pPr>
              <w:spacing w:after="0"/>
              <w:rPr>
                <w:rFonts w:eastAsia="Calibri"/>
                <w:b/>
              </w:rPr>
            </w:pPr>
            <w:r w:rsidRPr="008744E3">
              <w:rPr>
                <w:rFonts w:eastAsia="Calibri"/>
                <w:sz w:val="20"/>
                <w:szCs w:val="20"/>
              </w:rPr>
              <w:t>Број школских објеката у којима је изграђена бежична локална рачунарска мрежа</w:t>
            </w:r>
          </w:p>
        </w:tc>
        <w:tc>
          <w:tcPr>
            <w:tcW w:w="1842" w:type="dxa"/>
          </w:tcPr>
          <w:p w14:paraId="04F63994"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377</w:t>
            </w:r>
          </w:p>
        </w:tc>
        <w:tc>
          <w:tcPr>
            <w:tcW w:w="1843" w:type="dxa"/>
          </w:tcPr>
          <w:p w14:paraId="750B8B4D"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1</w:t>
            </w:r>
            <w:r w:rsidRPr="008744E3">
              <w:rPr>
                <w:rFonts w:eastAsia="Calibri"/>
                <w:bCs/>
                <w:sz w:val="20"/>
                <w:szCs w:val="20"/>
                <w:lang w:val="sr-Cyrl-RS"/>
              </w:rPr>
              <w:t>.</w:t>
            </w:r>
            <w:r w:rsidRPr="008744E3">
              <w:rPr>
                <w:rFonts w:eastAsia="Calibri"/>
                <w:bCs/>
                <w:sz w:val="20"/>
                <w:szCs w:val="20"/>
                <w:lang w:val="sr-Latn-RS"/>
              </w:rPr>
              <w:t>880</w:t>
            </w:r>
          </w:p>
        </w:tc>
        <w:tc>
          <w:tcPr>
            <w:tcW w:w="1843" w:type="dxa"/>
          </w:tcPr>
          <w:p w14:paraId="56EBED13" w14:textId="77777777" w:rsidR="00DC7F92" w:rsidRPr="008744E3" w:rsidRDefault="00DC7F92" w:rsidP="006B76C3">
            <w:pPr>
              <w:spacing w:after="0"/>
              <w:jc w:val="right"/>
              <w:rPr>
                <w:rFonts w:eastAsia="Calibri"/>
                <w:b/>
                <w:sz w:val="20"/>
                <w:szCs w:val="20"/>
              </w:rPr>
            </w:pPr>
            <w:r w:rsidRPr="008744E3">
              <w:rPr>
                <w:rFonts w:eastAsia="Calibri"/>
                <w:bCs/>
                <w:sz w:val="20"/>
                <w:szCs w:val="20"/>
              </w:rPr>
              <w:t>1</w:t>
            </w:r>
            <w:r w:rsidRPr="008744E3">
              <w:rPr>
                <w:rFonts w:eastAsia="Calibri"/>
                <w:bCs/>
                <w:sz w:val="20"/>
                <w:szCs w:val="20"/>
                <w:lang w:val="sr-Cyrl-RS"/>
              </w:rPr>
              <w:t>.</w:t>
            </w:r>
            <w:r w:rsidRPr="008744E3">
              <w:rPr>
                <w:rFonts w:eastAsia="Calibri"/>
                <w:bCs/>
                <w:sz w:val="20"/>
                <w:szCs w:val="20"/>
              </w:rPr>
              <w:t>880</w:t>
            </w:r>
          </w:p>
        </w:tc>
      </w:tr>
    </w:tbl>
    <w:p w14:paraId="085BDD36"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конкурентност</w:t>
      </w:r>
    </w:p>
    <w:p w14:paraId="47421571"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Подршка дигитализацији формалног образовања, као и сам приступ интернету, представљају неопходну инфраструктуру за развој дигиталне економије и друштва. Позитиван ефекат реализације реформе огледа се кроз 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 Широкопојасни приступ интернету и ИКТ утиче на брже, сигурније и ефикасније пословање чиме се повећава продуктивност предузећа и смањују трошкови пословања.</w:t>
      </w:r>
    </w:p>
    <w:p w14:paraId="4D3D6C10"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lastRenderedPageBreak/>
        <w:t>Процењени трошкови активности и извори финансирања</w:t>
      </w:r>
    </w:p>
    <w:p w14:paraId="48677DC0"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2022. години за повезивање установа образовања и културе на АМРЕС (унапређење квалитета и брзине) биће обезбеђено 1,925 милиона евра буџетских средстава</w:t>
      </w:r>
      <w:r>
        <w:rPr>
          <w:rFonts w:eastAsia="Times New Roman" w:cs="Times New Roman"/>
          <w:szCs w:val="24"/>
          <w:lang w:val="sr-Cyrl-RS"/>
        </w:rPr>
        <w:t>.</w:t>
      </w:r>
      <w:r w:rsidRPr="008744E3">
        <w:rPr>
          <w:rFonts w:eastAsia="Times New Roman" w:cs="Times New Roman"/>
          <w:szCs w:val="24"/>
          <w:lang w:val="sr-Cyrl-RS"/>
        </w:rPr>
        <w:t xml:space="preserve"> </w:t>
      </w:r>
      <w:r>
        <w:rPr>
          <w:rFonts w:eastAsia="Times New Roman" w:cs="Times New Roman"/>
          <w:szCs w:val="24"/>
          <w:lang w:val="sr-Cyrl-RS"/>
        </w:rPr>
        <w:t>З</w:t>
      </w:r>
      <w:r w:rsidRPr="008744E3">
        <w:rPr>
          <w:rFonts w:eastAsia="Times New Roman" w:cs="Times New Roman"/>
          <w:szCs w:val="24"/>
          <w:lang w:val="sr-Cyrl-RS"/>
        </w:rPr>
        <w:t>а реализацију пројекта „Повезане школе”</w:t>
      </w:r>
      <w:r>
        <w:rPr>
          <w:rFonts w:eastAsia="Times New Roman" w:cs="Times New Roman"/>
          <w:szCs w:val="24"/>
          <w:lang w:val="sr-Latn-RS"/>
        </w:rPr>
        <w:t xml:space="preserve"> </w:t>
      </w:r>
      <w:r w:rsidRPr="008744E3">
        <w:rPr>
          <w:rFonts w:eastAsia="Times New Roman" w:cs="Times New Roman"/>
          <w:szCs w:val="24"/>
          <w:lang w:val="sr-Cyrl-RS"/>
        </w:rPr>
        <w:t>- фаза 3 биће издвојено 5,6 милиона евра из пројектног зајма</w:t>
      </w:r>
      <w:r>
        <w:rPr>
          <w:rFonts w:eastAsia="Times New Roman" w:cs="Times New Roman"/>
          <w:szCs w:val="24"/>
          <w:lang w:val="sr-Cyrl-RS"/>
        </w:rPr>
        <w:t>.</w:t>
      </w:r>
      <w:r w:rsidRPr="008744E3">
        <w:rPr>
          <w:rFonts w:eastAsia="Times New Roman" w:cs="Times New Roman"/>
          <w:szCs w:val="24"/>
          <w:lang w:val="sr-Cyrl-RS"/>
        </w:rPr>
        <w:t xml:space="preserve">  </w:t>
      </w:r>
      <w:r>
        <w:rPr>
          <w:rFonts w:eastAsia="Times New Roman" w:cs="Times New Roman"/>
          <w:szCs w:val="24"/>
          <w:lang w:val="sr-Cyrl-RS"/>
        </w:rPr>
        <w:t>З</w:t>
      </w:r>
      <w:r w:rsidRPr="008744E3">
        <w:rPr>
          <w:rFonts w:eastAsia="Times New Roman" w:cs="Times New Roman"/>
          <w:szCs w:val="24"/>
          <w:lang w:val="sr-Cyrl-RS"/>
        </w:rPr>
        <w:t xml:space="preserve">а реализацију активности на изградњи оптичке широкопојасне мреже у руралним областима – фаза 1 из пројектног зајма биће обезбеђено 10,8 милиона евра. </w:t>
      </w:r>
      <w:r w:rsidRPr="00C87377">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14:paraId="455003B8"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2023. години планирана су буџетска средства у износу од 1,925 милиона евра за повезивање установа образовања и културе на АМРЕС мрежу (унапређење квалитета и брзине).</w:t>
      </w:r>
      <w:r>
        <w:rPr>
          <w:rFonts w:eastAsia="Times New Roman" w:cs="Times New Roman"/>
          <w:szCs w:val="24"/>
          <w:lang w:val="sr-Cyrl-RS"/>
        </w:rPr>
        <w:t xml:space="preserve"> </w:t>
      </w:r>
      <w:r w:rsidRPr="008744E3">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14:paraId="29AB82EF"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2024. години планирана су буџетска средства у износу од 1,925 милиона евра за повезивање установа образовања и културе на АМРЕС мрежу (унапређење квалитета и брзине).</w:t>
      </w:r>
      <w:r>
        <w:rPr>
          <w:rFonts w:eastAsia="Times New Roman" w:cs="Times New Roman"/>
          <w:szCs w:val="24"/>
          <w:lang w:val="sr-Cyrl-RS"/>
        </w:rPr>
        <w:t xml:space="preserve"> </w:t>
      </w:r>
      <w:r w:rsidRPr="00C87377">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14:paraId="33CAE38A"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социјалне циљеве, као што су запосленост, смањење сиромаштва, родна равноправност и приступ здравственој заштити</w:t>
      </w:r>
    </w:p>
    <w:p w14:paraId="09880160"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Изградња широкопојасних комуникационих мрежа омогућава запошљавање, али и рад преко интернета и пораст броја радних места у практично свим секторима, укључујући и сектор ИКТ. Подизање нивоа знања, компетенција и вештина у области ИКТ доприноси већим могућностима запошљавања у областима у којима долази до увођења или повећања коришћења нових технологија у пословању. Обезбеђењем широкопојасног приступа нове генерације смањиле би се регионалне разлике између руралних и градских и приградских насеља и омогућио би се уједначен развој свих региона Републике Србије што би дало подршку депопулацији руралних средина.</w:t>
      </w:r>
    </w:p>
    <w:p w14:paraId="41A963FE"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животну средину и климатске промене</w:t>
      </w:r>
    </w:p>
    <w:p w14:paraId="78F4EA34" w14:textId="67BDEFA2" w:rsidR="006B76C3" w:rsidRPr="008744E3" w:rsidRDefault="00DC7F92" w:rsidP="00DC7F92">
      <w:pPr>
        <w:rPr>
          <w:rFonts w:eastAsia="Times New Roman" w:cs="Times New Roman"/>
          <w:szCs w:val="24"/>
          <w:lang w:val="sr-Cyrl-RS"/>
        </w:rPr>
      </w:pPr>
      <w:r w:rsidRPr="008744E3">
        <w:rPr>
          <w:rFonts w:eastAsia="Times New Roman" w:cs="Times New Roman"/>
          <w:szCs w:val="24"/>
          <w:lang w:val="sr-Cyrl-RS"/>
        </w:rPr>
        <w:t>Изградња планиране комуникационе инфраструктуре не представља опасност по здравље људи и нема утицај на промене животне средине.</w:t>
      </w:r>
    </w:p>
    <w:p w14:paraId="01CCC4F5" w14:textId="77777777" w:rsidR="00DC7F92" w:rsidRPr="008744E3" w:rsidRDefault="00DC7F92" w:rsidP="004D22FA">
      <w:pPr>
        <w:numPr>
          <w:ilvl w:val="0"/>
          <w:numId w:val="36"/>
        </w:numPr>
        <w:spacing w:before="120"/>
        <w:rPr>
          <w:rFonts w:eastAsia="Times New Roman" w:cs="Times New Roman"/>
          <w:b/>
          <w:szCs w:val="24"/>
        </w:rPr>
      </w:pPr>
      <w:r w:rsidRPr="008744E3">
        <w:rPr>
          <w:rFonts w:eastAsia="Times New Roman" w:cs="Times New Roman"/>
          <w:b/>
          <w:szCs w:val="24"/>
        </w:rPr>
        <w:t>Потенцијални ризици</w:t>
      </w:r>
    </w:p>
    <w:tbl>
      <w:tblPr>
        <w:tblStyle w:val="TableGrid13"/>
        <w:tblW w:w="9694" w:type="dxa"/>
        <w:tblInd w:w="-5" w:type="dxa"/>
        <w:tblLayout w:type="fixed"/>
        <w:tblLook w:val="04A0" w:firstRow="1" w:lastRow="0" w:firstColumn="1" w:lastColumn="0" w:noHBand="0" w:noVBand="1"/>
      </w:tblPr>
      <w:tblGrid>
        <w:gridCol w:w="3329"/>
        <w:gridCol w:w="2200"/>
        <w:gridCol w:w="4165"/>
      </w:tblGrid>
      <w:tr w:rsidR="00DC7F92" w:rsidRPr="008744E3" w14:paraId="5CAF04AB" w14:textId="77777777" w:rsidTr="00DC7F92">
        <w:trPr>
          <w:trHeight w:val="421"/>
        </w:trPr>
        <w:tc>
          <w:tcPr>
            <w:tcW w:w="3329" w:type="dxa"/>
            <w:vAlign w:val="center"/>
          </w:tcPr>
          <w:p w14:paraId="27AC92CB"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22883A89"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5F3A5A82"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6595FEC4" w14:textId="77777777" w:rsidTr="00DC7F92">
        <w:trPr>
          <w:trHeight w:val="429"/>
        </w:trPr>
        <w:tc>
          <w:tcPr>
            <w:tcW w:w="3329" w:type="dxa"/>
          </w:tcPr>
          <w:p w14:paraId="4152ECFC"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Неправовремено проналажење стабилних извора финансирања, како би се испоштовали дефинисани рокови</w:t>
            </w:r>
          </w:p>
        </w:tc>
        <w:tc>
          <w:tcPr>
            <w:tcW w:w="2200" w:type="dxa"/>
          </w:tcPr>
          <w:p w14:paraId="255A69B9"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14:paraId="1896A072"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Благовремено планирање и аплицирање код међународних финансијских институција</w:t>
            </w:r>
          </w:p>
        </w:tc>
      </w:tr>
      <w:tr w:rsidR="00DC7F92" w:rsidRPr="008744E3" w14:paraId="5E60D495" w14:textId="77777777" w:rsidTr="00DC7F92">
        <w:trPr>
          <w:trHeight w:val="536"/>
        </w:trPr>
        <w:tc>
          <w:tcPr>
            <w:tcW w:w="3329" w:type="dxa"/>
          </w:tcPr>
          <w:p w14:paraId="465B9EBD"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Низак ниво сарадње оператора у погледу достављања података о доступности широкопојасних сервиса</w:t>
            </w:r>
          </w:p>
        </w:tc>
        <w:tc>
          <w:tcPr>
            <w:tcW w:w="2200" w:type="dxa"/>
          </w:tcPr>
          <w:p w14:paraId="43E583F7"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Ниска</w:t>
            </w:r>
          </w:p>
        </w:tc>
        <w:tc>
          <w:tcPr>
            <w:tcW w:w="4165" w:type="dxa"/>
          </w:tcPr>
          <w:p w14:paraId="5704634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Ангажовање добављача који би урадио онлајн и теренско прикупљање података у руралним областима / доношење регулативе која утврђује обавезу оператора да достављају податке ресорном министарству</w:t>
            </w:r>
          </w:p>
        </w:tc>
      </w:tr>
      <w:tr w:rsidR="00DC7F92" w:rsidRPr="008744E3" w14:paraId="2B0CB8C8" w14:textId="77777777" w:rsidTr="00DC7F92">
        <w:trPr>
          <w:trHeight w:val="536"/>
        </w:trPr>
        <w:tc>
          <w:tcPr>
            <w:tcW w:w="3329" w:type="dxa"/>
          </w:tcPr>
          <w:p w14:paraId="43C850C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Недовољна заинтересованост оператора за заједничку изградњу инфраструктуре</w:t>
            </w:r>
          </w:p>
        </w:tc>
        <w:tc>
          <w:tcPr>
            <w:tcW w:w="2200" w:type="dxa"/>
          </w:tcPr>
          <w:p w14:paraId="76CF339C"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14:paraId="05FBE1A9"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 xml:space="preserve">Повећање удела буџета РС у финансирању заједничке изградње инфраструктуре </w:t>
            </w:r>
          </w:p>
        </w:tc>
      </w:tr>
      <w:tr w:rsidR="00DC7F92" w:rsidRPr="008744E3" w14:paraId="66F26E25" w14:textId="77777777" w:rsidTr="00DC7F92">
        <w:trPr>
          <w:trHeight w:val="536"/>
        </w:trPr>
        <w:tc>
          <w:tcPr>
            <w:tcW w:w="3329" w:type="dxa"/>
          </w:tcPr>
          <w:p w14:paraId="2219A6D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Благовремено исходовање потребних грађевинских дозвола</w:t>
            </w:r>
          </w:p>
        </w:tc>
        <w:tc>
          <w:tcPr>
            <w:tcW w:w="2200" w:type="dxa"/>
          </w:tcPr>
          <w:p w14:paraId="4D21C225"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14:paraId="2321E8F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Ангажовање консултанта за координацију са другим државним органима и јединица локалне самоуправе (ЈЛС)</w:t>
            </w:r>
          </w:p>
        </w:tc>
      </w:tr>
    </w:tbl>
    <w:p w14:paraId="7D78604C" w14:textId="471A352B" w:rsidR="00DC7F92" w:rsidRDefault="00DC7F92" w:rsidP="00DC7F92">
      <w:pPr>
        <w:spacing w:after="60"/>
        <w:rPr>
          <w:rFonts w:eastAsia="Calibri" w:cs="Times New Roman"/>
          <w:szCs w:val="24"/>
          <w:lang w:val="sr-Cyrl-RS"/>
        </w:rPr>
      </w:pPr>
    </w:p>
    <w:p w14:paraId="0E13422B" w14:textId="77777777" w:rsidR="00DC7F92" w:rsidRPr="008744E3" w:rsidRDefault="00DC7F92" w:rsidP="00DC7F92">
      <w:pPr>
        <w:spacing w:before="120"/>
        <w:rPr>
          <w:rFonts w:ascii="Calibri" w:eastAsia="Calibri" w:hAnsi="Calibri" w:cs="Times New Roman"/>
          <w:szCs w:val="24"/>
          <w:lang w:val="sr-Cyrl-RS"/>
        </w:rPr>
      </w:pPr>
      <w:r w:rsidRPr="008744E3">
        <w:rPr>
          <w:rFonts w:eastAsia="Calibri" w:cs="Times New Roman"/>
          <w:b/>
          <w:szCs w:val="24"/>
          <w:u w:val="single"/>
          <w:lang w:val="sr-Cyrl-RS"/>
        </w:rPr>
        <w:lastRenderedPageBreak/>
        <w:t xml:space="preserve">СТРУКТУРНА РЕФОРМА </w:t>
      </w:r>
      <w:r w:rsidRPr="00071894">
        <w:rPr>
          <w:rFonts w:eastAsia="Calibri" w:cs="Times New Roman"/>
          <w:b/>
          <w:szCs w:val="24"/>
          <w:u w:val="single"/>
          <w:lang w:val="sr-Cyrl-RS"/>
        </w:rPr>
        <w:t>13</w:t>
      </w:r>
      <w:r w:rsidRPr="008744E3">
        <w:rPr>
          <w:rFonts w:eastAsia="Calibri" w:cs="Times New Roman"/>
          <w:b/>
          <w:szCs w:val="24"/>
          <w:lang w:val="sr-Cyrl-RS"/>
        </w:rPr>
        <w:t xml:space="preserve">: </w:t>
      </w:r>
      <w:r w:rsidRPr="008744E3">
        <w:rPr>
          <w:rFonts w:eastAsia="Calibri" w:cs="Times New Roman"/>
          <w:szCs w:val="24"/>
          <w:lang w:val="sr-Cyrl-RS"/>
        </w:rPr>
        <w:t>УСПОСТАВЉАЊЕ ИНФРАСТРУКТУРЕ И ОКРУЖЕЊА ЗА КРЕИРАЊЕ И ПРИМЕНУ ИНОВАТИВНИХ И РЕШЕЊА БАЗИРАНИХ НА ВЕШТАЧКОЈ ИНТЕЛИГЕНЦИЈИ</w:t>
      </w:r>
    </w:p>
    <w:p w14:paraId="13DE1728" w14:textId="77777777" w:rsidR="00DC7F92" w:rsidRPr="008744E3" w:rsidRDefault="00DC7F92" w:rsidP="004D22FA">
      <w:pPr>
        <w:widowControl w:val="0"/>
        <w:numPr>
          <w:ilvl w:val="0"/>
          <w:numId w:val="35"/>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4A2B2176" w14:textId="77777777" w:rsidR="00DC7F92" w:rsidRPr="008744E3" w:rsidRDefault="00DC7F92" w:rsidP="00DC7F92">
      <w:pPr>
        <w:spacing w:after="60"/>
        <w:rPr>
          <w:rFonts w:eastAsia="Times New Roman" w:cs="Times New Roman"/>
          <w:szCs w:val="24"/>
          <w:lang w:val="sr-Cyrl-RS"/>
        </w:rPr>
      </w:pPr>
      <w:r w:rsidRPr="008744E3">
        <w:rPr>
          <w:rFonts w:eastAsia="Calibri" w:cs="Times New Roman"/>
          <w:szCs w:val="24"/>
        </w:rPr>
        <w:t xml:space="preserve">Програм дигитализације </w:t>
      </w:r>
      <w:r w:rsidRPr="008744E3">
        <w:rPr>
          <w:rFonts w:eastAsia="Calibri" w:cs="Times New Roman"/>
          <w:szCs w:val="24"/>
          <w:lang w:val="sr-Cyrl-RS"/>
        </w:rPr>
        <w:t xml:space="preserve">највећим делом се </w:t>
      </w:r>
      <w:r w:rsidRPr="008744E3">
        <w:rPr>
          <w:rFonts w:eastAsia="Calibri" w:cs="Times New Roman"/>
          <w:szCs w:val="24"/>
        </w:rPr>
        <w:t xml:space="preserve">спроводи кроз пројекат </w:t>
      </w:r>
      <w:r w:rsidRPr="008744E3">
        <w:rPr>
          <w:rFonts w:eastAsia="Calibri" w:cs="Times New Roman"/>
          <w:bCs/>
          <w:i/>
          <w:szCs w:val="24"/>
        </w:rPr>
        <w:t>Србија на дохват руке – Дигитална трансформација за развој</w:t>
      </w:r>
      <w:r w:rsidRPr="008744E3">
        <w:rPr>
          <w:rFonts w:eastAsia="Calibri" w:cs="Times New Roman"/>
          <w:i/>
          <w:szCs w:val="24"/>
        </w:rPr>
        <w:t>,</w:t>
      </w:r>
      <w:r w:rsidRPr="008744E3">
        <w:rPr>
          <w:rFonts w:eastAsia="Calibri" w:cs="Times New Roman"/>
          <w:szCs w:val="24"/>
        </w:rPr>
        <w:t xml:space="preserve"> који укључује </w:t>
      </w:r>
      <w:r w:rsidRPr="008744E3">
        <w:rPr>
          <w:rFonts w:eastAsia="Calibri" w:cs="Times New Roman"/>
          <w:szCs w:val="24"/>
          <w:lang w:val="sr-Cyrl-RS"/>
        </w:rPr>
        <w:t xml:space="preserve">и </w:t>
      </w:r>
      <w:r w:rsidRPr="008744E3">
        <w:rPr>
          <w:rFonts w:eastAsia="Calibri" w:cs="Times New Roman"/>
          <w:szCs w:val="24"/>
        </w:rPr>
        <w:t>подршку за реализацију великих инфраструктурних пројеката</w:t>
      </w:r>
      <w:r w:rsidRPr="008744E3">
        <w:rPr>
          <w:rFonts w:eastAsia="Calibri" w:cs="Times New Roman"/>
          <w:szCs w:val="24"/>
          <w:lang w:val="sr-Cyrl-RS"/>
        </w:rPr>
        <w:t xml:space="preserve">. </w:t>
      </w:r>
      <w:r w:rsidRPr="008744E3">
        <w:rPr>
          <w:rFonts w:eastAsia="Times New Roman" w:cs="Times New Roman"/>
          <w:szCs w:val="24"/>
          <w:lang w:val="sr-Cyrl-RS"/>
        </w:rPr>
        <w:t>Наставља се изградња неопходне инфраструктуре у комплексу Државног центра за управљање и чување података – Дата центар (ДЦ) у Крагујевцу, која је предвиђена Програмом развоја еУправе и Стратегијом развоја вештачке интелигенције. Инфраструктура ће омогућити даљи развој вештачке интелигенције (ВИ) кроз успостављање платформе, набавку суперрачунара, креирање библиотеке за похрањивање огромне количине података/информација (big data).</w:t>
      </w:r>
    </w:p>
    <w:p w14:paraId="73AF9417"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Како би се обезбедио простор који ће стимулисати иновативност и креативност, у току је припрема за изградњу Креативно-иновативног мултифункционалног центра ,,Ложионица“ у Београду. Центар треба да буде место где ће се српски креативни бизнис међусобно и интернационално повезивати и умрежавати, размењивати знања и искуства, а уједно ће представљати и хуб за развој нових идеја и иницијатива. </w:t>
      </w:r>
    </w:p>
    <w:p w14:paraId="31D12999" w14:textId="5D95829B" w:rsidR="00DC7F92" w:rsidRPr="008744E3" w:rsidRDefault="00DC7F92" w:rsidP="00DC7F92">
      <w:pPr>
        <w:spacing w:after="60"/>
        <w:rPr>
          <w:rFonts w:eastAsia="Times New Roman" w:cs="Times New Roman"/>
          <w:szCs w:val="24"/>
        </w:rPr>
      </w:pPr>
      <w:r w:rsidRPr="008744E3">
        <w:rPr>
          <w:rFonts w:eastAsia="Times New Roman" w:cs="Times New Roman"/>
          <w:szCs w:val="24"/>
          <w:lang w:val="sr-Cyrl-RS"/>
        </w:rPr>
        <w:t xml:space="preserve">Кроз спровођење пројекта </w:t>
      </w:r>
      <w:r w:rsidRPr="008744E3">
        <w:rPr>
          <w:rFonts w:eastAsia="Times New Roman" w:cs="Times New Roman"/>
          <w:szCs w:val="24"/>
        </w:rPr>
        <w:t>Smart</w:t>
      </w:r>
      <w:r w:rsidRPr="008744E3">
        <w:rPr>
          <w:rFonts w:eastAsia="Times New Roman" w:cs="Times New Roman"/>
          <w:szCs w:val="24"/>
          <w:lang w:val="sr-Cyrl-RS"/>
        </w:rPr>
        <w:t xml:space="preserve"> </w:t>
      </w:r>
      <w:r w:rsidRPr="008744E3">
        <w:rPr>
          <w:rFonts w:eastAsia="Times New Roman" w:cs="Times New Roman"/>
          <w:szCs w:val="24"/>
        </w:rPr>
        <w:t>City</w:t>
      </w:r>
      <w:r w:rsidRPr="008744E3">
        <w:rPr>
          <w:rFonts w:eastAsia="Times New Roman" w:cs="Times New Roman"/>
          <w:szCs w:val="24"/>
          <w:lang w:val="sr-Cyrl-RS"/>
        </w:rPr>
        <w:t xml:space="preserve">, радиће се на јачању одрживог функционисања јединица локалне самоуправе употребом иновативних решења. Паметне сензорске мреже и предиктивни управљачки алгоритми ће, су неки од алата који ће трансформисати урбане средине у атрактивније и одрживије, привлачније за иновативну привреду, уз широки спектар других </w:t>
      </w:r>
      <w:r w:rsidR="00882DE6">
        <w:rPr>
          <w:rFonts w:eastAsia="Times New Roman" w:cs="Times New Roman"/>
          <w:szCs w:val="24"/>
          <w:lang w:val="sr-Cyrl-RS"/>
        </w:rPr>
        <w:t>користи</w:t>
      </w:r>
      <w:r w:rsidR="00882DE6" w:rsidRPr="008744E3">
        <w:rPr>
          <w:rFonts w:eastAsia="Times New Roman" w:cs="Times New Roman"/>
          <w:szCs w:val="24"/>
          <w:lang w:val="sr-Cyrl-RS"/>
        </w:rPr>
        <w:t xml:space="preserve"> </w:t>
      </w:r>
      <w:r w:rsidRPr="008744E3">
        <w:rPr>
          <w:rFonts w:eastAsia="Times New Roman" w:cs="Times New Roman"/>
          <w:szCs w:val="24"/>
          <w:lang w:val="sr-Cyrl-RS"/>
        </w:rPr>
        <w:t>који доприносе квалитету живота грађана.</w:t>
      </w:r>
      <w:r w:rsidRPr="008744E3">
        <w:rPr>
          <w:rFonts w:eastAsia="Times New Roman" w:cs="Times New Roman"/>
          <w:szCs w:val="24"/>
        </w:rPr>
        <w:t xml:space="preserve"> Предност ће имати она решења ће се бавити социјалном инклузијом и заштитом животне средине, и која ће утицати на свеобухватни друштвено-економски раст.</w:t>
      </w:r>
      <w:r w:rsidR="00882DE6" w:rsidRPr="00882DE6">
        <w:t xml:space="preserve"> </w:t>
      </w:r>
      <w:r w:rsidR="00882DE6" w:rsidRPr="00882DE6">
        <w:rPr>
          <w:rFonts w:eastAsia="Times New Roman" w:cs="Times New Roman"/>
          <w:szCs w:val="24"/>
        </w:rPr>
        <w:t>Реформа доприноси остваривању ЦОР 9.б Подржати развој домаће технологије, истраживања и иновације, укључујући осигурање погодног окружења у погледу политика за, између осталог, индустријску диверсификацију и додатну вредност роба, као и ЦОР 11.3. До 2030. унапредити инклузивну и одрживу урбанизацију и капацитете за партиципативно, интегрисано и одрживо планирање и управљање људским насељима.</w:t>
      </w:r>
    </w:p>
    <w:p w14:paraId="40359425"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6B016CBF"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628126CE"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FBAA519"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65C7804"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2474F351"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5A7374E"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4985C28A"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30B5CB2E"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49407DD9"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4A28DB60"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C74E125"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AEE182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B21E74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EB2C82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BB5DBA2"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AB7B0A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401494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0658C6D"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2C904B2"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4C5E500"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6EEFDA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39A8B743" w14:textId="77777777" w:rsidTr="006B76C3">
        <w:trPr>
          <w:trHeight w:val="300"/>
        </w:trPr>
        <w:tc>
          <w:tcPr>
            <w:tcW w:w="426" w:type="dxa"/>
            <w:tcBorders>
              <w:top w:val="nil"/>
              <w:left w:val="single" w:sz="8" w:space="0" w:color="auto"/>
              <w:bottom w:val="single" w:sz="4" w:space="0" w:color="auto"/>
              <w:right w:val="nil"/>
            </w:tcBorders>
            <w:shd w:val="clear" w:color="auto" w:fill="auto"/>
          </w:tcPr>
          <w:p w14:paraId="2B84FE14"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281405DB"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 xml:space="preserve">Обезбеђивање неопходне инфраструктуре и ресурса за развој </w:t>
            </w:r>
            <w:r w:rsidRPr="008744E3">
              <w:rPr>
                <w:rFonts w:eastAsia="Calibri" w:cs="Times New Roman"/>
                <w:sz w:val="20"/>
                <w:szCs w:val="20"/>
                <w:lang w:val="sr-Cyrl-RS"/>
              </w:rPr>
              <w:t>ВИ</w:t>
            </w:r>
            <w:r w:rsidRPr="008744E3">
              <w:rPr>
                <w:rFonts w:eastAsia="Calibri" w:cs="Times New Roman"/>
                <w:sz w:val="20"/>
                <w:szCs w:val="20"/>
              </w:rPr>
              <w:t xml:space="preserve"> у ДЦ у Крагујевцу</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3316C1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A0B82E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6AA5AC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06A0D6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F90818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5C60DD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A0D6C8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0099A8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B7A60A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DA82D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9DA575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85540EE"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971D88D" w14:textId="77777777" w:rsidTr="006B76C3">
        <w:trPr>
          <w:trHeight w:val="300"/>
        </w:trPr>
        <w:tc>
          <w:tcPr>
            <w:tcW w:w="426" w:type="dxa"/>
            <w:tcBorders>
              <w:top w:val="single" w:sz="4" w:space="0" w:color="auto"/>
              <w:left w:val="single" w:sz="8" w:space="0" w:color="auto"/>
              <w:bottom w:val="single" w:sz="4" w:space="0" w:color="auto"/>
              <w:right w:val="nil"/>
            </w:tcBorders>
            <w:shd w:val="clear" w:color="auto" w:fill="auto"/>
          </w:tcPr>
          <w:p w14:paraId="188B6626"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14:paraId="36DA8D5B"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 xml:space="preserve">Спровођење Јавног позива за </w:t>
            </w:r>
            <w:r w:rsidRPr="008744E3">
              <w:rPr>
                <w:rFonts w:eastAsia="Calibri" w:cs="Times New Roman"/>
                <w:sz w:val="20"/>
                <w:szCs w:val="20"/>
                <w:lang w:val="sr-Cyrl-RS"/>
              </w:rPr>
              <w:t>7</w:t>
            </w:r>
            <w:r w:rsidRPr="008744E3">
              <w:rPr>
                <w:rFonts w:eastAsia="Calibri" w:cs="Times New Roman"/>
                <w:sz w:val="20"/>
                <w:szCs w:val="20"/>
              </w:rPr>
              <w:t xml:space="preserve"> град</w:t>
            </w:r>
            <w:r w:rsidRPr="008744E3">
              <w:rPr>
                <w:rFonts w:eastAsia="Calibri" w:cs="Times New Roman"/>
                <w:sz w:val="20"/>
                <w:szCs w:val="20"/>
                <w:lang w:val="sr-Cyrl-RS"/>
              </w:rPr>
              <w:t>ов</w:t>
            </w:r>
            <w:r w:rsidRPr="008744E3">
              <w:rPr>
                <w:rFonts w:eastAsia="Calibri" w:cs="Times New Roman"/>
                <w:sz w:val="20"/>
                <w:szCs w:val="20"/>
              </w:rPr>
              <w:t>а/ЈЛС</w:t>
            </w:r>
            <w:r w:rsidRPr="008744E3">
              <w:rPr>
                <w:rFonts w:eastAsia="Calibri" w:cs="Times New Roman"/>
                <w:sz w:val="20"/>
                <w:szCs w:val="20"/>
                <w:lang w:val="sr-Cyrl-RS"/>
              </w:rPr>
              <w:t xml:space="preserve"> за</w:t>
            </w:r>
            <w:r w:rsidRPr="008744E3">
              <w:rPr>
                <w:rFonts w:eastAsia="Calibri" w:cs="Times New Roman"/>
                <w:sz w:val="20"/>
                <w:szCs w:val="20"/>
              </w:rPr>
              <w:t xml:space="preserve"> учешће у пројекту Smart City</w:t>
            </w:r>
            <w:r w:rsidRPr="008744E3">
              <w:rPr>
                <w:rFonts w:eastAsia="Calibri" w:cs="Times New Roman"/>
                <w:sz w:val="20"/>
                <w:szCs w:val="20"/>
                <w:lang w:val="sr-Cyrl-RS"/>
              </w:rPr>
              <w:t>,</w:t>
            </w:r>
            <w:r w:rsidRPr="008744E3">
              <w:rPr>
                <w:rFonts w:eastAsia="Calibri" w:cs="Times New Roman"/>
                <w:sz w:val="20"/>
                <w:szCs w:val="20"/>
              </w:rPr>
              <w:t xml:space="preserve"> у партнерству за привредом и академском заједницом </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796DB5D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0E52A5C"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7296C2A4"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8" w:space="0" w:color="auto"/>
            </w:tcBorders>
            <w:shd w:val="clear" w:color="auto" w:fill="BFBFBF"/>
            <w:vAlign w:val="center"/>
          </w:tcPr>
          <w:p w14:paraId="1CB608C4"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E7AF789"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1E76FC51"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5BA7615"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6D50E87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53F3A34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4CAD61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4843C9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50167ACD"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5994104B"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F8D5709"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1C50EEDB"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Израда техничке документације и припреме за почетак изградње центра ,,Ложионица”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67E80154"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4A87CF14"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7200AC1"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03497BD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351F8B0B"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625EC7C"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7EE001A"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1086C1FC"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CCCA08A"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137864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A264753"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298B2195" w14:textId="77777777" w:rsidR="00DC7F92" w:rsidRPr="008744E3" w:rsidRDefault="00DC7F92" w:rsidP="00DC7F92">
            <w:pPr>
              <w:spacing w:after="0"/>
              <w:jc w:val="center"/>
              <w:rPr>
                <w:rFonts w:eastAsia="Times New Roman" w:cs="Times New Roman"/>
                <w:b/>
                <w:bCs/>
                <w:sz w:val="20"/>
                <w:szCs w:val="20"/>
                <w:lang w:val="sr-Cyrl-RS"/>
              </w:rPr>
            </w:pPr>
          </w:p>
        </w:tc>
      </w:tr>
      <w:tr w:rsidR="00DC7F92" w:rsidRPr="008744E3" w14:paraId="57EB3252" w14:textId="77777777"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14:paraId="2041EBCF"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1C002085"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Завршетак изградње центра ,,Ложионица” и прибављање употребне дозволе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4BEC4A42"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2E9ABCE"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1970D1E8"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1831837B"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3E8DC32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F837A5D"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1FA3686"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vAlign w:val="center"/>
          </w:tcPr>
          <w:p w14:paraId="070A8C5F"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3AB7DC3F"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A893E85"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E3041CB"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5C58DB8A" w14:textId="77777777" w:rsidR="00DC7F92" w:rsidRPr="008744E3" w:rsidRDefault="00DC7F92" w:rsidP="00DC7F92">
            <w:pPr>
              <w:spacing w:after="0"/>
              <w:jc w:val="center"/>
              <w:rPr>
                <w:rFonts w:eastAsia="Times New Roman" w:cs="Times New Roman"/>
                <w:b/>
                <w:bCs/>
                <w:sz w:val="20"/>
                <w:szCs w:val="20"/>
                <w:lang w:val="sr-Cyrl-RS"/>
              </w:rPr>
            </w:pPr>
          </w:p>
        </w:tc>
      </w:tr>
      <w:tr w:rsidR="00DC7F92" w:rsidRPr="008744E3" w14:paraId="6E41C33E" w14:textId="77777777" w:rsidTr="00DC7F92">
        <w:trPr>
          <w:trHeight w:val="300"/>
        </w:trPr>
        <w:tc>
          <w:tcPr>
            <w:tcW w:w="426" w:type="dxa"/>
            <w:tcBorders>
              <w:top w:val="single" w:sz="4" w:space="0" w:color="auto"/>
              <w:left w:val="single" w:sz="8" w:space="0" w:color="auto"/>
              <w:bottom w:val="single" w:sz="8" w:space="0" w:color="auto"/>
              <w:right w:val="single" w:sz="4" w:space="0" w:color="auto"/>
            </w:tcBorders>
            <w:shd w:val="clear" w:color="auto" w:fill="auto"/>
          </w:tcPr>
          <w:p w14:paraId="74F650EC"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288B6579"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Опремање и пуштање у рад центра ,,Ложионица”</w:t>
            </w: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14:paraId="06C090A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24791069"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3774E28"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22FE2F59"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14:paraId="0C6B2281"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0517790C"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708B6E17"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300B530E"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3D7E0CBD"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27BB8188"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5F651433"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43C4C18B" w14:textId="77777777" w:rsidR="00DC7F92" w:rsidRPr="008744E3" w:rsidRDefault="00DC7F92" w:rsidP="00DC7F92">
            <w:pPr>
              <w:spacing w:after="0"/>
              <w:jc w:val="center"/>
              <w:rPr>
                <w:rFonts w:eastAsia="Times New Roman" w:cs="Times New Roman"/>
                <w:b/>
                <w:bCs/>
                <w:sz w:val="20"/>
                <w:szCs w:val="20"/>
                <w:lang w:val="sr-Cyrl-RS"/>
              </w:rPr>
            </w:pPr>
          </w:p>
        </w:tc>
      </w:tr>
    </w:tbl>
    <w:p w14:paraId="6BEC01E1" w14:textId="77777777" w:rsidR="00DC7F92" w:rsidRPr="008744E3" w:rsidRDefault="00DC7F92" w:rsidP="004D22FA">
      <w:pPr>
        <w:widowControl w:val="0"/>
        <w:numPr>
          <w:ilvl w:val="0"/>
          <w:numId w:val="35"/>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3"/>
        <w:tblW w:w="9634" w:type="dxa"/>
        <w:tblLayout w:type="fixed"/>
        <w:tblLook w:val="04A0" w:firstRow="1" w:lastRow="0" w:firstColumn="1" w:lastColumn="0" w:noHBand="0" w:noVBand="1"/>
      </w:tblPr>
      <w:tblGrid>
        <w:gridCol w:w="4106"/>
        <w:gridCol w:w="1842"/>
        <w:gridCol w:w="1843"/>
        <w:gridCol w:w="1843"/>
      </w:tblGrid>
      <w:tr w:rsidR="00DC7F92" w:rsidRPr="008744E3" w14:paraId="34F0B1E8" w14:textId="77777777" w:rsidTr="00DC7F92">
        <w:tc>
          <w:tcPr>
            <w:tcW w:w="4106" w:type="dxa"/>
            <w:vAlign w:val="center"/>
          </w:tcPr>
          <w:p w14:paraId="5811055B"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20074E33"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14:paraId="534FC1B5"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14:paraId="35C72C06"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14:paraId="0CC66944" w14:textId="77777777" w:rsidTr="00DC7F92">
        <w:trPr>
          <w:trHeight w:val="284"/>
        </w:trPr>
        <w:tc>
          <w:tcPr>
            <w:tcW w:w="4106" w:type="dxa"/>
            <w:vAlign w:val="center"/>
          </w:tcPr>
          <w:p w14:paraId="10E5CEF3" w14:textId="77777777" w:rsidR="00DC7F92" w:rsidRPr="008744E3" w:rsidRDefault="00DC7F92" w:rsidP="006B76C3">
            <w:pPr>
              <w:spacing w:after="0"/>
              <w:rPr>
                <w:rFonts w:eastAsia="Times New Roman"/>
                <w:sz w:val="20"/>
                <w:szCs w:val="20"/>
              </w:rPr>
            </w:pPr>
            <w:r w:rsidRPr="008744E3">
              <w:rPr>
                <w:rFonts w:eastAsia="Times New Roman"/>
                <w:sz w:val="20"/>
                <w:szCs w:val="20"/>
              </w:rPr>
              <w:t>Број мини-модула (са по 20 рек ормана)</w:t>
            </w:r>
          </w:p>
        </w:tc>
        <w:tc>
          <w:tcPr>
            <w:tcW w:w="1842" w:type="dxa"/>
          </w:tcPr>
          <w:p w14:paraId="5B41068F" w14:textId="77777777" w:rsidR="00DC7F92" w:rsidRPr="008744E3" w:rsidRDefault="00DC7F92" w:rsidP="006B76C3">
            <w:pPr>
              <w:spacing w:after="0"/>
              <w:jc w:val="right"/>
              <w:rPr>
                <w:rFonts w:eastAsia="Times New Roman"/>
                <w:sz w:val="20"/>
                <w:szCs w:val="20"/>
              </w:rPr>
            </w:pPr>
            <w:r w:rsidRPr="008744E3">
              <w:rPr>
                <w:rFonts w:eastAsia="Times New Roman"/>
                <w:sz w:val="20"/>
              </w:rPr>
              <w:t>1 (2022)</w:t>
            </w:r>
          </w:p>
        </w:tc>
        <w:tc>
          <w:tcPr>
            <w:tcW w:w="1843" w:type="dxa"/>
          </w:tcPr>
          <w:p w14:paraId="68A58452" w14:textId="77777777" w:rsidR="00DC7F92" w:rsidRPr="008744E3" w:rsidRDefault="00DC7F92" w:rsidP="006B76C3">
            <w:pPr>
              <w:spacing w:after="0"/>
              <w:jc w:val="right"/>
              <w:rPr>
                <w:rFonts w:eastAsia="Times New Roman"/>
                <w:sz w:val="20"/>
                <w:szCs w:val="20"/>
              </w:rPr>
            </w:pPr>
            <w:r w:rsidRPr="008744E3">
              <w:rPr>
                <w:rFonts w:eastAsia="Times New Roman"/>
                <w:sz w:val="20"/>
              </w:rPr>
              <w:t>4 (2023)</w:t>
            </w:r>
          </w:p>
        </w:tc>
        <w:tc>
          <w:tcPr>
            <w:tcW w:w="1843" w:type="dxa"/>
          </w:tcPr>
          <w:p w14:paraId="30D23EF7" w14:textId="0B5B9377" w:rsidR="00DC7F92" w:rsidRPr="008744E3" w:rsidRDefault="00B64436" w:rsidP="006B76C3">
            <w:pPr>
              <w:spacing w:after="0"/>
              <w:jc w:val="right"/>
              <w:rPr>
                <w:rFonts w:eastAsia="Times New Roman"/>
                <w:sz w:val="20"/>
                <w:szCs w:val="20"/>
              </w:rPr>
            </w:pPr>
            <w:sdt>
              <w:sdtPr>
                <w:rPr>
                  <w:rFonts w:eastAsia="Times New Roman"/>
                  <w:sz w:val="20"/>
                </w:rPr>
                <w:tag w:val="goog_rdk_6"/>
                <w:id w:val="-1267153817"/>
              </w:sdtPr>
              <w:sdtEndPr/>
              <w:sdtContent/>
            </w:sdt>
            <w:r w:rsidR="00DC7F92" w:rsidRPr="008744E3">
              <w:rPr>
                <w:rFonts w:eastAsia="Times New Roman"/>
                <w:sz w:val="20"/>
              </w:rPr>
              <w:t>6 (2024)</w:t>
            </w:r>
          </w:p>
        </w:tc>
      </w:tr>
      <w:tr w:rsidR="00DC7F92" w:rsidRPr="008744E3" w14:paraId="1FBD3823" w14:textId="77777777" w:rsidTr="00DC7F92">
        <w:trPr>
          <w:trHeight w:val="284"/>
        </w:trPr>
        <w:tc>
          <w:tcPr>
            <w:tcW w:w="4106" w:type="dxa"/>
            <w:vAlign w:val="center"/>
          </w:tcPr>
          <w:p w14:paraId="32C11FE2" w14:textId="77777777" w:rsidR="00DC7F92" w:rsidRPr="008744E3" w:rsidRDefault="00DC7F92" w:rsidP="006B76C3">
            <w:pPr>
              <w:spacing w:after="0"/>
              <w:rPr>
                <w:rFonts w:eastAsia="Times New Roman"/>
                <w:sz w:val="20"/>
                <w:szCs w:val="20"/>
                <w:lang w:val="sr-Cyrl-RS"/>
              </w:rPr>
            </w:pPr>
            <w:r w:rsidRPr="008744E3">
              <w:rPr>
                <w:rFonts w:eastAsia="Times New Roman"/>
                <w:sz w:val="20"/>
                <w:szCs w:val="20"/>
              </w:rPr>
              <w:lastRenderedPageBreak/>
              <w:t xml:space="preserve">Број градова у којима је спроведен пројекат Smart City </w:t>
            </w:r>
            <w:r w:rsidRPr="008744E3">
              <w:rPr>
                <w:rFonts w:eastAsia="Times New Roman"/>
                <w:sz w:val="20"/>
                <w:szCs w:val="20"/>
                <w:lang w:val="sr-Cyrl-RS"/>
              </w:rPr>
              <w:t>(кумулатив)</w:t>
            </w:r>
          </w:p>
        </w:tc>
        <w:tc>
          <w:tcPr>
            <w:tcW w:w="1842" w:type="dxa"/>
          </w:tcPr>
          <w:p w14:paraId="35F0F433" w14:textId="77777777" w:rsidR="00DC7F92" w:rsidRPr="008744E3" w:rsidRDefault="00DC7F92" w:rsidP="006B76C3">
            <w:pPr>
              <w:spacing w:after="0"/>
              <w:jc w:val="right"/>
              <w:rPr>
                <w:rFonts w:eastAsia="Times New Roman"/>
                <w:sz w:val="20"/>
                <w:szCs w:val="20"/>
              </w:rPr>
            </w:pPr>
            <w:r w:rsidRPr="008744E3">
              <w:rPr>
                <w:rFonts w:eastAsia="Times New Roman"/>
                <w:sz w:val="20"/>
              </w:rPr>
              <w:t>0 (2021)</w:t>
            </w:r>
          </w:p>
        </w:tc>
        <w:tc>
          <w:tcPr>
            <w:tcW w:w="1843" w:type="dxa"/>
          </w:tcPr>
          <w:p w14:paraId="77D50CDC" w14:textId="77777777" w:rsidR="00DC7F92" w:rsidRPr="008744E3" w:rsidRDefault="00DC7F92" w:rsidP="006B76C3">
            <w:pPr>
              <w:spacing w:after="0"/>
              <w:jc w:val="right"/>
              <w:rPr>
                <w:rFonts w:eastAsia="Times New Roman"/>
                <w:sz w:val="20"/>
                <w:szCs w:val="20"/>
              </w:rPr>
            </w:pPr>
            <w:r w:rsidRPr="008744E3">
              <w:rPr>
                <w:rFonts w:eastAsia="Times New Roman"/>
                <w:sz w:val="20"/>
              </w:rPr>
              <w:t>3 (2023)</w:t>
            </w:r>
          </w:p>
        </w:tc>
        <w:tc>
          <w:tcPr>
            <w:tcW w:w="1843" w:type="dxa"/>
          </w:tcPr>
          <w:p w14:paraId="435B46F0" w14:textId="317E6963" w:rsidR="00DC7F92" w:rsidRPr="008744E3" w:rsidRDefault="00B64436" w:rsidP="006B76C3">
            <w:pPr>
              <w:spacing w:after="0"/>
              <w:jc w:val="right"/>
              <w:rPr>
                <w:rFonts w:eastAsia="Times New Roman"/>
                <w:sz w:val="20"/>
                <w:szCs w:val="20"/>
              </w:rPr>
            </w:pPr>
            <w:sdt>
              <w:sdtPr>
                <w:rPr>
                  <w:rFonts w:eastAsia="Times New Roman"/>
                  <w:sz w:val="20"/>
                </w:rPr>
                <w:tag w:val="goog_rdk_6"/>
                <w:id w:val="-2065787603"/>
              </w:sdtPr>
              <w:sdtEndPr/>
              <w:sdtContent/>
            </w:sdt>
            <w:r w:rsidR="00DC7F92" w:rsidRPr="008744E3">
              <w:rPr>
                <w:rFonts w:eastAsia="Times New Roman"/>
                <w:sz w:val="20"/>
              </w:rPr>
              <w:t>7 (2024)</w:t>
            </w:r>
          </w:p>
        </w:tc>
      </w:tr>
      <w:tr w:rsidR="00DC7F92" w:rsidRPr="008744E3" w14:paraId="52DA728E" w14:textId="77777777" w:rsidTr="00DC7F92">
        <w:trPr>
          <w:trHeight w:val="284"/>
        </w:trPr>
        <w:tc>
          <w:tcPr>
            <w:tcW w:w="4106" w:type="dxa"/>
            <w:vAlign w:val="center"/>
          </w:tcPr>
          <w:p w14:paraId="391F4D1D" w14:textId="77777777" w:rsidR="00DC7F92" w:rsidRPr="008744E3" w:rsidRDefault="00DC7F92" w:rsidP="006B76C3">
            <w:pPr>
              <w:spacing w:after="0"/>
              <w:rPr>
                <w:rFonts w:eastAsia="Times New Roman"/>
                <w:sz w:val="20"/>
                <w:szCs w:val="20"/>
              </w:rPr>
            </w:pPr>
            <w:r w:rsidRPr="008744E3">
              <w:rPr>
                <w:rFonts w:eastAsia="Times New Roman"/>
                <w:sz w:val="20"/>
                <w:szCs w:val="20"/>
              </w:rPr>
              <w:t>Број изграђених квадраних метара за објекат (Ложионица)</w:t>
            </w:r>
          </w:p>
        </w:tc>
        <w:tc>
          <w:tcPr>
            <w:tcW w:w="1842" w:type="dxa"/>
          </w:tcPr>
          <w:p w14:paraId="00DE266F" w14:textId="77777777" w:rsidR="00DC7F92" w:rsidRPr="008744E3" w:rsidRDefault="00DC7F92" w:rsidP="006B76C3">
            <w:pPr>
              <w:spacing w:after="0"/>
              <w:jc w:val="right"/>
              <w:rPr>
                <w:rFonts w:eastAsia="Times New Roman"/>
                <w:sz w:val="20"/>
                <w:szCs w:val="20"/>
              </w:rPr>
            </w:pPr>
            <w:r w:rsidRPr="008744E3">
              <w:rPr>
                <w:rFonts w:eastAsia="Times New Roman"/>
                <w:sz w:val="20"/>
              </w:rPr>
              <w:t>0 (2021)</w:t>
            </w:r>
          </w:p>
        </w:tc>
        <w:tc>
          <w:tcPr>
            <w:tcW w:w="1843" w:type="dxa"/>
          </w:tcPr>
          <w:p w14:paraId="65751C15" w14:textId="77777777" w:rsidR="00DC7F92" w:rsidRPr="008744E3" w:rsidRDefault="00DC7F92" w:rsidP="006B76C3">
            <w:pPr>
              <w:spacing w:after="0"/>
              <w:jc w:val="right"/>
              <w:rPr>
                <w:rFonts w:eastAsia="Times New Roman"/>
                <w:sz w:val="20"/>
                <w:szCs w:val="20"/>
              </w:rPr>
            </w:pPr>
            <w:r w:rsidRPr="008744E3">
              <w:rPr>
                <w:rFonts w:eastAsia="Times New Roman"/>
                <w:sz w:val="20"/>
              </w:rPr>
              <w:t>3.600 (2023)</w:t>
            </w:r>
          </w:p>
        </w:tc>
        <w:tc>
          <w:tcPr>
            <w:tcW w:w="1843" w:type="dxa"/>
          </w:tcPr>
          <w:p w14:paraId="58C32E77" w14:textId="7B0BD8DF" w:rsidR="00DC7F92" w:rsidRPr="008744E3" w:rsidRDefault="00B64436" w:rsidP="006B76C3">
            <w:pPr>
              <w:spacing w:after="0"/>
              <w:jc w:val="right"/>
              <w:rPr>
                <w:rFonts w:eastAsia="Times New Roman"/>
                <w:sz w:val="20"/>
                <w:szCs w:val="20"/>
              </w:rPr>
            </w:pPr>
            <w:sdt>
              <w:sdtPr>
                <w:rPr>
                  <w:rFonts w:eastAsia="Times New Roman"/>
                  <w:sz w:val="20"/>
                </w:rPr>
                <w:tag w:val="goog_rdk_6"/>
                <w:id w:val="708843098"/>
              </w:sdtPr>
              <w:sdtEndPr/>
              <w:sdtContent/>
            </w:sdt>
            <w:r w:rsidR="00DC7F92" w:rsidRPr="008744E3">
              <w:rPr>
                <w:rFonts w:eastAsia="Times New Roman"/>
                <w:sz w:val="20"/>
              </w:rPr>
              <w:t>11.000 (2024)</w:t>
            </w:r>
          </w:p>
        </w:tc>
      </w:tr>
    </w:tbl>
    <w:p w14:paraId="21699DEF" w14:textId="77777777" w:rsidR="00DC7F92" w:rsidRPr="008744E3" w:rsidRDefault="00DC7F92" w:rsidP="004D22FA">
      <w:pPr>
        <w:widowControl w:val="0"/>
        <w:numPr>
          <w:ilvl w:val="0"/>
          <w:numId w:val="35"/>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6BDCA653"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Све активности предвиђене у оквиру ове мере имају за циљ да обезбеде неопходну техничку инфрастуктуру, али и да створе стимулативно окружење за развој иновативних и решења базираних на вештачкој интелигенцији. На тај начин се, с једне стране, стимулишу стартапи и иновативна привреда да користе доступну инфрастуктуру за креирање и тестирање својих решења, а са друге стране, променом културе и начина прихватања иновација код представника градских средина, отварају се врата за примену решења у пракси.</w:t>
      </w:r>
    </w:p>
    <w:p w14:paraId="0AE5A974"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14:paraId="27A27ED0"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Планирана средства за изградњу објекта два у склопу комплекса Државног центра за управљање и чување података – Дата центар (ДЦ) у Крагујевцу по годинама износе: 15,5 милиона евра за 2022, 7,9 милиона евра за 2023. и 12,5 милиона евра за 2024. (укупно 35,9 милиона евра). За реализацију пројекта Smart City укупно планирана средства износе 18,75 мил</w:t>
      </w:r>
      <w:r>
        <w:rPr>
          <w:rFonts w:eastAsia="Times New Roman" w:cs="Times New Roman"/>
          <w:szCs w:val="24"/>
          <w:lang w:val="sr-Cyrl-RS"/>
        </w:rPr>
        <w:t>иона</w:t>
      </w:r>
      <w:r w:rsidRPr="008744E3">
        <w:rPr>
          <w:rFonts w:eastAsia="Times New Roman" w:cs="Times New Roman"/>
          <w:szCs w:val="24"/>
          <w:lang w:val="sr-Cyrl-RS"/>
        </w:rPr>
        <w:t xml:space="preserve"> </w:t>
      </w:r>
      <w:r>
        <w:rPr>
          <w:rFonts w:eastAsia="Times New Roman" w:cs="Times New Roman"/>
          <w:szCs w:val="24"/>
          <w:lang w:val="sr-Cyrl-RS"/>
        </w:rPr>
        <w:t>евра</w:t>
      </w:r>
      <w:r w:rsidRPr="008744E3">
        <w:rPr>
          <w:rFonts w:eastAsia="Times New Roman" w:cs="Times New Roman"/>
          <w:szCs w:val="24"/>
          <w:lang w:val="sr-Cyrl-RS"/>
        </w:rPr>
        <w:t xml:space="preserve"> у периоду 2022-2024 (годишње 6,25 милиона евра). Планирана средства за изградњу Центра „Ложионица” по годинама износе: 7,5 милиона евра за 2022, 16,7 милиона евра за 2023. и 11,7 милиона евра за 2024. (укупно </w:t>
      </w:r>
      <w:r w:rsidRPr="008744E3">
        <w:rPr>
          <w:rFonts w:eastAsia="Times New Roman" w:cs="Times New Roman"/>
          <w:color w:val="000000"/>
          <w:lang w:val="sr-Latn-RS" w:eastAsia="sr-Latn-RS"/>
        </w:rPr>
        <w:t xml:space="preserve">35.916.666 </w:t>
      </w:r>
      <w:r w:rsidRPr="008744E3">
        <w:rPr>
          <w:rFonts w:eastAsia="Times New Roman" w:cs="Times New Roman"/>
          <w:szCs w:val="24"/>
          <w:lang w:val="sr-Cyrl-RS"/>
        </w:rPr>
        <w:t>милиона евра).</w:t>
      </w:r>
    </w:p>
    <w:p w14:paraId="1FE7C9D5" w14:textId="77777777" w:rsidR="00DC7F92" w:rsidRPr="008744E3" w:rsidRDefault="00DC7F92" w:rsidP="004D22FA">
      <w:pPr>
        <w:widowControl w:val="0"/>
        <w:numPr>
          <w:ilvl w:val="0"/>
          <w:numId w:val="35"/>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A36A2CF" w14:textId="77777777" w:rsidR="00DC7F92"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Реформа ће допринети повећању обима посла који се обавља путем Интернета, подизању нивоа знања, компетенција и вештина у области ИКТ, уз пораст броја радних места. Градови и општине, заједно са својим универзитетима и приватним сектором, биће активно укључени у пројекат Smart City. Креативни хабови имају позитиван утицај на стварање нових производа и услуга, развој талената, социјалних и економских мрежа, регионално истраживање и иновативне моделе организације.</w:t>
      </w:r>
      <w:r w:rsidRPr="008744E3">
        <w:rPr>
          <w:rFonts w:eastAsia="Calibri" w:cs="Times New Roman"/>
          <w:color w:val="000000"/>
          <w:szCs w:val="24"/>
          <w:lang w:val="sr-Cyrl-RS"/>
        </w:rPr>
        <w:t xml:space="preserve"> Кроз јачање конкурентности домаћих компанија и примену иновативних решења, посредно се утиче и на квалитет живота грађана. </w:t>
      </w:r>
      <w:r w:rsidRPr="008744E3">
        <w:rPr>
          <w:rFonts w:eastAsia="Calibri" w:cs="Times New Roman"/>
          <w:szCs w:val="24"/>
          <w:lang w:val="sr-Cyrl-RS" w:eastAsia="sr-Cyrl-CS" w:bidi="sr-Cyrl-CS"/>
        </w:rPr>
        <w:t>Мера је неутрална у смислу родне равноправности.</w:t>
      </w:r>
    </w:p>
    <w:p w14:paraId="3D109C0B"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413F185B" w14:textId="77777777" w:rsidR="00DC7F92"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Утицај на животну средину је неутралан.</w:t>
      </w:r>
    </w:p>
    <w:p w14:paraId="2C96240A"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3"/>
        <w:tblW w:w="9694" w:type="dxa"/>
        <w:tblInd w:w="-5" w:type="dxa"/>
        <w:tblLayout w:type="fixed"/>
        <w:tblLook w:val="04A0" w:firstRow="1" w:lastRow="0" w:firstColumn="1" w:lastColumn="0" w:noHBand="0" w:noVBand="1"/>
      </w:tblPr>
      <w:tblGrid>
        <w:gridCol w:w="3329"/>
        <w:gridCol w:w="2200"/>
        <w:gridCol w:w="4165"/>
      </w:tblGrid>
      <w:tr w:rsidR="00DC7F92" w:rsidRPr="008744E3" w14:paraId="42A0BE73" w14:textId="77777777" w:rsidTr="00DC7F92">
        <w:trPr>
          <w:trHeight w:val="421"/>
        </w:trPr>
        <w:tc>
          <w:tcPr>
            <w:tcW w:w="3329" w:type="dxa"/>
            <w:vAlign w:val="center"/>
          </w:tcPr>
          <w:p w14:paraId="16F16A54"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4688D20F"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09EF7679"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09742091" w14:textId="77777777" w:rsidTr="00DC7F92">
        <w:trPr>
          <w:trHeight w:val="429"/>
        </w:trPr>
        <w:tc>
          <w:tcPr>
            <w:tcW w:w="3329" w:type="dxa"/>
          </w:tcPr>
          <w:p w14:paraId="2BB707FD" w14:textId="77777777" w:rsidR="00DC7F92" w:rsidRPr="008744E3" w:rsidRDefault="00DC7F92" w:rsidP="006B76C3">
            <w:pPr>
              <w:spacing w:after="0"/>
              <w:rPr>
                <w:rFonts w:eastAsia="Calibri"/>
                <w:b/>
              </w:rPr>
            </w:pPr>
            <w:r w:rsidRPr="008744E3">
              <w:rPr>
                <w:rFonts w:eastAsia="Times New Roman"/>
                <w:sz w:val="20"/>
                <w:szCs w:val="20"/>
                <w:lang w:val="sr-Cyrl-RS"/>
              </w:rPr>
              <w:t xml:space="preserve">Потешкоће у набавци потребне опреме </w:t>
            </w:r>
          </w:p>
        </w:tc>
        <w:tc>
          <w:tcPr>
            <w:tcW w:w="2200" w:type="dxa"/>
          </w:tcPr>
          <w:p w14:paraId="27BA2FF5" w14:textId="77777777" w:rsidR="00DC7F92" w:rsidRPr="008744E3" w:rsidRDefault="00DC7F92" w:rsidP="006B76C3">
            <w:pPr>
              <w:spacing w:after="0"/>
              <w:rPr>
                <w:rFonts w:eastAsia="Calibri"/>
                <w:b/>
              </w:rPr>
            </w:pPr>
            <w:r w:rsidRPr="008744E3">
              <w:rPr>
                <w:rFonts w:eastAsia="Times New Roman"/>
                <w:sz w:val="20"/>
                <w:szCs w:val="20"/>
                <w:lang w:val="sr-Cyrl-RS"/>
              </w:rPr>
              <w:t>Ниска</w:t>
            </w:r>
          </w:p>
        </w:tc>
        <w:tc>
          <w:tcPr>
            <w:tcW w:w="4165" w:type="dxa"/>
            <w:vAlign w:val="center"/>
          </w:tcPr>
          <w:p w14:paraId="2CCE8294" w14:textId="77777777" w:rsidR="00DC7F92" w:rsidRPr="008744E3" w:rsidRDefault="00DC7F92" w:rsidP="006B76C3">
            <w:pPr>
              <w:spacing w:after="0"/>
              <w:rPr>
                <w:rFonts w:eastAsia="Calibri"/>
                <w:b/>
              </w:rPr>
            </w:pPr>
            <w:r w:rsidRPr="008744E3">
              <w:rPr>
                <w:rFonts w:eastAsia="Times New Roman"/>
                <w:sz w:val="20"/>
                <w:szCs w:val="20"/>
                <w:lang w:val="sr-Cyrl-RS"/>
              </w:rPr>
              <w:t>Поштовање уговорних одредби и процедура набавки. Поновно покретање производње код иностраних добављача и несметана дистрибуција опреме до места испоруке зависуће од пандемије Ковид-19</w:t>
            </w:r>
          </w:p>
        </w:tc>
      </w:tr>
      <w:tr w:rsidR="00DC7F92" w:rsidRPr="008744E3" w14:paraId="3C703984" w14:textId="77777777" w:rsidTr="00DC7F92">
        <w:trPr>
          <w:trHeight w:val="536"/>
        </w:trPr>
        <w:tc>
          <w:tcPr>
            <w:tcW w:w="3329" w:type="dxa"/>
            <w:vAlign w:val="center"/>
          </w:tcPr>
          <w:p w14:paraId="47120203" w14:textId="77777777" w:rsidR="00DC7F92" w:rsidRPr="008744E3" w:rsidRDefault="00DC7F92" w:rsidP="006B76C3">
            <w:pPr>
              <w:spacing w:after="0"/>
              <w:rPr>
                <w:rFonts w:eastAsia="Calibri"/>
                <w:b/>
              </w:rPr>
            </w:pPr>
            <w:r w:rsidRPr="008744E3">
              <w:rPr>
                <w:rFonts w:eastAsia="Times New Roman"/>
                <w:sz w:val="20"/>
                <w:szCs w:val="20"/>
                <w:lang w:val="sr-Cyrl-RS"/>
              </w:rPr>
              <w:t>Дуготрајни инсталацијски радови и зависност од спремности за друге кораке процеса</w:t>
            </w:r>
          </w:p>
        </w:tc>
        <w:tc>
          <w:tcPr>
            <w:tcW w:w="2200" w:type="dxa"/>
          </w:tcPr>
          <w:p w14:paraId="18E414CB" w14:textId="77777777" w:rsidR="00DC7F92" w:rsidRPr="008744E3" w:rsidRDefault="00DC7F92" w:rsidP="006B76C3">
            <w:pPr>
              <w:spacing w:after="0"/>
              <w:rPr>
                <w:rFonts w:eastAsia="Calibri"/>
                <w:b/>
              </w:rPr>
            </w:pPr>
            <w:r w:rsidRPr="008744E3">
              <w:rPr>
                <w:rFonts w:eastAsia="Times New Roman"/>
                <w:sz w:val="20"/>
                <w:szCs w:val="20"/>
                <w:lang w:val="sr-Cyrl-RS"/>
              </w:rPr>
              <w:t>Ниска</w:t>
            </w:r>
          </w:p>
        </w:tc>
        <w:tc>
          <w:tcPr>
            <w:tcW w:w="4165" w:type="dxa"/>
          </w:tcPr>
          <w:p w14:paraId="00FE7236" w14:textId="77777777" w:rsidR="00DC7F92" w:rsidRPr="008744E3" w:rsidRDefault="00DC7F92" w:rsidP="006B76C3">
            <w:pPr>
              <w:spacing w:after="0"/>
              <w:rPr>
                <w:rFonts w:eastAsia="Calibri"/>
                <w:b/>
              </w:rPr>
            </w:pPr>
            <w:r w:rsidRPr="008744E3">
              <w:rPr>
                <w:rFonts w:eastAsia="Times New Roman"/>
                <w:sz w:val="20"/>
                <w:szCs w:val="20"/>
                <w:lang w:val="sr-Cyrl-RS"/>
              </w:rPr>
              <w:t>Појачано праћење спровођења планираних активности у складу са предвиђеним роковима</w:t>
            </w:r>
          </w:p>
        </w:tc>
      </w:tr>
    </w:tbl>
    <w:p w14:paraId="385B43C3" w14:textId="77777777" w:rsidR="00DC7F92" w:rsidRDefault="00DC7F92" w:rsidP="00DC7F92">
      <w:pPr>
        <w:spacing w:after="240"/>
        <w:rPr>
          <w:rFonts w:cs="Times New Roman"/>
          <w:szCs w:val="24"/>
          <w:lang w:val="sr-Cyrl-RS"/>
        </w:rPr>
      </w:pPr>
    </w:p>
    <w:p w14:paraId="204367BC" w14:textId="77777777" w:rsidR="00DC7F92" w:rsidRPr="00D17094" w:rsidRDefault="00DC7F92" w:rsidP="00DC7F92">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RS"/>
        </w:rPr>
      </w:pPr>
      <w:bookmarkStart w:id="33" w:name="_Toc89375537"/>
      <w:bookmarkStart w:id="34" w:name="_Toc62458649"/>
      <w:r w:rsidRPr="00732FF0">
        <w:rPr>
          <w:rFonts w:eastAsiaTheme="majorEastAsia" w:cstheme="majorBidi"/>
          <w:b/>
          <w:lang w:val="sr-Cyrl-RS"/>
        </w:rPr>
        <w:lastRenderedPageBreak/>
        <w:t>5.2.</w:t>
      </w:r>
      <w:r w:rsidRPr="00732FF0">
        <w:rPr>
          <w:rFonts w:eastAsiaTheme="majorEastAsia" w:cstheme="majorBidi"/>
          <w:b/>
        </w:rPr>
        <w:t>4</w:t>
      </w:r>
      <w:r w:rsidRPr="00732FF0">
        <w:rPr>
          <w:rFonts w:eastAsiaTheme="majorEastAsia" w:cstheme="majorBidi"/>
          <w:b/>
          <w:lang w:val="sr-Cyrl-RS"/>
        </w:rPr>
        <w:t>. Област ПОСЛОВНО ОКРУЖЕЊЕ И СМАЊЕЊЕ СИВЕ ЕКОНОМИЈЕ</w:t>
      </w:r>
      <w:bookmarkEnd w:id="33"/>
    </w:p>
    <w:p w14:paraId="54EF4D3F" w14:textId="77777777" w:rsidR="00DC7F92" w:rsidRDefault="00DC7F92" w:rsidP="00DC7F92">
      <w:pPr>
        <w:spacing w:after="240"/>
        <w:rPr>
          <w:szCs w:val="24"/>
          <w:lang w:val="sr-Cyrl-RS"/>
        </w:rPr>
      </w:pPr>
      <w:r w:rsidRPr="00D22E2E">
        <w:rPr>
          <w:rFonts w:cs="Times New Roman"/>
          <w:noProof/>
          <w:szCs w:val="24"/>
          <w:lang w:val="sr-Cyrl-RS"/>
        </w:rPr>
        <w:t>Ова област и релевантне реформе (</w:t>
      </w:r>
      <w:r w:rsidRPr="00D22E2E">
        <w:rPr>
          <w:rFonts w:cs="Times New Roman"/>
          <w:i/>
          <w:noProof/>
          <w:szCs w:val="24"/>
        </w:rPr>
        <w:t>4</w:t>
      </w:r>
      <w:r w:rsidRPr="00D22E2E">
        <w:rPr>
          <w:rFonts w:cs="Times New Roman"/>
          <w:i/>
          <w:noProof/>
          <w:szCs w:val="24"/>
          <w:lang w:val="sr-Cyrl-RS"/>
        </w:rPr>
        <w:t>. Унапређење квалитета пружања јавних услуга кроз оптимизацију и дигитализацију административних поступака – е-Папир</w:t>
      </w:r>
      <w:r w:rsidRPr="00D22E2E">
        <w:rPr>
          <w:rFonts w:cs="Times New Roman"/>
          <w:i/>
          <w:noProof/>
          <w:szCs w:val="24"/>
        </w:rPr>
        <w:t>, 5. Одрживо и ефикасно управљање привредним субјектима у власништву Републике Србије</w:t>
      </w:r>
      <w:r w:rsidRPr="00D22E2E">
        <w:rPr>
          <w:rFonts w:cs="Times New Roman"/>
          <w:noProof/>
          <w:szCs w:val="24"/>
          <w:lang w:val="sr-Cyrl-RS"/>
        </w:rPr>
        <w:t xml:space="preserve"> и </w:t>
      </w:r>
      <w:r w:rsidRPr="00D22E2E">
        <w:rPr>
          <w:rFonts w:cs="Times New Roman"/>
          <w:i/>
          <w:noProof/>
          <w:szCs w:val="24"/>
        </w:rPr>
        <w:t>6</w:t>
      </w:r>
      <w:r w:rsidRPr="00D22E2E">
        <w:rPr>
          <w:rFonts w:cs="Times New Roman"/>
          <w:i/>
          <w:noProof/>
          <w:szCs w:val="24"/>
          <w:lang w:val="sr-Cyrl-RS"/>
        </w:rPr>
        <w:t>.</w:t>
      </w:r>
      <w:r w:rsidRPr="00D22E2E">
        <w:rPr>
          <w:rFonts w:cs="Times New Roman"/>
          <w:noProof/>
          <w:szCs w:val="24"/>
          <w:lang w:val="sr-Cyrl-RS"/>
        </w:rPr>
        <w:t xml:space="preserve"> </w:t>
      </w:r>
      <w:r w:rsidRPr="00D22E2E">
        <w:rPr>
          <w:rFonts w:cs="Times New Roman"/>
          <w:i/>
          <w:noProof/>
          <w:szCs w:val="24"/>
          <w:lang w:val="sr-Cyrl-RS"/>
        </w:rPr>
        <w:t>Развој домаћег тржишта капитала кроз увођење нових правних института и обезбеђивање већег степена заштите инвеститора</w:t>
      </w:r>
      <w:r w:rsidRPr="00D22E2E">
        <w:rPr>
          <w:rFonts w:cs="Times New Roman"/>
          <w:noProof/>
          <w:szCs w:val="24"/>
          <w:lang w:val="sr-Cyrl-RS"/>
        </w:rPr>
        <w:t xml:space="preserve">) анализирани су у одељку 5.1. под </w:t>
      </w:r>
      <w:r w:rsidRPr="00D22E2E">
        <w:rPr>
          <w:rFonts w:cs="Times New Roman"/>
          <w:i/>
          <w:noProof/>
          <w:szCs w:val="24"/>
          <w:lang w:val="sr-Cyrl-RS"/>
        </w:rPr>
        <w:t xml:space="preserve">Кључним изазовом број </w:t>
      </w:r>
      <w:r w:rsidRPr="00D22E2E">
        <w:rPr>
          <w:rFonts w:cs="Times New Roman"/>
          <w:i/>
          <w:noProof/>
          <w:szCs w:val="24"/>
        </w:rPr>
        <w:t xml:space="preserve">2. </w:t>
      </w:r>
      <w:r w:rsidRPr="00937B2D">
        <w:rPr>
          <w:rFonts w:cs="Times New Roman"/>
          <w:i/>
          <w:noProof/>
          <w:szCs w:val="24"/>
          <w:lang w:val="sr-Cyrl-RS"/>
        </w:rPr>
        <w:t>Унапређење</w:t>
      </w:r>
      <w:r w:rsidRPr="00937B2D">
        <w:rPr>
          <w:rFonts w:cs="Times New Roman"/>
          <w:i/>
          <w:noProof/>
          <w:szCs w:val="24"/>
        </w:rPr>
        <w:t xml:space="preserve"> пословног амбијента повољнијег за инвестиције</w:t>
      </w:r>
      <w:r w:rsidRPr="00937B2D">
        <w:rPr>
          <w:rFonts w:cs="Times New Roman"/>
          <w:noProof/>
          <w:szCs w:val="24"/>
          <w:lang w:val="sr-Cyrl-RS"/>
        </w:rPr>
        <w:t>.</w:t>
      </w:r>
    </w:p>
    <w:p w14:paraId="7B733B55" w14:textId="77777777" w:rsidR="00DC7F92" w:rsidRPr="00D17094" w:rsidRDefault="00DC7F92" w:rsidP="00DC7F92">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RS"/>
        </w:rPr>
      </w:pPr>
      <w:bookmarkStart w:id="35" w:name="_Toc89375538"/>
      <w:r w:rsidRPr="00732FF0">
        <w:rPr>
          <w:rFonts w:eastAsiaTheme="majorEastAsia" w:cstheme="majorBidi"/>
          <w:b/>
          <w:lang w:val="sr-Cyrl-RS"/>
        </w:rPr>
        <w:t>5.2.5. Област ИСТРАЖИВАЊЕ, РАЗВОЈ И ИНОВАЦИЈЕ</w:t>
      </w:r>
      <w:bookmarkEnd w:id="35"/>
    </w:p>
    <w:p w14:paraId="0EB816BB" w14:textId="77777777" w:rsidR="00DC7F92" w:rsidRDefault="00DC7F92" w:rsidP="00DC7F92">
      <w:pPr>
        <w:spacing w:before="120"/>
        <w:rPr>
          <w:rFonts w:cs="Times New Roman"/>
          <w:szCs w:val="24"/>
          <w:lang w:val="sr-Cyrl-RS"/>
        </w:rPr>
      </w:pPr>
      <w:r w:rsidRPr="00A6164C">
        <w:rPr>
          <w:rFonts w:eastAsia="Times New Roman" w:cs="Times New Roman"/>
          <w:b/>
          <w:szCs w:val="24"/>
          <w:lang w:val="sr-Cyrl-RS"/>
        </w:rPr>
        <w:t>а) Анализа главних препрека</w:t>
      </w:r>
    </w:p>
    <w:p w14:paraId="474CB84F" w14:textId="77777777" w:rsidR="00DC7F92" w:rsidRPr="00D51684" w:rsidRDefault="00DC7F92" w:rsidP="00DC7F92">
      <w:pPr>
        <w:widowControl w:val="0"/>
        <w:spacing w:after="60"/>
        <w:rPr>
          <w:rFonts w:eastAsia="Times New Roman" w:cs="Times New Roman"/>
          <w:szCs w:val="24"/>
        </w:rPr>
      </w:pPr>
      <w:r w:rsidRPr="00D04446">
        <w:rPr>
          <w:rFonts w:eastAsia="Times New Roman" w:cs="Times New Roman"/>
          <w:szCs w:val="24"/>
          <w:lang w:val="sr-Cyrl-RS"/>
        </w:rPr>
        <w:t xml:space="preserve">Србија је у односу на земље Европске уније виђена као </w:t>
      </w:r>
      <w:r w:rsidRPr="00D04446">
        <w:rPr>
          <w:rFonts w:eastAsia="Times New Roman" w:cs="Times New Roman"/>
          <w:b/>
          <w:szCs w:val="24"/>
          <w:lang w:val="sr-Cyrl-RS"/>
        </w:rPr>
        <w:t>иноватор у успону</w:t>
      </w:r>
      <w:r w:rsidRPr="00D04446">
        <w:rPr>
          <w:rFonts w:eastAsia="Times New Roman" w:cs="Times New Roman"/>
          <w:szCs w:val="24"/>
          <w:lang w:val="sr-Cyrl-RS"/>
        </w:rPr>
        <w:t xml:space="preserve"> (</w:t>
      </w:r>
      <w:r w:rsidRPr="00E47B58">
        <w:rPr>
          <w:rFonts w:eastAsia="Times New Roman" w:cs="Times New Roman"/>
          <w:i/>
          <w:szCs w:val="24"/>
          <w:lang w:val="sr-Cyrl-RS"/>
        </w:rPr>
        <w:t>emerging innovator</w:t>
      </w:r>
      <w:r w:rsidRPr="00D04446">
        <w:rPr>
          <w:rFonts w:eastAsia="Times New Roman" w:cs="Times New Roman"/>
          <w:szCs w:val="24"/>
          <w:lang w:val="sr-Cyrl-RS"/>
        </w:rPr>
        <w:t>)</w:t>
      </w:r>
      <w:r>
        <w:rPr>
          <w:rFonts w:eastAsia="Times New Roman" w:cs="Times New Roman"/>
          <w:szCs w:val="24"/>
          <w:lang w:val="sr-Cyrl-RS"/>
        </w:rPr>
        <w:t xml:space="preserve"> мерено с</w:t>
      </w:r>
      <w:r w:rsidRPr="00964340">
        <w:rPr>
          <w:rFonts w:eastAsia="Times New Roman" w:cs="Times New Roman"/>
          <w:szCs w:val="24"/>
          <w:lang w:val="sr-Cyrl-RS"/>
        </w:rPr>
        <w:t>умарним индексом иновативности</w:t>
      </w:r>
      <w:r w:rsidRPr="00D04446">
        <w:rPr>
          <w:rFonts w:eastAsia="Times New Roman" w:cs="Times New Roman"/>
          <w:szCs w:val="24"/>
        </w:rPr>
        <w:t xml:space="preserve"> </w:t>
      </w:r>
      <w:r w:rsidRPr="00D04446">
        <w:rPr>
          <w:rFonts w:eastAsia="Times New Roman" w:cs="Times New Roman"/>
          <w:szCs w:val="24"/>
          <w:lang w:val="sr-Cyrl-RS"/>
        </w:rPr>
        <w:t>(</w:t>
      </w:r>
      <w:r w:rsidRPr="00D04446">
        <w:rPr>
          <w:rFonts w:eastAsia="Times New Roman" w:cs="Times New Roman"/>
          <w:i/>
          <w:szCs w:val="24"/>
          <w:lang w:val="sr-Cyrl-RS"/>
        </w:rPr>
        <w:t>European innovation Scoreboard</w:t>
      </w:r>
      <w:r>
        <w:rPr>
          <w:rFonts w:eastAsia="Times New Roman" w:cs="Times New Roman"/>
          <w:i/>
          <w:szCs w:val="24"/>
        </w:rPr>
        <w:t xml:space="preserve"> 2021</w:t>
      </w:r>
      <w:r w:rsidRPr="00D04446">
        <w:rPr>
          <w:rStyle w:val="FootnoteReference"/>
          <w:rFonts w:eastAsia="Times New Roman" w:cs="Times New Roman"/>
          <w:i/>
          <w:szCs w:val="24"/>
          <w:lang w:val="sr-Cyrl-RS"/>
        </w:rPr>
        <w:footnoteReference w:id="66"/>
      </w:r>
      <w:r w:rsidRPr="00D04446">
        <w:rPr>
          <w:rFonts w:eastAsia="Times New Roman" w:cs="Times New Roman"/>
          <w:szCs w:val="24"/>
          <w:lang w:val="sr-Cyrl-RS"/>
        </w:rPr>
        <w:t>), који</w:t>
      </w:r>
      <w:r>
        <w:rPr>
          <w:rFonts w:eastAsia="Times New Roman" w:cs="Times New Roman"/>
          <w:szCs w:val="24"/>
        </w:rPr>
        <w:t xml:space="preserve"> </w:t>
      </w:r>
      <w:r>
        <w:rPr>
          <w:rFonts w:eastAsia="Times New Roman" w:cs="Times New Roman"/>
          <w:szCs w:val="24"/>
          <w:lang w:val="sr-Cyrl-RS"/>
        </w:rPr>
        <w:t xml:space="preserve">износи </w:t>
      </w:r>
      <w:r w:rsidRPr="00D04446">
        <w:rPr>
          <w:rFonts w:eastAsia="Times New Roman" w:cs="Times New Roman"/>
          <w:szCs w:val="24"/>
          <w:lang w:val="sr-Cyrl-RS"/>
        </w:rPr>
        <w:t>66,2</w:t>
      </w:r>
      <w:r>
        <w:rPr>
          <w:rFonts w:eastAsia="Times New Roman" w:cs="Times New Roman"/>
          <w:szCs w:val="24"/>
          <w:lang w:val="sr-Cyrl-RS"/>
        </w:rPr>
        <w:t xml:space="preserve"> </w:t>
      </w:r>
      <w:r w:rsidRPr="00D04446">
        <w:rPr>
          <w:rFonts w:eastAsia="Times New Roman" w:cs="Times New Roman"/>
          <w:szCs w:val="24"/>
          <w:lang w:val="sr-Cyrl-RS"/>
        </w:rPr>
        <w:t>у односу на ЕУ</w:t>
      </w:r>
      <w:r>
        <w:rPr>
          <w:rFonts w:eastAsia="Times New Roman" w:cs="Times New Roman"/>
          <w:szCs w:val="24"/>
          <w:lang w:val="sr-Cyrl-RS"/>
        </w:rPr>
        <w:t xml:space="preserve"> у 2021. години</w:t>
      </w:r>
      <w:r w:rsidRPr="00D04446">
        <w:rPr>
          <w:rFonts w:eastAsia="Times New Roman" w:cs="Times New Roman"/>
          <w:szCs w:val="24"/>
          <w:lang w:val="sr-Cyrl-RS"/>
        </w:rPr>
        <w:t>.</w:t>
      </w:r>
    </w:p>
    <w:p w14:paraId="65478743" w14:textId="77777777" w:rsidR="00DC7F92" w:rsidRDefault="00DC7F92" w:rsidP="00DC7F92">
      <w:pPr>
        <w:widowControl w:val="0"/>
        <w:spacing w:after="60"/>
        <w:rPr>
          <w:rFonts w:eastAsia="Times New Roman" w:cs="Times New Roman"/>
          <w:szCs w:val="24"/>
          <w:lang w:val="sr-Cyrl-RS"/>
        </w:rPr>
      </w:pPr>
      <w:r w:rsidRPr="00C75060">
        <w:rPr>
          <w:rFonts w:eastAsia="Times New Roman" w:cs="Times New Roman"/>
          <w:b/>
          <w:szCs w:val="24"/>
          <w:lang w:val="sr-Cyrl-RS"/>
        </w:rPr>
        <w:t xml:space="preserve">Улагања у истраживање и развој, иако се последњих година повећава износ средстава, и даље су недовољна за интеграцију истраживачке мреже Србије у европске и глобалне мреже. </w:t>
      </w:r>
      <w:r w:rsidRPr="00C75060">
        <w:rPr>
          <w:rFonts w:eastAsia="Times New Roman" w:cs="Times New Roman"/>
          <w:szCs w:val="24"/>
          <w:lang w:val="sr-Cyrl-RS"/>
        </w:rPr>
        <w:t>Укупна издвајања за науку у Србији износила су 0,91%</w:t>
      </w:r>
      <w:r>
        <w:rPr>
          <w:rStyle w:val="FootnoteReference"/>
          <w:rFonts w:eastAsia="Times New Roman" w:cs="Times New Roman"/>
          <w:szCs w:val="24"/>
          <w:lang w:val="sr-Cyrl-RS"/>
        </w:rPr>
        <w:footnoteReference w:id="67"/>
      </w:r>
      <w:r w:rsidRPr="00C75060">
        <w:rPr>
          <w:rFonts w:eastAsia="Times New Roman" w:cs="Times New Roman"/>
          <w:szCs w:val="24"/>
          <w:lang w:val="sr-Cyrl-RS"/>
        </w:rPr>
        <w:t xml:space="preserve"> БДП-а у 2020. (за 0,02 п.п. више у односу на претходну годину) и дупло су нижа од пр</w:t>
      </w:r>
      <w:r>
        <w:rPr>
          <w:rFonts w:eastAsia="Times New Roman" w:cs="Times New Roman"/>
          <w:szCs w:val="24"/>
          <w:lang w:val="sr-Cyrl-RS"/>
        </w:rPr>
        <w:t>осека у ЕУ-28 (2,14%</w:t>
      </w:r>
      <w:r>
        <w:rPr>
          <w:rStyle w:val="FootnoteReference"/>
          <w:rFonts w:eastAsia="Times New Roman" w:cs="Times New Roman"/>
          <w:szCs w:val="24"/>
          <w:lang w:val="sr-Cyrl-RS"/>
        </w:rPr>
        <w:footnoteReference w:id="68"/>
      </w:r>
      <w:r>
        <w:rPr>
          <w:rFonts w:eastAsia="Times New Roman" w:cs="Times New Roman"/>
          <w:szCs w:val="24"/>
          <w:lang w:val="sr-Cyrl-RS"/>
        </w:rPr>
        <w:t xml:space="preserve"> БДП у 2019</w:t>
      </w:r>
      <w:r w:rsidRPr="00C75060">
        <w:rPr>
          <w:rFonts w:eastAsia="Times New Roman" w:cs="Times New Roman"/>
          <w:szCs w:val="24"/>
          <w:lang w:val="sr-Cyrl-RS"/>
        </w:rPr>
        <w:t xml:space="preserve">). </w:t>
      </w:r>
      <w:r>
        <w:rPr>
          <w:rFonts w:eastAsia="Times New Roman" w:cs="Times New Roman"/>
          <w:szCs w:val="24"/>
          <w:lang w:val="sr-Cyrl-RS"/>
        </w:rPr>
        <w:t xml:space="preserve">Улагања </w:t>
      </w:r>
      <w:r w:rsidRPr="00C75060">
        <w:rPr>
          <w:rFonts w:eastAsia="Times New Roman" w:cs="Times New Roman"/>
          <w:szCs w:val="24"/>
          <w:lang w:val="sr-Cyrl-RS"/>
        </w:rPr>
        <w:t xml:space="preserve">пословног сектора </w:t>
      </w:r>
      <w:r>
        <w:rPr>
          <w:rFonts w:eastAsia="Times New Roman" w:cs="Times New Roman"/>
          <w:szCs w:val="24"/>
          <w:lang w:val="sr-Cyrl-RS"/>
        </w:rPr>
        <w:t>износе 0,</w:t>
      </w:r>
      <w:r w:rsidRPr="00C75060">
        <w:rPr>
          <w:rFonts w:eastAsia="Times New Roman" w:cs="Times New Roman"/>
          <w:szCs w:val="24"/>
          <w:lang w:val="sr-Cyrl-RS"/>
        </w:rPr>
        <w:t>3</w:t>
      </w:r>
      <w:r>
        <w:rPr>
          <w:rFonts w:eastAsia="Times New Roman" w:cs="Times New Roman"/>
          <w:szCs w:val="24"/>
          <w:lang w:val="sr-Cyrl-RS"/>
        </w:rPr>
        <w:t>6</w:t>
      </w:r>
      <w:r w:rsidRPr="00C75060">
        <w:rPr>
          <w:rFonts w:eastAsia="Times New Roman" w:cs="Times New Roman"/>
          <w:szCs w:val="24"/>
          <w:lang w:val="sr-Cyrl-RS"/>
        </w:rPr>
        <w:t xml:space="preserve">% </w:t>
      </w:r>
      <w:r>
        <w:rPr>
          <w:rFonts w:eastAsia="Times New Roman" w:cs="Times New Roman"/>
          <w:szCs w:val="24"/>
          <w:lang w:val="sr-Cyrl-RS"/>
        </w:rPr>
        <w:t xml:space="preserve">БДП-а </w:t>
      </w:r>
      <w:r w:rsidRPr="00C75060">
        <w:rPr>
          <w:rFonts w:eastAsia="Times New Roman" w:cs="Times New Roman"/>
          <w:szCs w:val="24"/>
          <w:lang w:val="sr-Cyrl-RS"/>
        </w:rPr>
        <w:t>што је знатно испод просека ЕУ-28 (</w:t>
      </w:r>
      <w:r>
        <w:rPr>
          <w:rFonts w:eastAsia="Times New Roman" w:cs="Times New Roman"/>
          <w:szCs w:val="24"/>
          <w:lang w:val="sr-Cyrl-RS"/>
        </w:rPr>
        <w:t>1,42%</w:t>
      </w:r>
      <w:r w:rsidRPr="00FF27E1">
        <w:rPr>
          <w:rFonts w:eastAsia="Times New Roman" w:cs="Times New Roman"/>
          <w:szCs w:val="24"/>
          <w:lang w:val="sr-Cyrl-RS"/>
        </w:rPr>
        <w:t xml:space="preserve"> </w:t>
      </w:r>
      <w:r>
        <w:rPr>
          <w:rFonts w:eastAsia="Times New Roman" w:cs="Times New Roman"/>
          <w:szCs w:val="24"/>
          <w:lang w:val="sr-Cyrl-RS"/>
        </w:rPr>
        <w:t>БДП у 2019</w:t>
      </w:r>
      <w:r w:rsidRPr="00C75060">
        <w:rPr>
          <w:rFonts w:eastAsia="Times New Roman" w:cs="Times New Roman"/>
          <w:szCs w:val="24"/>
          <w:lang w:val="sr-Cyrl-RS"/>
        </w:rPr>
        <w:t>).</w:t>
      </w:r>
    </w:p>
    <w:p w14:paraId="041D0A02" w14:textId="77777777" w:rsidR="00DC7F92" w:rsidRPr="00C75060" w:rsidRDefault="00DC7F92" w:rsidP="00DC7F92">
      <w:pPr>
        <w:widowControl w:val="0"/>
        <w:spacing w:after="60"/>
        <w:rPr>
          <w:rFonts w:eastAsia="Times New Roman" w:cs="Times New Roman"/>
          <w:szCs w:val="24"/>
          <w:lang w:val="sr-Cyrl-RS"/>
        </w:rPr>
      </w:pPr>
      <w:r>
        <w:rPr>
          <w:rFonts w:eastAsia="Times New Roman" w:cs="Times New Roman"/>
          <w:b/>
          <w:szCs w:val="24"/>
          <w:lang w:val="sr-Cyrl-RS"/>
        </w:rPr>
        <w:t>Србија</w:t>
      </w:r>
      <w:r w:rsidRPr="009B33AC">
        <w:rPr>
          <w:rFonts w:eastAsia="Times New Roman" w:cs="Times New Roman"/>
          <w:b/>
          <w:szCs w:val="24"/>
          <w:lang w:val="sr-Cyrl-RS"/>
        </w:rPr>
        <w:t xml:space="preserve"> је стратешки приступила реформама у науци </w:t>
      </w:r>
      <w:r>
        <w:rPr>
          <w:rFonts w:eastAsia="Times New Roman" w:cs="Times New Roman"/>
          <w:b/>
          <w:szCs w:val="24"/>
          <w:lang w:val="sr-Cyrl-RS"/>
        </w:rPr>
        <w:t>у</w:t>
      </w:r>
      <w:r w:rsidRPr="00C75060">
        <w:rPr>
          <w:rFonts w:eastAsia="Times New Roman" w:cs="Times New Roman"/>
          <w:szCs w:val="24"/>
          <w:lang w:val="sr-Cyrl-RS"/>
        </w:rPr>
        <w:t>св</w:t>
      </w:r>
      <w:r>
        <w:rPr>
          <w:rFonts w:eastAsia="Times New Roman" w:cs="Times New Roman"/>
          <w:szCs w:val="24"/>
          <w:lang w:val="sr-Cyrl-RS"/>
        </w:rPr>
        <w:t>а</w:t>
      </w:r>
      <w:r w:rsidRPr="00C75060">
        <w:rPr>
          <w:rFonts w:eastAsia="Times New Roman" w:cs="Times New Roman"/>
          <w:szCs w:val="24"/>
          <w:lang w:val="sr-Cyrl-RS"/>
        </w:rPr>
        <w:t>ј</w:t>
      </w:r>
      <w:r>
        <w:rPr>
          <w:rFonts w:eastAsia="Times New Roman" w:cs="Times New Roman"/>
          <w:szCs w:val="24"/>
          <w:lang w:val="sr-Cyrl-RS"/>
        </w:rPr>
        <w:t>ањем</w:t>
      </w:r>
      <w:r w:rsidRPr="00C75060">
        <w:rPr>
          <w:rFonts w:eastAsia="Times New Roman" w:cs="Times New Roman"/>
          <w:szCs w:val="24"/>
          <w:lang w:val="sr-Cyrl-RS"/>
        </w:rPr>
        <w:t xml:space="preserve"> стратегиј</w:t>
      </w:r>
      <w:r>
        <w:rPr>
          <w:rFonts w:eastAsia="Times New Roman" w:cs="Times New Roman"/>
          <w:szCs w:val="24"/>
          <w:lang w:val="sr-Cyrl-RS"/>
        </w:rPr>
        <w:t>а</w:t>
      </w:r>
      <w:r w:rsidRPr="00C75060">
        <w:rPr>
          <w:rFonts w:eastAsia="Times New Roman" w:cs="Times New Roman"/>
          <w:szCs w:val="24"/>
          <w:lang w:val="sr-Cyrl-RS"/>
        </w:rPr>
        <w:t xml:space="preserve"> којима су </w:t>
      </w:r>
      <w:r w:rsidRPr="00715A33">
        <w:rPr>
          <w:rFonts w:eastAsia="Times New Roman" w:cs="Times New Roman"/>
          <w:b/>
          <w:szCs w:val="24"/>
          <w:lang w:val="sr-Cyrl-RS"/>
        </w:rPr>
        <w:t>планирана значајна улагања у научну инфраструктуру и науку</w:t>
      </w:r>
      <w:r w:rsidRPr="00C75060">
        <w:rPr>
          <w:rFonts w:eastAsia="Times New Roman" w:cs="Times New Roman"/>
          <w:szCs w:val="24"/>
          <w:lang w:val="sr-Cyrl-RS"/>
        </w:rPr>
        <w:t xml:space="preserve">. </w:t>
      </w:r>
      <w:r w:rsidRPr="00964340">
        <w:rPr>
          <w:rFonts w:eastAsia="Times New Roman" w:cs="Times New Roman"/>
          <w:b/>
          <w:i/>
          <w:szCs w:val="24"/>
          <w:lang w:val="sr-Cyrl-RS"/>
        </w:rPr>
        <w:t>Стратегија научног и технолошког развоја РС за период 2021-2025 – Моћ знања</w:t>
      </w:r>
      <w:r w:rsidRPr="00167809">
        <w:rPr>
          <w:rFonts w:eastAsia="Times New Roman" w:cs="Times New Roman"/>
          <w:i/>
          <w:szCs w:val="24"/>
          <w:lang w:val="sr-Cyrl-RS"/>
        </w:rPr>
        <w:t xml:space="preserve"> </w:t>
      </w:r>
      <w:r w:rsidRPr="00C75060">
        <w:rPr>
          <w:rFonts w:eastAsia="Times New Roman" w:cs="Times New Roman"/>
          <w:szCs w:val="24"/>
          <w:lang w:val="sr-Cyrl-RS"/>
        </w:rPr>
        <w:t>(</w:t>
      </w:r>
      <w:r>
        <w:rPr>
          <w:rFonts w:eastAsia="Calibri" w:cs="Times New Roman"/>
          <w:szCs w:val="24"/>
          <w:lang w:val="sr-Cyrl-RS"/>
        </w:rPr>
        <w:t>„Службени гласник РС“, бр.</w:t>
      </w:r>
      <w:r w:rsidRPr="00C75060">
        <w:rPr>
          <w:rFonts w:eastAsia="Times New Roman" w:cs="Times New Roman"/>
          <w:szCs w:val="24"/>
          <w:lang w:val="sr-Cyrl-RS"/>
        </w:rPr>
        <w:t xml:space="preserve">10/21) са пратећим </w:t>
      </w:r>
      <w:r w:rsidRPr="00964340">
        <w:rPr>
          <w:rFonts w:eastAsia="Times New Roman" w:cs="Times New Roman"/>
          <w:b/>
          <w:i/>
          <w:szCs w:val="24"/>
          <w:lang w:val="sr-Cyrl-RS"/>
        </w:rPr>
        <w:t>Акционим планом за период 2021. до 2023. године</w:t>
      </w:r>
      <w:r w:rsidRPr="00964340">
        <w:rPr>
          <w:rFonts w:eastAsia="Times New Roman" w:cs="Times New Roman"/>
          <w:b/>
          <w:szCs w:val="24"/>
          <w:lang w:val="sr-Cyrl-RS"/>
        </w:rPr>
        <w:t>, усвојена у фебруару 2021</w:t>
      </w:r>
      <w:r w:rsidRPr="00C75060">
        <w:rPr>
          <w:rFonts w:eastAsia="Times New Roman" w:cs="Times New Roman"/>
          <w:szCs w:val="24"/>
          <w:lang w:val="sr-Cyrl-RS"/>
        </w:rPr>
        <w:t>. године</w:t>
      </w:r>
      <w:r>
        <w:rPr>
          <w:rFonts w:eastAsia="Times New Roman" w:cs="Times New Roman"/>
          <w:szCs w:val="24"/>
          <w:lang w:val="sr-Cyrl-RS"/>
        </w:rPr>
        <w:t>,</w:t>
      </w:r>
      <w:r w:rsidRPr="00C75060">
        <w:rPr>
          <w:rFonts w:eastAsia="Times New Roman" w:cs="Times New Roman"/>
          <w:szCs w:val="24"/>
          <w:lang w:val="sr-Cyrl-RS"/>
        </w:rPr>
        <w:t xml:space="preserve"> представља један од најзначајнијих стратешких документа у овој </w:t>
      </w:r>
      <w:r w:rsidRPr="00715A33">
        <w:rPr>
          <w:rFonts w:eastAsia="Times New Roman" w:cs="Times New Roman"/>
          <w:szCs w:val="24"/>
          <w:lang w:val="sr-Cyrl-RS"/>
        </w:rPr>
        <w:t>области. Стратегија предвиђа развој окружења у коме актери научноистраживачког и иновационог система могу начинити искорак у квалитету и утицају.</w:t>
      </w:r>
      <w:r w:rsidRPr="00C75060">
        <w:rPr>
          <w:rFonts w:eastAsia="Times New Roman" w:cs="Times New Roman"/>
          <w:szCs w:val="24"/>
          <w:lang w:val="sr-Cyrl-RS"/>
        </w:rPr>
        <w:t xml:space="preserve"> Препознате су слабости и претње, које се прописаним мерама покушавају отклонити. Препознате </w:t>
      </w:r>
      <w:r w:rsidRPr="00715A33">
        <w:rPr>
          <w:rFonts w:eastAsia="Times New Roman" w:cs="Times New Roman"/>
          <w:b/>
          <w:szCs w:val="24"/>
          <w:lang w:val="sr-Cyrl-RS"/>
        </w:rPr>
        <w:t>слабости су фрагментисан научно-истраживачки простор са подкритичним истраживачким капацитетима, недовољна препознатљивост институција на ширем регионалном, европском и светском плану, недостатак административних процедура, пракси и капацитета за привлачење инвестиција и пројеката, недовољна улагања у научноистраживачку инфраструктуру и недовољан степен конверзије остварених научноистраживачких резултата у додату вредност за привреду, државу и друштво у целини, као и недовољни капацитети за трансфер технологије</w:t>
      </w:r>
      <w:r w:rsidRPr="00C75060">
        <w:rPr>
          <w:rFonts w:eastAsia="Times New Roman" w:cs="Times New Roman"/>
          <w:szCs w:val="24"/>
          <w:lang w:val="sr-Cyrl-RS"/>
        </w:rPr>
        <w:t>. Претње су, поред дугорочних опадајућих демографских трендова, и потенцијални „одлив мозгова“ и у истраживању и у иновацијама, као и драстично повећање улагања у науку у другим земљама и ризик од одласка најквалификованијег кадра и технолошког заостајања. Неке од мера односе се на циљни ниво буџетског финансирања, развој људских ресурса, јачање научно- истраживачке инфраструктуре, реформу мреже института и др.</w:t>
      </w:r>
    </w:p>
    <w:p w14:paraId="69159B15" w14:textId="77777777" w:rsidR="00DC7F92" w:rsidRDefault="00DC7F92" w:rsidP="00DC7F92">
      <w:pPr>
        <w:spacing w:after="60"/>
        <w:rPr>
          <w:rFonts w:eastAsia="Times New Roman" w:cs="Times New Roman"/>
          <w:szCs w:val="24"/>
          <w:lang w:val="sr-Cyrl-RS"/>
        </w:rPr>
      </w:pPr>
      <w:r w:rsidRPr="00C75060">
        <w:rPr>
          <w:rFonts w:eastAsia="Times New Roman" w:cs="Times New Roman"/>
          <w:b/>
          <w:szCs w:val="24"/>
          <w:lang w:val="sr-Cyrl-RS"/>
        </w:rPr>
        <w:t xml:space="preserve">Оријентисаност научних истраживања ка привреди релативно је ниска. </w:t>
      </w:r>
      <w:r w:rsidRPr="00C75060">
        <w:rPr>
          <w:rFonts w:eastAsia="Times New Roman" w:cs="Times New Roman"/>
          <w:szCs w:val="24"/>
          <w:lang w:val="sr-Cyrl-RS"/>
        </w:rPr>
        <w:t xml:space="preserve">Сарадња између предузећа и академске заједнице у </w:t>
      </w:r>
      <w:r w:rsidRPr="00F8248B">
        <w:rPr>
          <w:rFonts w:eastAsia="Times New Roman" w:cs="Times New Roman"/>
          <w:szCs w:val="24"/>
          <w:lang w:val="sr-Cyrl-RS"/>
        </w:rPr>
        <w:t xml:space="preserve">Србији је и даље слаба и не подржава се систематски, што се одразило и на ранг Србије у Извештају о глобалној конкурентности </w:t>
      </w:r>
      <w:r w:rsidRPr="00F8248B">
        <w:rPr>
          <w:rFonts w:eastAsia="Times New Roman" w:cs="Times New Roman"/>
          <w:szCs w:val="24"/>
          <w:lang w:val="sr-Cyrl-RS"/>
        </w:rPr>
        <w:lastRenderedPageBreak/>
        <w:t>(</w:t>
      </w:r>
      <w:r w:rsidRPr="00F8248B">
        <w:rPr>
          <w:rFonts w:eastAsia="Times New Roman" w:cs="Times New Roman"/>
          <w:i/>
          <w:szCs w:val="24"/>
          <w:lang w:val="sr-Cyrl-RS"/>
        </w:rPr>
        <w:t>Global Competitiveness Report - GCI</w:t>
      </w:r>
      <w:r w:rsidRPr="00F8248B">
        <w:rPr>
          <w:rStyle w:val="FootnoteReference"/>
          <w:rFonts w:eastAsia="Times New Roman" w:cs="Times New Roman"/>
          <w:i/>
          <w:szCs w:val="24"/>
          <w:lang w:val="sr-Cyrl-RS"/>
        </w:rPr>
        <w:footnoteReference w:id="69"/>
      </w:r>
      <w:r w:rsidRPr="00F8248B">
        <w:rPr>
          <w:rFonts w:eastAsia="Times New Roman" w:cs="Times New Roman"/>
          <w:szCs w:val="24"/>
          <w:lang w:val="sr-Cyrl-RS"/>
        </w:rPr>
        <w:t>) за 2019. годину, у којем се, према квалитету сарадње универзитета и привреде, Србија налази на 80. месту (од 141 државе).</w:t>
      </w:r>
      <w:r w:rsidRPr="00C75060">
        <w:rPr>
          <w:rFonts w:eastAsia="Times New Roman" w:cs="Times New Roman"/>
          <w:szCs w:val="24"/>
          <w:lang w:val="sr-Cyrl-RS"/>
        </w:rPr>
        <w:t xml:space="preserve"> Са циљем побољшања сарадње, пре свега са привредним сектором, </w:t>
      </w:r>
      <w:r w:rsidRPr="00964340">
        <w:rPr>
          <w:rFonts w:eastAsia="Times New Roman" w:cs="Times New Roman"/>
          <w:b/>
          <w:szCs w:val="24"/>
          <w:lang w:val="sr-Cyrl-RS"/>
        </w:rPr>
        <w:t xml:space="preserve">усвојен је </w:t>
      </w:r>
      <w:r w:rsidRPr="00964340">
        <w:rPr>
          <w:rFonts w:eastAsia="Times New Roman" w:cs="Times New Roman"/>
          <w:b/>
          <w:i/>
          <w:szCs w:val="24"/>
          <w:lang w:val="sr-Cyrl-RS"/>
        </w:rPr>
        <w:t>Акциони план за период 2021-2022.</w:t>
      </w:r>
      <w:r w:rsidRPr="00CB707C">
        <w:rPr>
          <w:rFonts w:eastAsia="Times New Roman" w:cs="Times New Roman"/>
          <w:i/>
          <w:szCs w:val="24"/>
          <w:lang w:val="sr-Cyrl-RS"/>
        </w:rPr>
        <w:t xml:space="preserve"> </w:t>
      </w:r>
      <w:r w:rsidRPr="00CB707C">
        <w:rPr>
          <w:rFonts w:eastAsia="Times New Roman" w:cs="Times New Roman"/>
          <w:szCs w:val="24"/>
          <w:lang w:val="sr-Cyrl-RS"/>
        </w:rPr>
        <w:t>(</w:t>
      </w:r>
      <w:r>
        <w:rPr>
          <w:rFonts w:eastAsia="Calibri" w:cs="Times New Roman"/>
          <w:szCs w:val="24"/>
          <w:lang w:val="sr-Cyrl-RS"/>
        </w:rPr>
        <w:t>„Службени гласник РС“, бр.</w:t>
      </w:r>
      <w:r w:rsidRPr="00CB707C">
        <w:rPr>
          <w:rFonts w:eastAsia="Times New Roman" w:cs="Times New Roman"/>
          <w:szCs w:val="24"/>
          <w:lang w:val="sr-Cyrl-RS"/>
        </w:rPr>
        <w:t>42/</w:t>
      </w:r>
      <w:r>
        <w:rPr>
          <w:rFonts w:eastAsia="Times New Roman" w:cs="Times New Roman"/>
          <w:szCs w:val="24"/>
          <w:lang w:val="sr-Cyrl-RS"/>
        </w:rPr>
        <w:t xml:space="preserve">21) за спровођење </w:t>
      </w:r>
      <w:r w:rsidRPr="00756AB2">
        <w:rPr>
          <w:rFonts w:eastAsia="Times New Roman" w:cs="Times New Roman"/>
          <w:i/>
          <w:szCs w:val="24"/>
          <w:lang w:val="sr-Cyrl-RS"/>
        </w:rPr>
        <w:t xml:space="preserve">Стратегије паметне специјализације </w:t>
      </w:r>
      <w:r w:rsidRPr="00964340">
        <w:rPr>
          <w:rFonts w:eastAsia="Times New Roman" w:cs="Times New Roman"/>
          <w:b/>
          <w:szCs w:val="24"/>
          <w:lang w:val="sr-Cyrl-RS"/>
        </w:rPr>
        <w:t>у априлу 2021</w:t>
      </w:r>
      <w:r>
        <w:rPr>
          <w:rFonts w:eastAsia="Times New Roman" w:cs="Times New Roman"/>
          <w:szCs w:val="24"/>
          <w:lang w:val="sr-Cyrl-RS"/>
        </w:rPr>
        <w:t>. године. У њему су планиране</w:t>
      </w:r>
      <w:r w:rsidRPr="00756AB2">
        <w:rPr>
          <w:rFonts w:eastAsia="Times New Roman" w:cs="Times New Roman"/>
          <w:szCs w:val="24"/>
          <w:lang w:val="sr-Cyrl-RS"/>
        </w:rPr>
        <w:t xml:space="preserve"> мере и активности</w:t>
      </w:r>
      <w:r>
        <w:rPr>
          <w:rFonts w:eastAsia="Times New Roman" w:cs="Times New Roman"/>
          <w:szCs w:val="24"/>
          <w:lang w:val="sr-Cyrl-RS"/>
        </w:rPr>
        <w:t xml:space="preserve"> </w:t>
      </w:r>
      <w:r w:rsidRPr="00756AB2">
        <w:rPr>
          <w:rFonts w:eastAsia="Times New Roman" w:cs="Times New Roman"/>
          <w:szCs w:val="24"/>
          <w:lang w:val="sr-Cyrl-RS"/>
        </w:rPr>
        <w:t>циљан</w:t>
      </w:r>
      <w:r>
        <w:rPr>
          <w:rFonts w:eastAsia="Times New Roman" w:cs="Times New Roman"/>
          <w:szCs w:val="24"/>
          <w:lang w:val="sr-Cyrl-RS"/>
        </w:rPr>
        <w:t>е</w:t>
      </w:r>
      <w:r w:rsidRPr="00756AB2">
        <w:rPr>
          <w:rFonts w:eastAsia="Times New Roman" w:cs="Times New Roman"/>
          <w:szCs w:val="24"/>
          <w:lang w:val="sr-Cyrl-RS"/>
        </w:rPr>
        <w:t xml:space="preserve"> подршк</w:t>
      </w:r>
      <w:r>
        <w:rPr>
          <w:rFonts w:eastAsia="Times New Roman" w:cs="Times New Roman"/>
          <w:szCs w:val="24"/>
          <w:lang w:val="sr-Cyrl-RS"/>
        </w:rPr>
        <w:t>е</w:t>
      </w:r>
      <w:r w:rsidRPr="00756AB2">
        <w:rPr>
          <w:rFonts w:eastAsia="Times New Roman" w:cs="Times New Roman"/>
          <w:szCs w:val="24"/>
          <w:lang w:val="sr-Cyrl-RS"/>
        </w:rPr>
        <w:t xml:space="preserve"> истраживачким, развојним и иновационим активностима</w:t>
      </w:r>
      <w:r>
        <w:rPr>
          <w:rFonts w:eastAsia="Times New Roman" w:cs="Times New Roman"/>
          <w:szCs w:val="24"/>
          <w:lang w:val="sr-Cyrl-RS"/>
        </w:rPr>
        <w:t>, са акцентом на</w:t>
      </w:r>
      <w:r w:rsidRPr="00756AB2">
        <w:rPr>
          <w:rFonts w:eastAsia="Times New Roman" w:cs="Times New Roman"/>
          <w:szCs w:val="24"/>
          <w:lang w:val="sr-Cyrl-RS"/>
        </w:rPr>
        <w:t xml:space="preserve"> непрекидан</w:t>
      </w:r>
      <w:r>
        <w:rPr>
          <w:rFonts w:eastAsia="Times New Roman" w:cs="Times New Roman"/>
          <w:szCs w:val="24"/>
          <w:lang w:val="sr-Cyrl-RS"/>
        </w:rPr>
        <w:t xml:space="preserve"> </w:t>
      </w:r>
      <w:r w:rsidRPr="00756AB2">
        <w:rPr>
          <w:rFonts w:eastAsia="Times New Roman" w:cs="Times New Roman"/>
          <w:szCs w:val="24"/>
          <w:lang w:val="sr-Cyrl-RS"/>
        </w:rPr>
        <w:t>дијалог са свим заинтересованим странама и институцијама које имплементирају мере</w:t>
      </w:r>
      <w:r>
        <w:rPr>
          <w:rFonts w:eastAsia="Times New Roman" w:cs="Times New Roman"/>
          <w:szCs w:val="24"/>
          <w:lang w:val="sr-Cyrl-RS"/>
        </w:rPr>
        <w:t>.</w:t>
      </w:r>
    </w:p>
    <w:p w14:paraId="7CEB62D8" w14:textId="77777777" w:rsidR="00DC7F92" w:rsidRPr="00C75060" w:rsidRDefault="00DC7F92" w:rsidP="00DC7F92">
      <w:pPr>
        <w:spacing w:after="60"/>
        <w:rPr>
          <w:rFonts w:eastAsia="Times New Roman" w:cs="Times New Roman"/>
          <w:szCs w:val="24"/>
          <w:lang w:val="sr-Cyrl-RS"/>
        </w:rPr>
      </w:pPr>
      <w:r w:rsidRPr="00A73506">
        <w:rPr>
          <w:rFonts w:eastAsia="Times New Roman" w:cs="Times New Roman"/>
          <w:b/>
          <w:szCs w:val="24"/>
          <w:lang w:val="sr-Cyrl-RS"/>
        </w:rPr>
        <w:t>Ве</w:t>
      </w:r>
      <w:r w:rsidRPr="00CB707C">
        <w:rPr>
          <w:rFonts w:eastAsia="Times New Roman" w:cs="Times New Roman"/>
          <w:b/>
          <w:szCs w:val="24"/>
          <w:lang w:val="sr-Cyrl-RS"/>
        </w:rPr>
        <w:t>лики</w:t>
      </w:r>
      <w:r w:rsidRPr="00C75060">
        <w:rPr>
          <w:rFonts w:eastAsia="Times New Roman" w:cs="Times New Roman"/>
          <w:b/>
          <w:szCs w:val="24"/>
          <w:lang w:val="sr-Cyrl-RS"/>
        </w:rPr>
        <w:t xml:space="preserve"> помак</w:t>
      </w:r>
      <w:r w:rsidRPr="0045367E">
        <w:rPr>
          <w:rFonts w:eastAsia="Times New Roman" w:cs="Times New Roman"/>
          <w:b/>
          <w:szCs w:val="24"/>
          <w:lang w:val="sr-Cyrl-RS"/>
        </w:rPr>
        <w:t xml:space="preserve"> </w:t>
      </w:r>
      <w:r>
        <w:rPr>
          <w:rFonts w:eastAsia="Times New Roman" w:cs="Times New Roman"/>
          <w:b/>
          <w:szCs w:val="24"/>
          <w:lang w:val="sr-Cyrl-RS"/>
        </w:rPr>
        <w:t>остварен је</w:t>
      </w:r>
      <w:r w:rsidRPr="00C75060">
        <w:rPr>
          <w:rFonts w:eastAsia="Times New Roman" w:cs="Times New Roman"/>
          <w:b/>
          <w:szCs w:val="24"/>
          <w:lang w:val="sr-Cyrl-RS"/>
        </w:rPr>
        <w:t xml:space="preserve"> </w:t>
      </w:r>
      <w:r>
        <w:rPr>
          <w:rFonts w:eastAsia="Times New Roman" w:cs="Times New Roman"/>
          <w:b/>
          <w:szCs w:val="24"/>
          <w:lang w:val="sr-Cyrl-RS"/>
        </w:rPr>
        <w:t>р</w:t>
      </w:r>
      <w:r w:rsidRPr="0045367E">
        <w:rPr>
          <w:rFonts w:eastAsia="Times New Roman" w:cs="Times New Roman"/>
          <w:b/>
          <w:szCs w:val="24"/>
          <w:lang w:val="sr-Cyrl-RS"/>
        </w:rPr>
        <w:t>еформ</w:t>
      </w:r>
      <w:r>
        <w:rPr>
          <w:rFonts w:eastAsia="Times New Roman" w:cs="Times New Roman"/>
          <w:b/>
          <w:szCs w:val="24"/>
          <w:lang w:val="sr-Cyrl-RS"/>
        </w:rPr>
        <w:t>ом</w:t>
      </w:r>
      <w:r w:rsidRPr="0045367E">
        <w:rPr>
          <w:rFonts w:eastAsia="Times New Roman" w:cs="Times New Roman"/>
          <w:b/>
          <w:szCs w:val="24"/>
          <w:lang w:val="sr-Cyrl-RS"/>
        </w:rPr>
        <w:t xml:space="preserve"> организације и финансирања </w:t>
      </w:r>
      <w:r w:rsidRPr="00C75060">
        <w:rPr>
          <w:rFonts w:eastAsia="Times New Roman" w:cs="Times New Roman"/>
          <w:b/>
          <w:szCs w:val="24"/>
          <w:lang w:val="sr-Cyrl-RS"/>
        </w:rPr>
        <w:t xml:space="preserve">науке и </w:t>
      </w:r>
      <w:r w:rsidRPr="00CB707C">
        <w:rPr>
          <w:rFonts w:eastAsia="Times New Roman" w:cs="Times New Roman"/>
          <w:b/>
          <w:szCs w:val="24"/>
          <w:lang w:val="sr-Cyrl-RS"/>
        </w:rPr>
        <w:t>истраживања</w:t>
      </w:r>
      <w:r w:rsidRPr="00C75060">
        <w:rPr>
          <w:rFonts w:eastAsia="Times New Roman" w:cs="Times New Roman"/>
          <w:szCs w:val="24"/>
          <w:lang w:val="sr-Cyrl-RS"/>
        </w:rPr>
        <w:t xml:space="preserve">, </w:t>
      </w:r>
      <w:r>
        <w:rPr>
          <w:rFonts w:eastAsia="Times New Roman" w:cs="Times New Roman"/>
          <w:szCs w:val="24"/>
          <w:lang w:val="sr-Cyrl-RS"/>
        </w:rPr>
        <w:t>која подразумева</w:t>
      </w:r>
      <w:r w:rsidRPr="00C75060">
        <w:rPr>
          <w:rFonts w:eastAsia="Times New Roman" w:cs="Times New Roman"/>
          <w:szCs w:val="24"/>
          <w:lang w:val="sr-Cyrl-RS"/>
        </w:rPr>
        <w:t xml:space="preserve"> </w:t>
      </w:r>
      <w:r w:rsidRPr="00C75060">
        <w:rPr>
          <w:rFonts w:eastAsia="Times New Roman" w:cs="Times New Roman"/>
          <w:b/>
          <w:szCs w:val="24"/>
          <w:lang w:val="sr-Cyrl-RS"/>
        </w:rPr>
        <w:t>увођењ</w:t>
      </w:r>
      <w:r>
        <w:rPr>
          <w:rFonts w:eastAsia="Times New Roman" w:cs="Times New Roman"/>
          <w:b/>
          <w:szCs w:val="24"/>
          <w:lang w:val="sr-Cyrl-RS"/>
        </w:rPr>
        <w:t>е</w:t>
      </w:r>
      <w:r w:rsidRPr="00C75060">
        <w:rPr>
          <w:rFonts w:eastAsia="Times New Roman" w:cs="Times New Roman"/>
          <w:b/>
          <w:szCs w:val="24"/>
          <w:lang w:val="sr-Cyrl-RS"/>
        </w:rPr>
        <w:t xml:space="preserve"> комбинованог институционално-пројектног финансирања </w:t>
      </w:r>
      <w:r w:rsidRPr="00BD3C13">
        <w:rPr>
          <w:rFonts w:eastAsia="Times New Roman" w:cs="Times New Roman"/>
          <w:szCs w:val="24"/>
          <w:lang w:val="sr-Cyrl-RS"/>
        </w:rPr>
        <w:t>чиме се</w:t>
      </w:r>
      <w:r>
        <w:rPr>
          <w:rFonts w:eastAsia="Times New Roman" w:cs="Times New Roman"/>
          <w:b/>
          <w:szCs w:val="24"/>
          <w:lang w:val="sr-Cyrl-RS"/>
        </w:rPr>
        <w:t xml:space="preserve"> </w:t>
      </w:r>
      <w:r w:rsidRPr="00C75060">
        <w:rPr>
          <w:rFonts w:eastAsia="Times New Roman" w:cs="Times New Roman"/>
          <w:szCs w:val="24"/>
          <w:lang w:val="sr-Cyrl-RS"/>
        </w:rPr>
        <w:t xml:space="preserve">елиминише неизвесност у раду и омогућава вишегодишње планирање активности научноистраживачких институција. </w:t>
      </w:r>
      <w:r>
        <w:rPr>
          <w:rFonts w:eastAsia="Times New Roman" w:cs="Times New Roman"/>
          <w:b/>
          <w:szCs w:val="24"/>
          <w:lang w:val="sr-Cyrl-RS"/>
        </w:rPr>
        <w:t>Фонд</w:t>
      </w:r>
      <w:r w:rsidRPr="00C75060">
        <w:rPr>
          <w:rFonts w:eastAsia="Times New Roman" w:cs="Times New Roman"/>
          <w:b/>
          <w:szCs w:val="24"/>
          <w:lang w:val="sr-Cyrl-RS"/>
        </w:rPr>
        <w:t xml:space="preserve"> за науку</w:t>
      </w:r>
      <w:r>
        <w:rPr>
          <w:rFonts w:eastAsia="Times New Roman" w:cs="Times New Roman"/>
          <w:b/>
          <w:szCs w:val="24"/>
        </w:rPr>
        <w:t xml:space="preserve"> </w:t>
      </w:r>
      <w:r>
        <w:rPr>
          <w:rFonts w:eastAsia="Times New Roman" w:cs="Times New Roman"/>
          <w:b/>
          <w:szCs w:val="24"/>
          <w:lang w:val="sr-Cyrl-RS"/>
        </w:rPr>
        <w:t xml:space="preserve">је оперативан у потпуности </w:t>
      </w:r>
      <w:r w:rsidRPr="00424928">
        <w:rPr>
          <w:rFonts w:eastAsia="Times New Roman" w:cs="Times New Roman"/>
          <w:szCs w:val="24"/>
          <w:lang w:val="sr-Cyrl-RS"/>
        </w:rPr>
        <w:t>и</w:t>
      </w:r>
      <w:r w:rsidRPr="00C75060">
        <w:rPr>
          <w:rFonts w:eastAsia="Times New Roman" w:cs="Times New Roman"/>
          <w:szCs w:val="24"/>
          <w:lang w:val="sr-Cyrl-RS"/>
        </w:rPr>
        <w:t xml:space="preserve"> пружа подршку научноистраживачкој делатности тиме што расписује јавне позиве и обавља комплетну процедуру и управљање компетитивним пројектним позивима. У току је имплементација пројеката у оквиру следећих програма</w:t>
      </w:r>
      <w:r w:rsidRPr="00C75060">
        <w:rPr>
          <w:rStyle w:val="FootnoteReference"/>
          <w:rFonts w:eastAsia="Times New Roman" w:cs="Times New Roman"/>
          <w:szCs w:val="24"/>
          <w:lang w:val="sr-Cyrl-RS"/>
        </w:rPr>
        <w:footnoteReference w:id="70"/>
      </w:r>
      <w:r w:rsidRPr="00C75060">
        <w:rPr>
          <w:rFonts w:eastAsia="Times New Roman" w:cs="Times New Roman"/>
          <w:szCs w:val="24"/>
          <w:lang w:val="sr-Cyrl-RS"/>
        </w:rPr>
        <w:t>: П</w:t>
      </w:r>
      <w:r w:rsidRPr="00BD3C13">
        <w:rPr>
          <w:rFonts w:eastAsia="Times New Roman" w:cs="Times New Roman"/>
          <w:i/>
          <w:szCs w:val="24"/>
          <w:lang w:val="sr-Cyrl-RS"/>
        </w:rPr>
        <w:t>рограм за изврсне пројекте младих истраживача</w:t>
      </w:r>
      <w:r w:rsidRPr="00C75060">
        <w:rPr>
          <w:rFonts w:eastAsia="Times New Roman" w:cs="Times New Roman"/>
          <w:szCs w:val="24"/>
          <w:lang w:val="sr-Cyrl-RS"/>
        </w:rPr>
        <w:t xml:space="preserve"> (ПРОМИС) - 59 пројеката укупне вредности око 9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Програм за развој пројеката из области вештачке интелигенције</w:t>
      </w:r>
      <w:r w:rsidRPr="00C75060">
        <w:rPr>
          <w:rFonts w:eastAsia="Times New Roman" w:cs="Times New Roman"/>
          <w:szCs w:val="24"/>
          <w:lang w:val="sr-Cyrl-RS"/>
        </w:rPr>
        <w:t xml:space="preserve"> - 12 пројеката вредности 2,2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Програм сарадње српске науке са дијаспором</w:t>
      </w:r>
      <w:r w:rsidRPr="00C75060">
        <w:rPr>
          <w:rFonts w:eastAsia="Times New Roman" w:cs="Times New Roman"/>
          <w:szCs w:val="24"/>
          <w:lang w:val="sr-Cyrl-RS"/>
        </w:rPr>
        <w:t xml:space="preserve"> - 92 пројекта вредности 798 </w:t>
      </w:r>
      <w:r>
        <w:rPr>
          <w:rFonts w:eastAsia="Times New Roman" w:cs="Times New Roman"/>
          <w:szCs w:val="24"/>
          <w:lang w:val="sr-Cyrl-RS"/>
        </w:rPr>
        <w:t>хиљада</w:t>
      </w:r>
      <w:r>
        <w:rPr>
          <w:rFonts w:eastAsia="Times New Roman" w:cs="Times New Roman"/>
          <w:szCs w:val="24"/>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Специјални програм истраживања Ковид-19</w:t>
      </w:r>
      <w:r w:rsidRPr="00C75060">
        <w:rPr>
          <w:rFonts w:eastAsia="Times New Roman" w:cs="Times New Roman"/>
          <w:szCs w:val="24"/>
          <w:lang w:val="sr-Cyrl-RS"/>
        </w:rPr>
        <w:t xml:space="preserve"> - 14 пројеката вредности око 2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У оквиру </w:t>
      </w:r>
      <w:r>
        <w:rPr>
          <w:rFonts w:eastAsia="Times New Roman" w:cs="Times New Roman"/>
          <w:szCs w:val="24"/>
          <w:lang w:val="sr-Cyrl-RS"/>
        </w:rPr>
        <w:t>П</w:t>
      </w:r>
      <w:r w:rsidRPr="00C75060">
        <w:rPr>
          <w:rFonts w:eastAsia="Times New Roman" w:cs="Times New Roman"/>
          <w:szCs w:val="24"/>
          <w:lang w:val="sr-Cyrl-RS"/>
        </w:rPr>
        <w:t>рограма ИДЕЈЕ, поднето је 917 предлога пројеката и у току је други степен евалуације предлога пројеката.</w:t>
      </w:r>
    </w:p>
    <w:p w14:paraId="6D3C0016" w14:textId="77777777" w:rsidR="00DC7F92" w:rsidRPr="0045367E" w:rsidRDefault="00DC7F92" w:rsidP="00DC7F92">
      <w:pPr>
        <w:spacing w:after="60"/>
        <w:rPr>
          <w:rFonts w:eastAsia="Times New Roman" w:cs="Times New Roman"/>
          <w:szCs w:val="24"/>
          <w:lang w:val="sr-Cyrl-RS"/>
        </w:rPr>
      </w:pPr>
      <w:r w:rsidRPr="00C75060">
        <w:rPr>
          <w:rFonts w:eastAsia="Times New Roman" w:cs="Times New Roman"/>
          <w:b/>
          <w:szCs w:val="24"/>
          <w:lang w:val="sr-Cyrl-RS"/>
        </w:rPr>
        <w:t xml:space="preserve">Различитим финансијским инструментима Фонд за иновациону делатност подржава стварање иновација, јачање везе између науке и привреде, оснивање нових и оснаживање постојећих предузећа са иновативним потенцијалом. </w:t>
      </w:r>
      <w:r w:rsidRPr="00C75060">
        <w:rPr>
          <w:rFonts w:eastAsia="Times New Roman" w:cs="Times New Roman"/>
          <w:szCs w:val="24"/>
          <w:lang w:val="sr-Cyrl-RS"/>
        </w:rPr>
        <w:t>Фонд је до сада</w:t>
      </w:r>
      <w:r w:rsidRPr="00BD3C13">
        <w:rPr>
          <w:rFonts w:eastAsia="Times New Roman" w:cs="Times New Roman"/>
          <w:szCs w:val="24"/>
          <w:lang w:val="sr-Cyrl-RS"/>
        </w:rPr>
        <w:t xml:space="preserve"> </w:t>
      </w:r>
      <w:r>
        <w:rPr>
          <w:rFonts w:eastAsia="Times New Roman" w:cs="Times New Roman"/>
          <w:szCs w:val="24"/>
          <w:lang w:val="sr-Cyrl-RS"/>
        </w:rPr>
        <w:t>подржао</w:t>
      </w:r>
      <w:r w:rsidRPr="0045367E">
        <w:rPr>
          <w:rFonts w:eastAsia="Times New Roman" w:cs="Times New Roman"/>
          <w:szCs w:val="24"/>
          <w:lang w:val="sr-Cyrl-RS"/>
        </w:rPr>
        <w:t xml:space="preserve"> 1</w:t>
      </w:r>
      <w:r>
        <w:rPr>
          <w:rFonts w:eastAsia="Times New Roman" w:cs="Times New Roman"/>
          <w:szCs w:val="24"/>
          <w:lang w:val="sr-Cyrl-RS"/>
        </w:rPr>
        <w:t>.</w:t>
      </w:r>
      <w:r w:rsidRPr="0045367E">
        <w:rPr>
          <w:rFonts w:eastAsia="Times New Roman" w:cs="Times New Roman"/>
          <w:szCs w:val="24"/>
          <w:lang w:val="sr-Cyrl-RS"/>
        </w:rPr>
        <w:t>2</w:t>
      </w:r>
      <w:r>
        <w:rPr>
          <w:rFonts w:eastAsia="Times New Roman" w:cs="Times New Roman"/>
          <w:szCs w:val="24"/>
          <w:lang w:val="sr-Cyrl-RS"/>
        </w:rPr>
        <w:t>48</w:t>
      </w:r>
      <w:r w:rsidRPr="0045367E">
        <w:rPr>
          <w:rFonts w:eastAsia="Times New Roman" w:cs="Times New Roman"/>
          <w:szCs w:val="24"/>
          <w:lang w:val="sr-Cyrl-RS"/>
        </w:rPr>
        <w:t xml:space="preserve"> иновативних пројеката са нешто више од 4</w:t>
      </w:r>
      <w:r>
        <w:rPr>
          <w:rFonts w:eastAsia="Times New Roman" w:cs="Times New Roman"/>
          <w:szCs w:val="24"/>
          <w:lang w:val="sr-Cyrl-RS"/>
        </w:rPr>
        <w:t xml:space="preserve">3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Style w:val="FootnoteReference"/>
          <w:rFonts w:eastAsia="Times New Roman" w:cs="Times New Roman"/>
          <w:szCs w:val="24"/>
          <w:lang w:val="sr-Cyrl-RS"/>
        </w:rPr>
        <w:footnoteReference w:id="71"/>
      </w:r>
      <w:r>
        <w:rPr>
          <w:rFonts w:eastAsia="Times New Roman" w:cs="Times New Roman"/>
          <w:szCs w:val="24"/>
          <w:lang w:val="sr-Cyrl-RS"/>
        </w:rPr>
        <w:t xml:space="preserve"> - одобрено је</w:t>
      </w:r>
      <w:r w:rsidRPr="00C75060">
        <w:rPr>
          <w:rFonts w:eastAsia="Times New Roman" w:cs="Times New Roman"/>
          <w:szCs w:val="24"/>
          <w:lang w:val="sr-Cyrl-RS"/>
        </w:rPr>
        <w:t xml:space="preserve"> 3</w:t>
      </w:r>
      <w:r>
        <w:rPr>
          <w:rFonts w:eastAsia="Times New Roman" w:cs="Times New Roman"/>
          <w:szCs w:val="24"/>
          <w:lang w:val="sr-Cyrl-RS"/>
        </w:rPr>
        <w:t>6.</w:t>
      </w:r>
      <w:r w:rsidRPr="00C75060">
        <w:rPr>
          <w:rFonts w:eastAsia="Times New Roman" w:cs="Times New Roman"/>
          <w:szCs w:val="24"/>
          <w:lang w:val="sr-Cyrl-RS"/>
        </w:rPr>
        <w:t>8 мил</w:t>
      </w:r>
      <w:r>
        <w:rPr>
          <w:rFonts w:eastAsia="Times New Roman" w:cs="Times New Roman"/>
          <w:szCs w:val="24"/>
          <w:lang w:val="sr-Cyrl-RS"/>
        </w:rPr>
        <w:t>иона евра</w:t>
      </w:r>
      <w:r w:rsidRPr="0045367E">
        <w:rPr>
          <w:rFonts w:eastAsia="Times New Roman" w:cs="Times New Roman"/>
          <w:szCs w:val="24"/>
          <w:lang w:val="sr-Cyrl-RS"/>
        </w:rPr>
        <w:t xml:space="preserve"> за 275 иновативних пројеката, 4</w:t>
      </w:r>
      <w:r>
        <w:rPr>
          <w:rFonts w:eastAsia="Times New Roman" w:cs="Times New Roman"/>
          <w:szCs w:val="24"/>
          <w:lang w:val="sr-Cyrl-RS"/>
        </w:rPr>
        <w:t>.1</w:t>
      </w:r>
      <w:r w:rsidRPr="0045367E">
        <w:rPr>
          <w:rFonts w:eastAsia="Times New Roman" w:cs="Times New Roman"/>
          <w:szCs w:val="24"/>
          <w:lang w:val="sr-Cyrl-RS"/>
        </w:rPr>
        <w:t xml:space="preserve">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за 8</w:t>
      </w:r>
      <w:r>
        <w:rPr>
          <w:rFonts w:eastAsia="Times New Roman" w:cs="Times New Roman"/>
          <w:szCs w:val="24"/>
          <w:lang w:val="sr-Cyrl-RS"/>
        </w:rPr>
        <w:t>43</w:t>
      </w:r>
      <w:r w:rsidRPr="0045367E">
        <w:rPr>
          <w:rFonts w:eastAsia="Times New Roman" w:cs="Times New Roman"/>
          <w:szCs w:val="24"/>
          <w:lang w:val="sr-Cyrl-RS"/>
        </w:rPr>
        <w:t xml:space="preserve"> иновациона ваучера и 580 хиљада </w:t>
      </w:r>
      <w:r>
        <w:rPr>
          <w:rFonts w:eastAsia="Times New Roman" w:cs="Times New Roman"/>
          <w:szCs w:val="24"/>
          <w:lang w:val="sr-Cyrl-RS"/>
        </w:rPr>
        <w:t>евра</w:t>
      </w:r>
      <w:r w:rsidRPr="0045367E">
        <w:rPr>
          <w:rFonts w:eastAsia="Times New Roman" w:cs="Times New Roman"/>
          <w:szCs w:val="24"/>
          <w:lang w:val="sr-Cyrl-RS"/>
        </w:rPr>
        <w:t xml:space="preserve"> за подршку при трансферу технологије, као и 1,75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Pr>
          <w:rFonts w:eastAsia="Times New Roman" w:cs="Times New Roman"/>
          <w:szCs w:val="24"/>
          <w:lang w:val="sr-Cyrl-RS"/>
        </w:rPr>
        <w:t>за доказ концепта.</w:t>
      </w:r>
    </w:p>
    <w:p w14:paraId="31DC4381" w14:textId="77777777" w:rsidR="00DC7F92" w:rsidRPr="00C75060" w:rsidRDefault="00DC7F92" w:rsidP="00DC7F92">
      <w:pPr>
        <w:spacing w:after="60"/>
        <w:rPr>
          <w:rFonts w:cs="Times New Roman"/>
          <w:bCs/>
          <w:szCs w:val="24"/>
          <w:lang w:val="sr-Cyrl-RS"/>
        </w:rPr>
      </w:pPr>
      <w:r w:rsidRPr="0045367E">
        <w:rPr>
          <w:rFonts w:eastAsia="Times New Roman" w:cs="Times New Roman"/>
          <w:b/>
          <w:szCs w:val="24"/>
          <w:lang w:val="sr-Cyrl-RS"/>
        </w:rPr>
        <w:t xml:space="preserve">Отворене су и бројне могућности институцијама у Србији за учествовање у програму Хоризонт 2020 и другим програмима ЕУ. </w:t>
      </w:r>
      <w:r w:rsidRPr="0045367E">
        <w:rPr>
          <w:rFonts w:cs="Times New Roman"/>
          <w:szCs w:val="24"/>
          <w:lang w:val="sr-Cyrl-RS"/>
        </w:rPr>
        <w:t>Тренутно у програму Хоризонт 2020 учествује 586 институција из Србије</w:t>
      </w:r>
      <w:r w:rsidRPr="0045367E">
        <w:rPr>
          <w:rFonts w:cs="Times New Roman"/>
          <w:szCs w:val="24"/>
          <w:vertAlign w:val="superscript"/>
          <w:lang w:val="sr-Cyrl-RS"/>
        </w:rPr>
        <w:footnoteReference w:id="72"/>
      </w:r>
      <w:r w:rsidRPr="0045367E">
        <w:rPr>
          <w:rFonts w:cs="Times New Roman"/>
          <w:szCs w:val="24"/>
          <w:lang w:val="sr-Cyrl-RS"/>
        </w:rPr>
        <w:t xml:space="preserve"> на </w:t>
      </w:r>
      <w:r w:rsidRPr="00C75060">
        <w:rPr>
          <w:rFonts w:cs="Times New Roman"/>
          <w:szCs w:val="24"/>
          <w:lang w:val="sr-Cyrl-RS"/>
        </w:rPr>
        <w:t xml:space="preserve">укупно 409 пројеката који су одобрени за финансирање, а број партиципација из приватног сектора је 196. За реализацију ових пројеката одобрено 132,7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sidRPr="00C75060">
        <w:rPr>
          <w:rFonts w:cs="Times New Roman"/>
          <w:szCs w:val="24"/>
          <w:lang w:val="sr-Cyrl-RS"/>
        </w:rPr>
        <w:t xml:space="preserve">од стране Европске комисије, а приватни сектор је повукао 41,16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sidRPr="00C75060">
        <w:rPr>
          <w:rFonts w:cs="Times New Roman"/>
          <w:szCs w:val="24"/>
          <w:lang w:val="sr-Cyrl-RS"/>
        </w:rPr>
        <w:t xml:space="preserve">од укупних средстава. </w:t>
      </w:r>
      <w:r w:rsidRPr="00C75060">
        <w:rPr>
          <w:rFonts w:eastAsia="Times New Roman" w:cs="Times New Roman"/>
          <w:szCs w:val="24"/>
          <w:lang w:val="sr-Cyrl-RS"/>
        </w:rPr>
        <w:t>Просечна успешност Србије је 11,37%, што је близу ЕУ просека (13,34%). Н</w:t>
      </w:r>
      <w:r w:rsidRPr="00C75060">
        <w:rPr>
          <w:rFonts w:cs="Times New Roman"/>
          <w:szCs w:val="24"/>
          <w:lang w:val="sr-Cyrl-RS"/>
        </w:rPr>
        <w:t>ајвећи број одобрених пројеката је</w:t>
      </w:r>
      <w:r>
        <w:rPr>
          <w:rFonts w:cs="Times New Roman"/>
          <w:szCs w:val="24"/>
        </w:rPr>
        <w:t>,</w:t>
      </w:r>
      <w:r w:rsidRPr="00C75060">
        <w:rPr>
          <w:rFonts w:cs="Times New Roman"/>
          <w:szCs w:val="24"/>
          <w:lang w:val="sr-Cyrl-RS"/>
        </w:rPr>
        <w:t xml:space="preserve"> поред програма </w:t>
      </w:r>
      <w:r w:rsidRPr="00C75060">
        <w:rPr>
          <w:rFonts w:cs="Times New Roman"/>
          <w:bCs/>
          <w:szCs w:val="24"/>
          <w:lang w:val="sr-Cyrl-RS"/>
        </w:rPr>
        <w:t xml:space="preserve">Marie Skłodowska-Curie који се односи на развој талената и напредна истраживања, </w:t>
      </w:r>
      <w:r w:rsidRPr="00C75060">
        <w:rPr>
          <w:rFonts w:cs="Times New Roman"/>
          <w:szCs w:val="24"/>
          <w:lang w:val="sr-Cyrl-RS"/>
        </w:rPr>
        <w:t>у областима: храна, затим, информационo-комуникационе технологије, енергетика</w:t>
      </w:r>
      <w:r>
        <w:rPr>
          <w:rFonts w:cs="Times New Roman"/>
          <w:szCs w:val="24"/>
          <w:lang w:val="sr-Cyrl-RS"/>
        </w:rPr>
        <w:t>,</w:t>
      </w:r>
      <w:r w:rsidRPr="00C75060">
        <w:rPr>
          <w:rFonts w:cs="Times New Roman"/>
          <w:szCs w:val="24"/>
          <w:lang w:val="sr-Cyrl-RS"/>
        </w:rPr>
        <w:t xml:space="preserve"> здравље и др. </w:t>
      </w:r>
    </w:p>
    <w:p w14:paraId="6A167AE9" w14:textId="77777777" w:rsidR="00DC7F92" w:rsidRDefault="00DC7F92" w:rsidP="00DC7F92">
      <w:pPr>
        <w:widowControl w:val="0"/>
        <w:spacing w:after="60"/>
        <w:rPr>
          <w:rFonts w:eastAsia="Times New Roman" w:cs="Times New Roman"/>
          <w:szCs w:val="24"/>
          <w:lang w:val="sr-Cyrl-RS"/>
        </w:rPr>
      </w:pPr>
      <w:r w:rsidRPr="003D2596">
        <w:rPr>
          <w:rFonts w:eastAsia="Times New Roman" w:cs="Times New Roman"/>
          <w:b/>
          <w:szCs w:val="24"/>
          <w:lang w:val="sr-Cyrl-RS"/>
        </w:rPr>
        <w:t>Основан је Истраживачко-развојни институт за вештачку интелигенцију Србије</w:t>
      </w:r>
      <w:r>
        <w:rPr>
          <w:rFonts w:eastAsia="Times New Roman" w:cs="Times New Roman"/>
          <w:szCs w:val="24"/>
          <w:lang w:val="sr-Cyrl-RS"/>
        </w:rPr>
        <w:t xml:space="preserve"> </w:t>
      </w:r>
      <w:r w:rsidRPr="00C75060">
        <w:rPr>
          <w:rFonts w:eastAsia="Times New Roman" w:cs="Times New Roman"/>
          <w:szCs w:val="24"/>
          <w:lang w:val="sr-Cyrl-RS"/>
        </w:rPr>
        <w:t>март</w:t>
      </w:r>
      <w:r>
        <w:rPr>
          <w:rFonts w:eastAsia="Times New Roman" w:cs="Times New Roman"/>
          <w:szCs w:val="24"/>
          <w:lang w:val="sr-Latn-RS"/>
        </w:rPr>
        <w:t>a</w:t>
      </w:r>
      <w:r w:rsidRPr="00C75060">
        <w:rPr>
          <w:rFonts w:eastAsia="Times New Roman" w:cs="Times New Roman"/>
          <w:szCs w:val="24"/>
          <w:lang w:val="sr-Cyrl-RS"/>
        </w:rPr>
        <w:t xml:space="preserve"> 2021.</w:t>
      </w:r>
      <w:r>
        <w:rPr>
          <w:rFonts w:eastAsia="Times New Roman" w:cs="Times New Roman"/>
          <w:szCs w:val="24"/>
          <w:lang w:val="sr-Cyrl-RS"/>
        </w:rPr>
        <w:t xml:space="preserve"> године</w:t>
      </w:r>
      <w:r w:rsidRPr="00C75060">
        <w:rPr>
          <w:rFonts w:eastAsia="Times New Roman" w:cs="Times New Roman"/>
          <w:szCs w:val="24"/>
          <w:lang w:val="sr-Cyrl-RS"/>
        </w:rPr>
        <w:t xml:space="preserve"> </w:t>
      </w:r>
      <w:r>
        <w:rPr>
          <w:rFonts w:eastAsia="Times New Roman" w:cs="Times New Roman"/>
          <w:szCs w:val="24"/>
          <w:lang w:val="sr-Latn-RS"/>
        </w:rPr>
        <w:t>(</w:t>
      </w:r>
      <w:r w:rsidRPr="00C75060">
        <w:rPr>
          <w:rFonts w:eastAsia="Times New Roman" w:cs="Times New Roman"/>
          <w:szCs w:val="24"/>
          <w:lang w:val="sr-Cyrl-RS"/>
        </w:rPr>
        <w:t>смештен у НТП Нови Сад</w:t>
      </w:r>
      <w:r>
        <w:rPr>
          <w:rFonts w:eastAsia="Times New Roman" w:cs="Times New Roman"/>
          <w:szCs w:val="24"/>
          <w:lang w:val="sr-Latn-RS"/>
        </w:rPr>
        <w:t xml:space="preserve">) </w:t>
      </w:r>
      <w:r w:rsidRPr="003D2596">
        <w:rPr>
          <w:rFonts w:eastAsia="Times New Roman" w:cs="Times New Roman"/>
          <w:szCs w:val="24"/>
          <w:lang w:val="sr-Cyrl-RS"/>
        </w:rPr>
        <w:t>који ће се бавити истраживањима које се односе на примену вештачке интелигенције у различитим областима, као и анализом и праћењем стања у области вештачке интелигенције у Србији</w:t>
      </w:r>
      <w:r w:rsidRPr="00C75060">
        <w:rPr>
          <w:rFonts w:eastAsia="Times New Roman" w:cs="Times New Roman"/>
          <w:szCs w:val="24"/>
          <w:lang w:val="sr-Cyrl-RS"/>
        </w:rPr>
        <w:t>.</w:t>
      </w:r>
      <w:r>
        <w:rPr>
          <w:rFonts w:eastAsia="Times New Roman" w:cs="Times New Roman"/>
          <w:szCs w:val="24"/>
          <w:lang w:val="sr-Cyrl-RS"/>
        </w:rPr>
        <w:t xml:space="preserve"> Поред пројеката које финансира Фонд за науку у овој области, и</w:t>
      </w:r>
      <w:r w:rsidRPr="00C75060">
        <w:rPr>
          <w:rFonts w:eastAsia="Times New Roman" w:cs="Times New Roman"/>
          <w:szCs w:val="24"/>
          <w:lang w:val="sr-Cyrl-RS"/>
        </w:rPr>
        <w:t xml:space="preserve"> Фонд за иновациону делатност је расписао </w:t>
      </w:r>
      <w:r w:rsidRPr="00C75060">
        <w:rPr>
          <w:rFonts w:eastAsia="Times New Roman" w:cs="Times New Roman"/>
          <w:szCs w:val="24"/>
          <w:lang w:val="sr-Cyrl-RS"/>
        </w:rPr>
        <w:lastRenderedPageBreak/>
        <w:t xml:space="preserve">јавни позив за </w:t>
      </w:r>
      <w:r w:rsidRPr="00A23F0D">
        <w:rPr>
          <w:rFonts w:eastAsia="Times New Roman" w:cs="Times New Roman"/>
          <w:i/>
          <w:szCs w:val="24"/>
          <w:lang w:val="sr-Cyrl-RS"/>
        </w:rPr>
        <w:t>Програм сарадње науке и привреде</w:t>
      </w:r>
      <w:r w:rsidRPr="00C75060">
        <w:rPr>
          <w:rFonts w:eastAsia="Times New Roman" w:cs="Times New Roman"/>
          <w:szCs w:val="24"/>
          <w:lang w:val="sr-Cyrl-RS"/>
        </w:rPr>
        <w:t xml:space="preserve"> у фебруару 2021</w:t>
      </w:r>
      <w:r>
        <w:rPr>
          <w:rFonts w:eastAsia="Times New Roman" w:cs="Times New Roman"/>
          <w:szCs w:val="24"/>
          <w:lang w:val="sr-Cyrl-RS"/>
        </w:rPr>
        <w:t>. на који је</w:t>
      </w:r>
      <w:r w:rsidRPr="00C75060">
        <w:rPr>
          <w:rFonts w:eastAsia="Times New Roman" w:cs="Times New Roman"/>
          <w:szCs w:val="24"/>
          <w:lang w:val="sr-Cyrl-RS"/>
        </w:rPr>
        <w:t xml:space="preserve"> поднет</w:t>
      </w:r>
      <w:r>
        <w:rPr>
          <w:rFonts w:eastAsia="Times New Roman" w:cs="Times New Roman"/>
          <w:szCs w:val="24"/>
          <w:lang w:val="sr-Cyrl-RS"/>
        </w:rPr>
        <w:t>о</w:t>
      </w:r>
      <w:r w:rsidRPr="00C75060">
        <w:rPr>
          <w:rFonts w:eastAsia="Times New Roman" w:cs="Times New Roman"/>
          <w:szCs w:val="24"/>
          <w:lang w:val="sr-Cyrl-RS"/>
        </w:rPr>
        <w:t xml:space="preserve"> </w:t>
      </w:r>
      <w:r>
        <w:rPr>
          <w:rFonts w:eastAsia="Times New Roman" w:cs="Times New Roman"/>
          <w:szCs w:val="24"/>
          <w:lang w:val="sr-Cyrl-RS"/>
        </w:rPr>
        <w:t>29</w:t>
      </w:r>
      <w:r w:rsidRPr="00C75060">
        <w:rPr>
          <w:rFonts w:eastAsia="Times New Roman" w:cs="Times New Roman"/>
          <w:szCs w:val="24"/>
          <w:lang w:val="sr-Cyrl-RS"/>
        </w:rPr>
        <w:t xml:space="preserve"> пријав</w:t>
      </w:r>
      <w:r>
        <w:rPr>
          <w:rFonts w:eastAsia="Times New Roman" w:cs="Times New Roman"/>
          <w:szCs w:val="24"/>
          <w:lang w:val="sr-Cyrl-RS"/>
        </w:rPr>
        <w:t>а за иновативне пројекте</w:t>
      </w:r>
      <w:r w:rsidRPr="00C75060">
        <w:rPr>
          <w:rFonts w:eastAsia="Times New Roman" w:cs="Times New Roman"/>
          <w:szCs w:val="24"/>
          <w:lang w:val="sr-Cyrl-RS"/>
        </w:rPr>
        <w:t xml:space="preserve"> </w:t>
      </w:r>
      <w:r>
        <w:rPr>
          <w:rFonts w:eastAsia="Times New Roman" w:cs="Times New Roman"/>
          <w:szCs w:val="24"/>
          <w:lang w:val="sr-Cyrl-RS"/>
        </w:rPr>
        <w:t>у</w:t>
      </w:r>
      <w:r w:rsidRPr="00C75060">
        <w:rPr>
          <w:rFonts w:eastAsia="Times New Roman" w:cs="Times New Roman"/>
          <w:szCs w:val="24"/>
          <w:lang w:val="sr-Cyrl-RS"/>
        </w:rPr>
        <w:t xml:space="preserve"> области вештачке интелигенције, а евалуација поднетих пријава је у току. </w:t>
      </w:r>
    </w:p>
    <w:p w14:paraId="7B762EAF" w14:textId="77777777" w:rsidR="00DC7F92" w:rsidRDefault="00DC7F92" w:rsidP="00DC7F92">
      <w:pPr>
        <w:widowControl w:val="0"/>
        <w:spacing w:after="60"/>
        <w:rPr>
          <w:rFonts w:eastAsia="Times New Roman" w:cs="Times New Roman"/>
          <w:szCs w:val="24"/>
          <w:lang w:val="sr-Cyrl-RS"/>
        </w:rPr>
      </w:pPr>
      <w:r w:rsidRPr="00C75060">
        <w:rPr>
          <w:rFonts w:eastAsia="Times New Roman" w:cs="Times New Roman"/>
          <w:b/>
          <w:szCs w:val="24"/>
          <w:lang w:val="sr-Cyrl-RS"/>
        </w:rPr>
        <w:t xml:space="preserve">Иновациони екосистем се развија даљим улагањем у иновациону инфраструктуру и технолошко предузетништво у универзитетским центрима и регионима на територији Србије. </w:t>
      </w:r>
      <w:r w:rsidRPr="00C75060">
        <w:rPr>
          <w:rFonts w:eastAsia="Times New Roman" w:cs="Times New Roman"/>
          <w:szCs w:val="24"/>
          <w:lang w:val="sr-Cyrl-RS"/>
        </w:rPr>
        <w:t xml:space="preserve">Изграђена су </w:t>
      </w:r>
      <w:r w:rsidRPr="00C75060">
        <w:rPr>
          <w:rFonts w:eastAsia="Times New Roman" w:cs="Times New Roman"/>
          <w:b/>
          <w:szCs w:val="24"/>
          <w:lang w:val="sr-Cyrl-RS"/>
        </w:rPr>
        <w:t>четири најсавременија научно-технолошка парка</w:t>
      </w:r>
      <w:r w:rsidRPr="00C75060">
        <w:rPr>
          <w:rFonts w:eastAsia="Times New Roman" w:cs="Times New Roman"/>
          <w:szCs w:val="24"/>
          <w:lang w:val="sr-Cyrl-RS"/>
        </w:rPr>
        <w:t xml:space="preserve"> (Београд, Нови Сад, Ниш и Чачак) у којима наука и привреда заједнички раде на развоју иновација за глобално тржиште. Како је већ идентификована велика попуњеност просторних капацитета у </w:t>
      </w:r>
      <w:r>
        <w:rPr>
          <w:rFonts w:eastAsia="Times New Roman" w:cs="Times New Roman"/>
          <w:szCs w:val="24"/>
          <w:lang w:val="sr-Cyrl-RS"/>
        </w:rPr>
        <w:t>научно-технолошким</w:t>
      </w:r>
      <w:r w:rsidRPr="00944A06">
        <w:rPr>
          <w:rFonts w:eastAsia="Times New Roman" w:cs="Times New Roman"/>
          <w:szCs w:val="24"/>
          <w:lang w:val="sr-Cyrl-RS"/>
        </w:rPr>
        <w:t xml:space="preserve"> </w:t>
      </w:r>
      <w:r w:rsidRPr="00C75060">
        <w:rPr>
          <w:rFonts w:eastAsia="Times New Roman" w:cs="Times New Roman"/>
          <w:szCs w:val="24"/>
          <w:lang w:val="sr-Cyrl-RS"/>
        </w:rPr>
        <w:t xml:space="preserve">парковима, ради се на </w:t>
      </w:r>
      <w:r w:rsidRPr="0045367E">
        <w:rPr>
          <w:rFonts w:eastAsia="Times New Roman" w:cs="Times New Roman"/>
          <w:szCs w:val="24"/>
          <w:lang w:val="sr-Cyrl-RS"/>
        </w:rPr>
        <w:t>проширењу просторних капацитета НТ Парка Београд (у току је израда Идејног пројекта за нови објекат површине 4.000 m</w:t>
      </w:r>
      <w:r w:rsidRPr="0045367E">
        <w:rPr>
          <w:rFonts w:eastAsia="Times New Roman" w:cs="Times New Roman"/>
          <w:b/>
          <w:bCs/>
          <w:sz w:val="20"/>
          <w:szCs w:val="20"/>
          <w:vertAlign w:val="superscript"/>
          <w:lang w:val="sr-Cyrl-RS"/>
        </w:rPr>
        <w:t>2</w:t>
      </w:r>
      <w:r w:rsidRPr="0045367E">
        <w:rPr>
          <w:rFonts w:eastAsia="Times New Roman" w:cs="Times New Roman"/>
          <w:szCs w:val="24"/>
          <w:lang w:val="sr-Cyrl-RS"/>
        </w:rPr>
        <w:t>)</w:t>
      </w:r>
      <w:r w:rsidRPr="0045367E">
        <w:rPr>
          <w:rStyle w:val="FootnoteReference"/>
          <w:rFonts w:eastAsia="Times New Roman" w:cs="Times New Roman"/>
          <w:szCs w:val="24"/>
          <w:lang w:val="sr-Cyrl-RS"/>
        </w:rPr>
        <w:footnoteReference w:id="73"/>
      </w:r>
      <w:r>
        <w:rPr>
          <w:rFonts w:eastAsia="Times New Roman" w:cs="Times New Roman"/>
          <w:szCs w:val="24"/>
          <w:lang w:val="sr-Cyrl-RS"/>
        </w:rPr>
        <w:t>.</w:t>
      </w:r>
    </w:p>
    <w:p w14:paraId="7FE9DAF1" w14:textId="77777777" w:rsidR="00DC7F92" w:rsidRDefault="00DC7F92" w:rsidP="00DC7F92">
      <w:pPr>
        <w:widowControl w:val="0"/>
        <w:spacing w:after="60"/>
        <w:rPr>
          <w:rFonts w:eastAsia="Times New Roman" w:cs="Times New Roman"/>
          <w:szCs w:val="24"/>
          <w:lang w:val="sr-Cyrl-RS"/>
        </w:rPr>
      </w:pPr>
      <w:r w:rsidRPr="005F0736">
        <w:rPr>
          <w:rFonts w:eastAsia="Times New Roman" w:cs="Times New Roman"/>
          <w:b/>
          <w:szCs w:val="24"/>
          <w:lang w:val="sr-Cyrl-RS"/>
        </w:rPr>
        <w:t>Стартап екосистем у Србији последњих година привлачи све већу пажњу домаће и међународне пословне, иновационе и научне заједнице.</w:t>
      </w:r>
      <w:r>
        <w:rPr>
          <w:rFonts w:eastAsia="Times New Roman" w:cs="Times New Roman"/>
          <w:szCs w:val="24"/>
          <w:lang w:val="sr-Cyrl-RS"/>
        </w:rPr>
        <w:t xml:space="preserve"> </w:t>
      </w:r>
      <w:r w:rsidRPr="00C75060">
        <w:rPr>
          <w:rFonts w:eastAsia="Times New Roman" w:cs="Times New Roman"/>
          <w:color w:val="000000"/>
          <w:szCs w:val="24"/>
          <w:lang w:val="sr-Cyrl-RS"/>
        </w:rPr>
        <w:t xml:space="preserve">У извештају </w:t>
      </w:r>
      <w:r w:rsidRPr="00C75060">
        <w:rPr>
          <w:rFonts w:eastAsia="Times New Roman" w:cs="Times New Roman"/>
          <w:szCs w:val="24"/>
          <w:lang w:val="sr-Cyrl-RS"/>
        </w:rPr>
        <w:t>Стартап Џинома</w:t>
      </w:r>
      <w:r w:rsidRPr="00C75060">
        <w:rPr>
          <w:rFonts w:eastAsia="Times New Roman" w:cs="Times New Roman"/>
          <w:szCs w:val="24"/>
          <w:vertAlign w:val="superscript"/>
          <w:lang w:val="sr-Cyrl-RS"/>
        </w:rPr>
        <w:footnoteReference w:id="74"/>
      </w:r>
      <w:r w:rsidRPr="00C75060">
        <w:rPr>
          <w:rFonts w:eastAsia="Times New Roman" w:cs="Times New Roman"/>
          <w:color w:val="000000"/>
          <w:szCs w:val="24"/>
          <w:lang w:val="sr-Cyrl-RS"/>
        </w:rPr>
        <w:t xml:space="preserve"> за 2020. годину</w:t>
      </w:r>
      <w:r w:rsidRPr="00C75060">
        <w:rPr>
          <w:rFonts w:eastAsia="Times New Roman" w:cs="Times New Roman"/>
          <w:color w:val="000000"/>
          <w:szCs w:val="24"/>
          <w:vertAlign w:val="superscript"/>
          <w:lang w:val="sr-Cyrl-RS"/>
        </w:rPr>
        <w:footnoteReference w:id="75"/>
      </w:r>
      <w:r w:rsidRPr="00C75060">
        <w:rPr>
          <w:rFonts w:eastAsia="Times New Roman" w:cs="Times New Roman"/>
          <w:b/>
          <w:color w:val="000000"/>
          <w:szCs w:val="24"/>
          <w:lang w:val="sr-Cyrl-RS"/>
        </w:rPr>
        <w:t xml:space="preserve"> Србија је </w:t>
      </w:r>
      <w:r>
        <w:rPr>
          <w:rFonts w:eastAsia="Times New Roman" w:cs="Times New Roman"/>
          <w:b/>
          <w:color w:val="000000"/>
          <w:szCs w:val="24"/>
          <w:lang w:val="sr-Cyrl-RS"/>
        </w:rPr>
        <w:t>оцењена као једна од пет најбољих земаља у категорији притупачности талената</w:t>
      </w:r>
      <w:r>
        <w:rPr>
          <w:rFonts w:eastAsia="Times New Roman" w:cs="Times New Roman"/>
          <w:color w:val="000000"/>
          <w:szCs w:val="24"/>
          <w:lang w:val="sr-Cyrl-RS"/>
        </w:rPr>
        <w:t xml:space="preserve">, док су Београд и Нови Сад (посматрани као јединствени стартап екосистем) издвојени са још пет градова у региону Европе и Блиског Истока као најперспективнији. </w:t>
      </w:r>
      <w:r>
        <w:rPr>
          <w:rFonts w:eastAsia="Times New Roman" w:cs="Times New Roman"/>
          <w:szCs w:val="24"/>
          <w:lang w:val="sr-Cyrl-RS"/>
        </w:rPr>
        <w:t xml:space="preserve">Успешни иноватори из Србије креирају пословна решења која осварују запажен резултат на глобалном нивоу. Међутим, ти успеси су резултат индивидуалног ангажовања оснивача, а не заједнице у целини. Како би се будућим стартаповима омогућило боље окружење за развој и експанзију иновативних идеја, </w:t>
      </w:r>
      <w:r w:rsidRPr="00D052AF">
        <w:rPr>
          <w:rFonts w:eastAsia="Times New Roman" w:cs="Times New Roman"/>
          <w:szCs w:val="24"/>
          <w:lang w:val="sr-Cyrl-RS"/>
        </w:rPr>
        <w:t xml:space="preserve">до краја године се очекује усвајање </w:t>
      </w:r>
      <w:r w:rsidRPr="00D052AF">
        <w:rPr>
          <w:rFonts w:eastAsia="Times New Roman" w:cs="Times New Roman"/>
          <w:i/>
          <w:szCs w:val="24"/>
          <w:lang w:val="sr-Cyrl-RS"/>
        </w:rPr>
        <w:t>Стратегије развоја стартап екосистема Републике Србије за период од 2021. до 2025. године</w:t>
      </w:r>
      <w:r w:rsidRPr="00D052AF">
        <w:rPr>
          <w:rFonts w:eastAsia="Times New Roman" w:cs="Times New Roman"/>
          <w:szCs w:val="24"/>
          <w:lang w:val="sr-Cyrl-RS"/>
        </w:rPr>
        <w:t xml:space="preserve">. </w:t>
      </w:r>
      <w:r w:rsidRPr="00422EA7">
        <w:rPr>
          <w:rFonts w:eastAsia="Times New Roman" w:cs="Times New Roman"/>
          <w:szCs w:val="24"/>
          <w:lang w:val="sr-Cyrl-RS"/>
        </w:rPr>
        <w:t>Такође, очекује се усвајање новог Закона о иновационој делатности до краја 2021. године којим ће бити препознати субјекти националног иновационог система, и предвиђено формирање њиховог регистра.</w:t>
      </w:r>
    </w:p>
    <w:p w14:paraId="49815AFE" w14:textId="77777777" w:rsidR="00DC7F92" w:rsidRPr="00944A06" w:rsidRDefault="00DC7F92" w:rsidP="00DC7F92">
      <w:pPr>
        <w:widowControl w:val="0"/>
        <w:spacing w:after="60"/>
        <w:rPr>
          <w:rFonts w:eastAsia="Calibri" w:cs="Times New Roman"/>
          <w:szCs w:val="24"/>
          <w:highlight w:val="yellow"/>
          <w:lang w:val="sr-Cyrl-RS"/>
        </w:rPr>
      </w:pPr>
      <w:r w:rsidRPr="00944A06">
        <w:rPr>
          <w:rFonts w:eastAsia="Calibri" w:cs="Times New Roman"/>
          <w:b/>
          <w:szCs w:val="24"/>
          <w:lang w:val="sr-Cyrl-RS"/>
        </w:rPr>
        <w:t>Наука</w:t>
      </w:r>
      <w:r w:rsidRPr="00944A06">
        <w:rPr>
          <w:rFonts w:eastAsia="Calibri" w:cs="Times New Roman"/>
          <w:szCs w:val="24"/>
          <w:lang w:val="sr-Cyrl-RS"/>
        </w:rPr>
        <w:t xml:space="preserve"> је једна од области друштва која је, не само </w:t>
      </w:r>
      <w:r w:rsidRPr="00944A06">
        <w:rPr>
          <w:rFonts w:eastAsia="Calibri" w:cs="Times New Roman"/>
          <w:b/>
          <w:szCs w:val="24"/>
          <w:lang w:val="sr-Cyrl-RS"/>
        </w:rPr>
        <w:t>одиграла важну улогу у погледу брзе реакције на пандемију Ковид-19</w:t>
      </w:r>
      <w:r w:rsidRPr="00944A06">
        <w:rPr>
          <w:rFonts w:eastAsia="Calibri" w:cs="Times New Roman"/>
          <w:szCs w:val="24"/>
          <w:lang w:val="sr-Cyrl-RS"/>
        </w:rPr>
        <w:t xml:space="preserve">, већ ће и њен развој у наредном периоду бити под снажним утицајем новонасталих потреба. Технолошки напредак суштински мења досадашњи приступ здрављу и представља, поред подизања квалитета живота становништва, и значајну прилику за економски развој </w:t>
      </w:r>
      <w:r w:rsidRPr="009F4968">
        <w:rPr>
          <w:rFonts w:eastAsia="Calibri" w:cs="Times New Roman"/>
          <w:szCs w:val="24"/>
          <w:lang w:val="sr-Cyrl-RS"/>
        </w:rPr>
        <w:t xml:space="preserve">земље. </w:t>
      </w:r>
      <w:r w:rsidRPr="009F4968">
        <w:rPr>
          <w:rFonts w:eastAsia="Calibri" w:cs="Times New Roman"/>
          <w:b/>
          <w:szCs w:val="24"/>
          <w:lang w:val="sr-Cyrl-RS"/>
        </w:rPr>
        <w:t>Изградњом БИО4 Кампуса</w:t>
      </w:r>
      <w:r w:rsidRPr="009F4968">
        <w:rPr>
          <w:rFonts w:eastAsia="Calibri" w:cs="Times New Roman"/>
          <w:szCs w:val="24"/>
          <w:lang w:val="sr-Cyrl-RS"/>
        </w:rPr>
        <w:t xml:space="preserve"> биће створена прилика за концентрацију људи, кумулирање мултидисциплинарних знања и развој инфраструктуре (факултети, институти, научно-технолошки парк итд.) у областима</w:t>
      </w:r>
      <w:r>
        <w:rPr>
          <w:rFonts w:eastAsia="Calibri" w:cs="Times New Roman"/>
          <w:szCs w:val="24"/>
          <w:lang w:val="sr-Cyrl-RS"/>
        </w:rPr>
        <w:t xml:space="preserve"> </w:t>
      </w:r>
      <w:r w:rsidRPr="009F4968">
        <w:rPr>
          <w:rFonts w:eastAsia="Calibri" w:cs="Times New Roman"/>
          <w:b/>
          <w:szCs w:val="24"/>
          <w:lang w:val="sr-Cyrl-RS"/>
        </w:rPr>
        <w:t>биотехнологије, биомедицине, биоинформатике и биодиверзитета</w:t>
      </w:r>
      <w:r w:rsidRPr="009F4968">
        <w:rPr>
          <w:rFonts w:eastAsia="Calibri" w:cs="Times New Roman"/>
          <w:szCs w:val="24"/>
          <w:lang w:val="sr-Cyrl-RS"/>
        </w:rPr>
        <w:t>. Временом, једна оваква институција</w:t>
      </w:r>
      <w:r>
        <w:rPr>
          <w:rFonts w:eastAsia="Calibri" w:cs="Times New Roman"/>
          <w:szCs w:val="24"/>
        </w:rPr>
        <w:t xml:space="preserve"> </w:t>
      </w:r>
      <w:r>
        <w:rPr>
          <w:rFonts w:eastAsia="Calibri" w:cs="Times New Roman"/>
          <w:szCs w:val="24"/>
          <w:lang w:val="sr-Cyrl-RS"/>
        </w:rPr>
        <w:t>ће</w:t>
      </w:r>
      <w:r w:rsidRPr="009F4968">
        <w:rPr>
          <w:rFonts w:eastAsia="Calibri" w:cs="Times New Roman"/>
          <w:szCs w:val="24"/>
          <w:lang w:val="sr-Cyrl-RS"/>
        </w:rPr>
        <w:t xml:space="preserve"> привући све више партнера из привреде, али </w:t>
      </w:r>
      <w:r>
        <w:rPr>
          <w:rFonts w:eastAsia="Calibri" w:cs="Times New Roman"/>
          <w:szCs w:val="24"/>
          <w:lang w:val="sr-Cyrl-RS"/>
        </w:rPr>
        <w:t xml:space="preserve">ће </w:t>
      </w:r>
      <w:r w:rsidRPr="009F4968">
        <w:rPr>
          <w:rFonts w:eastAsia="Calibri" w:cs="Times New Roman"/>
          <w:szCs w:val="24"/>
          <w:lang w:val="sr-Cyrl-RS"/>
        </w:rPr>
        <w:t>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w:t>
      </w:r>
    </w:p>
    <w:p w14:paraId="028C9D77" w14:textId="77777777" w:rsidR="00DC7F92" w:rsidRPr="0045367E" w:rsidRDefault="00DC7F92" w:rsidP="00DC7F92">
      <w:pPr>
        <w:widowControl w:val="0"/>
        <w:spacing w:after="60"/>
        <w:rPr>
          <w:rFonts w:eastAsia="Times New Roman" w:cs="Times New Roman"/>
          <w:szCs w:val="24"/>
          <w:lang w:val="sr-Cyrl-RS"/>
        </w:rPr>
      </w:pPr>
      <w:r w:rsidRPr="0045367E">
        <w:rPr>
          <w:rFonts w:eastAsia="Times New Roman" w:cs="Times New Roman"/>
          <w:b/>
          <w:szCs w:val="24"/>
          <w:lang w:val="sr-Cyrl-RS"/>
        </w:rPr>
        <w:t xml:space="preserve">И даље постоји недостатак људских ресурса у области истраживања и развоја, што ограничава економски раст и иновативност. </w:t>
      </w:r>
      <w:r w:rsidRPr="0045367E">
        <w:rPr>
          <w:rFonts w:eastAsia="Times New Roman" w:cs="Times New Roman"/>
          <w:szCs w:val="24"/>
          <w:lang w:val="sr-Cyrl-RS"/>
        </w:rPr>
        <w:t xml:space="preserve">У Србији има </w:t>
      </w:r>
      <w:r w:rsidRPr="00C75060">
        <w:rPr>
          <w:rFonts w:eastAsia="Times New Roman" w:cs="Times New Roman"/>
          <w:szCs w:val="24"/>
          <w:lang w:val="sr-Cyrl-RS"/>
        </w:rPr>
        <w:t>3.4</w:t>
      </w:r>
      <w:r>
        <w:rPr>
          <w:rFonts w:eastAsia="Times New Roman" w:cs="Times New Roman"/>
          <w:szCs w:val="24"/>
          <w:lang w:val="sr-Cyrl-RS"/>
        </w:rPr>
        <w:t>10</w:t>
      </w:r>
      <w:r w:rsidRPr="00C75060">
        <w:rPr>
          <w:rFonts w:eastAsia="Times New Roman" w:cs="Times New Roman"/>
          <w:szCs w:val="24"/>
          <w:lang w:val="sr-Cyrl-RS"/>
        </w:rPr>
        <w:t xml:space="preserve"> запослених у области истраживањa и развоја</w:t>
      </w:r>
      <w:r w:rsidRPr="00C75060">
        <w:rPr>
          <w:rFonts w:eastAsia="Times New Roman" w:cs="Times New Roman"/>
          <w:szCs w:val="24"/>
          <w:vertAlign w:val="superscript"/>
          <w:lang w:val="sr-Cyrl-RS"/>
        </w:rPr>
        <w:footnoteReference w:id="76"/>
      </w:r>
      <w:r w:rsidRPr="00C75060">
        <w:rPr>
          <w:rFonts w:eastAsia="Times New Roman" w:cs="Times New Roman"/>
          <w:szCs w:val="24"/>
          <w:lang w:val="sr-Cyrl-RS"/>
        </w:rPr>
        <w:t xml:space="preserve"> на милион становника у 2020. </w:t>
      </w:r>
      <w:r w:rsidRPr="001D7FAA">
        <w:rPr>
          <w:rFonts w:eastAsia="Times New Roman" w:cs="Times New Roman"/>
          <w:szCs w:val="24"/>
          <w:lang w:val="sr-Cyrl-RS"/>
        </w:rPr>
        <w:t xml:space="preserve">Њихово учешће у </w:t>
      </w:r>
      <w:r>
        <w:rPr>
          <w:rFonts w:eastAsia="Times New Roman" w:cs="Times New Roman"/>
          <w:szCs w:val="24"/>
          <w:lang w:val="sr-Cyrl-RS"/>
        </w:rPr>
        <w:t>регистованој</w:t>
      </w:r>
      <w:r w:rsidRPr="001D7FAA">
        <w:rPr>
          <w:rFonts w:eastAsia="Times New Roman" w:cs="Times New Roman"/>
          <w:szCs w:val="24"/>
          <w:lang w:val="sr-Cyrl-RS"/>
        </w:rPr>
        <w:t xml:space="preserve"> запослености у Србији износи 1,1% у 2020. </w:t>
      </w:r>
      <w:r w:rsidRPr="00D923E0">
        <w:rPr>
          <w:rFonts w:eastAsia="Times New Roman" w:cs="Times New Roman"/>
          <w:szCs w:val="24"/>
          <w:lang w:val="sr-Cyrl-RS"/>
        </w:rPr>
        <w:t>години, што је знатно мање када се пореди са просеком ЕУ-28 од 1,51%</w:t>
      </w:r>
      <w:r w:rsidRPr="00D923E0">
        <w:rPr>
          <w:rStyle w:val="FootnoteReference"/>
          <w:rFonts w:eastAsia="Times New Roman" w:cs="Times New Roman"/>
          <w:szCs w:val="24"/>
          <w:lang w:val="sr-Cyrl-RS"/>
        </w:rPr>
        <w:footnoteReference w:id="77"/>
      </w:r>
      <w:r w:rsidRPr="00D923E0">
        <w:rPr>
          <w:rFonts w:eastAsia="Times New Roman" w:cs="Times New Roman"/>
          <w:szCs w:val="24"/>
          <w:lang w:val="sr-Cyrl-RS"/>
        </w:rPr>
        <w:t xml:space="preserve"> у 2019. </w:t>
      </w:r>
      <w:r>
        <w:rPr>
          <w:rFonts w:eastAsia="Times New Roman" w:cs="Times New Roman"/>
          <w:szCs w:val="24"/>
          <w:lang w:val="sr-Cyrl-RS"/>
        </w:rPr>
        <w:t xml:space="preserve">години. </w:t>
      </w:r>
      <w:r w:rsidRPr="00C75060">
        <w:rPr>
          <w:rFonts w:eastAsia="Times New Roman" w:cs="Times New Roman"/>
          <w:szCs w:val="24"/>
          <w:lang w:val="sr-Cyrl-RS"/>
        </w:rPr>
        <w:t>Науком се бави 16.662 истраживача (од чега су 67,3% или 11.222 доктори наука</w:t>
      </w:r>
      <w:r w:rsidRPr="00C75060">
        <w:rPr>
          <w:rStyle w:val="FootnoteReference"/>
          <w:rFonts w:eastAsia="Times New Roman" w:cs="Times New Roman"/>
          <w:szCs w:val="24"/>
          <w:lang w:val="sr-Cyrl-RS"/>
        </w:rPr>
        <w:footnoteReference w:id="78"/>
      </w:r>
      <w:r w:rsidRPr="00C75060">
        <w:rPr>
          <w:rFonts w:eastAsia="Times New Roman" w:cs="Times New Roman"/>
          <w:szCs w:val="24"/>
          <w:lang w:val="sr-Cyrl-RS"/>
        </w:rPr>
        <w:t xml:space="preserve">), а само 9,4% је запослено у пословном сектору. </w:t>
      </w:r>
      <w:r w:rsidRPr="0045367E">
        <w:rPr>
          <w:rFonts w:eastAsia="Times New Roman" w:cs="Times New Roman"/>
          <w:szCs w:val="24"/>
          <w:lang w:val="sr-Cyrl-RS"/>
        </w:rPr>
        <w:t xml:space="preserve">Нерегулисана реинтеграција истраживача повратника један је од </w:t>
      </w:r>
      <w:r w:rsidRPr="0045367E">
        <w:rPr>
          <w:rFonts w:eastAsia="Times New Roman" w:cs="Times New Roman"/>
          <w:szCs w:val="24"/>
          <w:lang w:val="sr-Cyrl-RS"/>
        </w:rPr>
        <w:lastRenderedPageBreak/>
        <w:t xml:space="preserve">разлога ниске конкурентности Србије у области науке. </w:t>
      </w:r>
    </w:p>
    <w:p w14:paraId="678193E1" w14:textId="12694203"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7112FAAD" w14:textId="77777777" w:rsidR="00DC7F92" w:rsidRDefault="00DC7F92" w:rsidP="00DC7F92">
      <w:pPr>
        <w:spacing w:before="120"/>
        <w:rPr>
          <w:rFonts w:cs="Times New Roman"/>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14</w:t>
      </w:r>
      <w:r w:rsidRPr="00BC4C91">
        <w:rPr>
          <w:rFonts w:cs="Times New Roman"/>
          <w:b/>
          <w:szCs w:val="24"/>
          <w:lang w:val="sr-Cyrl-RS"/>
        </w:rPr>
        <w:t xml:space="preserve">: </w:t>
      </w:r>
      <w:r w:rsidRPr="00BC4C91">
        <w:rPr>
          <w:rFonts w:cs="Times New Roman"/>
          <w:szCs w:val="24"/>
          <w:lang w:val="sr-Cyrl-RS"/>
        </w:rPr>
        <w:t>РАЗВОЈ СТАРТАП ЕКОСИСТЕМА</w:t>
      </w:r>
    </w:p>
    <w:p w14:paraId="0027AAD3" w14:textId="77777777" w:rsidR="00DC7F92" w:rsidRPr="00A6164C" w:rsidRDefault="00DC7F92" w:rsidP="004D22FA">
      <w:pPr>
        <w:widowControl w:val="0"/>
        <w:numPr>
          <w:ilvl w:val="0"/>
          <w:numId w:val="37"/>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0CD10A64" w14:textId="77777777" w:rsidR="00DC7F92" w:rsidRPr="00D052AF" w:rsidRDefault="00DC7F92" w:rsidP="00DC7F92">
      <w:pPr>
        <w:rPr>
          <w:rFonts w:eastAsia="Times New Roman" w:cs="Times New Roman"/>
          <w:szCs w:val="24"/>
          <w:lang w:val="sr-Cyrl-RS"/>
        </w:rPr>
      </w:pPr>
      <w:r w:rsidRPr="00937B2D">
        <w:rPr>
          <w:rFonts w:eastAsia="Times New Roman" w:cs="Times New Roman"/>
          <w:szCs w:val="24"/>
          <w:lang w:val="sr-Cyrl-RS"/>
        </w:rPr>
        <w:t xml:space="preserve">Реформа обухвата стварање стимулативног окружења за развој стартапа који ће допринети привредном расту заснованом на економији знања, јачању конкурентности привреде, као и препознатљивости на националном и глобалном нивоу. </w:t>
      </w:r>
      <w:r w:rsidRPr="00937B2D">
        <w:rPr>
          <w:rFonts w:eastAsia="Times New Roman" w:cs="Times New Roman"/>
          <w:i/>
          <w:szCs w:val="24"/>
          <w:lang w:val="sr-Cyrl-RS"/>
        </w:rPr>
        <w:t>Стратегијом развоја стартап екосистема РС за период 2021-2025</w:t>
      </w:r>
      <w:r w:rsidRPr="00937B2D">
        <w:rPr>
          <w:rFonts w:eastAsia="Times New Roman" w:cs="Times New Roman"/>
          <w:szCs w:val="24"/>
          <w:lang w:val="sr-Cyrl-RS"/>
        </w:rPr>
        <w:t xml:space="preserve">, чије усвајање се очекује до краја године, дефинисаће се оквир за пословање стартапа, који ће, уз имплементацију подстицајних мера које се односе на истраживање и развој утврђених другим стратешким оквирима, пре свега у области паметне специјализације и вештачке интелигенције, довести до даљег развоја стартап екосистема. Намера је да се подстакну јавне и приватне инвестиције у овој области, омогући развој домаћег тржишта предузетничког капитала, развој високотехнолошке предузетничке културе и подизања предузетничких капацитета кроз образовне програме и јачање капацитета организација </w:t>
      </w:r>
      <w:r w:rsidRPr="00DB3230">
        <w:rPr>
          <w:rFonts w:eastAsia="Times New Roman" w:cs="Times New Roman"/>
          <w:szCs w:val="24"/>
          <w:lang w:val="sr-Cyrl-RS"/>
        </w:rPr>
        <w:t>подршке.</w:t>
      </w:r>
      <w:r>
        <w:rPr>
          <w:rFonts w:eastAsia="Times New Roman" w:cs="Times New Roman"/>
          <w:szCs w:val="24"/>
        </w:rPr>
        <w:t xml:space="preserve"> </w:t>
      </w:r>
      <w:r w:rsidRPr="00D052AF">
        <w:rPr>
          <w:rFonts w:eastAsia="Times New Roman" w:cs="Times New Roman"/>
          <w:szCs w:val="24"/>
          <w:lang w:val="sr-Cyrl-RS"/>
        </w:rPr>
        <w:t xml:space="preserve">Спровођење ове реформе доприноси остварењу </w:t>
      </w:r>
      <w:r w:rsidRPr="00D052AF">
        <w:rPr>
          <w:rFonts w:eastAsia="Times New Roman" w:cs="Times New Roman"/>
          <w:b/>
          <w:szCs w:val="24"/>
          <w:lang w:val="sr-Cyrl-RS"/>
        </w:rPr>
        <w:t>ЦОР 8</w:t>
      </w:r>
      <w:r w:rsidRPr="00D052AF">
        <w:rPr>
          <w:rFonts w:eastAsia="Times New Roman" w:cs="Times New Roman"/>
          <w:b/>
          <w:szCs w:val="24"/>
          <w:lang w:val="sr-Latn-RS"/>
        </w:rPr>
        <w:t>.2</w:t>
      </w:r>
      <w:r w:rsidRPr="00D052AF">
        <w:rPr>
          <w:rFonts w:eastAsia="Times New Roman" w:cs="Times New Roman"/>
          <w:szCs w:val="24"/>
          <w:lang w:val="sr-Cyrl-RS"/>
        </w:rPr>
        <w:t xml:space="preserve"> - </w:t>
      </w:r>
      <w:r>
        <w:rPr>
          <w:rFonts w:eastAsia="Times New Roman" w:cs="Times New Roman"/>
          <w:szCs w:val="24"/>
          <w:lang w:val="sr-Cyrl-RS"/>
        </w:rPr>
        <w:t>П</w:t>
      </w:r>
      <w:r w:rsidRPr="00D052AF">
        <w:rPr>
          <w:rFonts w:eastAsia="Times New Roman" w:cs="Times New Roman"/>
          <w:szCs w:val="24"/>
          <w:lang w:val="sr-Latn-RS"/>
        </w:rPr>
        <w:t xml:space="preserve">остићи више нивое економске продуктивности преко диверсификације, технолошких унапређења и иновација, </w:t>
      </w:r>
      <w:r w:rsidRPr="00D052AF">
        <w:rPr>
          <w:rFonts w:eastAsia="Times New Roman" w:cs="Times New Roman"/>
          <w:b/>
          <w:szCs w:val="24"/>
          <w:lang w:val="sr-Cyrl-RS"/>
        </w:rPr>
        <w:t>ЦОР 8.3</w:t>
      </w:r>
      <w:r w:rsidRPr="00D052AF">
        <w:rPr>
          <w:rFonts w:eastAsia="Times New Roman" w:cs="Times New Roman"/>
          <w:szCs w:val="24"/>
          <w:lang w:val="sr-Cyrl-RS"/>
        </w:rPr>
        <w:t xml:space="preserve"> -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 </w:t>
      </w:r>
      <w:r w:rsidRPr="00D052AF">
        <w:rPr>
          <w:rFonts w:eastAsia="Times New Roman" w:cs="Times New Roman"/>
          <w:b/>
          <w:szCs w:val="24"/>
          <w:lang w:val="sr-Cyrl-RS"/>
        </w:rPr>
        <w:t>ЦОР 8.5</w:t>
      </w:r>
      <w:r w:rsidRPr="00D052AF">
        <w:rPr>
          <w:rFonts w:eastAsia="Times New Roman" w:cs="Times New Roman"/>
          <w:szCs w:val="24"/>
          <w:lang w:val="sr-Cyrl-RS"/>
        </w:rPr>
        <w:t xml:space="preserve"> - Пуна и продуктивна запосленост и достојанствен рад за све жене и мушкарце и </w:t>
      </w:r>
      <w:r w:rsidRPr="00D052AF">
        <w:rPr>
          <w:rFonts w:eastAsia="Times New Roman" w:cs="Times New Roman"/>
          <w:b/>
          <w:szCs w:val="24"/>
          <w:lang w:val="sr-Cyrl-RS"/>
        </w:rPr>
        <w:t>ЦОР 9.3</w:t>
      </w:r>
      <w:r w:rsidRPr="00D052AF">
        <w:rPr>
          <w:rFonts w:eastAsia="Times New Roman" w:cs="Times New Roman"/>
          <w:szCs w:val="24"/>
          <w:lang w:val="sr-Cyrl-RS"/>
        </w:rPr>
        <w:t xml:space="preserve"> - Повећати приступ малих индустријских и осталих предузећа финансијским услугама и повећати њихову интеграцију у ланце вредности и у тржишта,  али и </w:t>
      </w:r>
      <w:r w:rsidRPr="00D052AF">
        <w:rPr>
          <w:rFonts w:eastAsia="Times New Roman" w:cs="Times New Roman"/>
          <w:b/>
          <w:szCs w:val="24"/>
          <w:lang w:val="sr-Cyrl-RS"/>
        </w:rPr>
        <w:t>ЦОР 11</w:t>
      </w:r>
      <w:r w:rsidRPr="00D052AF">
        <w:rPr>
          <w:rFonts w:eastAsia="Times New Roman" w:cs="Times New Roman"/>
          <w:szCs w:val="24"/>
        </w:rPr>
        <w:t xml:space="preserve"> </w:t>
      </w:r>
      <w:r w:rsidRPr="00D052AF">
        <w:rPr>
          <w:rFonts w:eastAsia="Times New Roman" w:cs="Times New Roman"/>
          <w:szCs w:val="24"/>
          <w:lang w:val="sr-Cyrl-RS"/>
        </w:rPr>
        <w:t xml:space="preserve">кроз подстицање самозапошљавања које ће својим иновативним решењима и у сарадњи са јединицама локалне самоуправе, допринети квалитету живота и одрживости градова. </w:t>
      </w:r>
    </w:p>
    <w:p w14:paraId="4A885879"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2F98E86D"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6BB7005F"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696390A"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C1730A4"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0B1CEA9"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051DD06"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2987ACF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18196EBF"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2BA645D"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63A9087E"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6B7B94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14B4A5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06F768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F23A04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4C82E8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EAD4151"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7AF7F36"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2B04310"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F098DC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C92259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DB951E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64797BF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502387F"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513E3AA6"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Креирање позивa Фонда за иновациону делатност за суфинансирање фондова предузетничког капитала и инвестиција пословних анђела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5B5CDC5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47D5D2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86C7F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55CCC1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0F939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49E930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27C293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0463ED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1E5440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6F816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7C53E5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4F5603A"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872DAD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396A0D5"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64A4D1E2"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Оснивање Регистра стартапа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2214C86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258260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AB8A16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813EC3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F59DBF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55942D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C66FCD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5FE94C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29F6E7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5CA31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1E9927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8A54C73"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9D363F7" w14:textId="77777777" w:rsidTr="006B76C3">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941DBF1"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1E9FA02B"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Успостављање GovTech-а</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6CD04F8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E872FC8"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340C161"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647892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5165214A"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FBAED59"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1304487"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3C1B6A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5989D73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119CE4"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6BC96B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3BEFCE8A" w14:textId="77777777" w:rsidR="00DC7F92" w:rsidRPr="00A6164C" w:rsidRDefault="00DC7F92" w:rsidP="00DC7F92">
            <w:pPr>
              <w:spacing w:after="0"/>
              <w:jc w:val="center"/>
              <w:rPr>
                <w:rFonts w:eastAsia="Times New Roman" w:cs="Times New Roman"/>
                <w:b/>
                <w:bCs/>
                <w:sz w:val="20"/>
                <w:szCs w:val="20"/>
                <w:lang w:val="sr-Cyrl-RS"/>
              </w:rPr>
            </w:pPr>
          </w:p>
        </w:tc>
      </w:tr>
      <w:tr w:rsidR="00DC7F92" w:rsidRPr="00A6164C" w14:paraId="3F6000BA" w14:textId="77777777" w:rsidTr="006B76C3">
        <w:trPr>
          <w:trHeight w:val="300"/>
        </w:trPr>
        <w:tc>
          <w:tcPr>
            <w:tcW w:w="426" w:type="dxa"/>
            <w:tcBorders>
              <w:top w:val="single" w:sz="4" w:space="0" w:color="auto"/>
              <w:left w:val="single" w:sz="8" w:space="0" w:color="auto"/>
              <w:bottom w:val="single" w:sz="4" w:space="0" w:color="auto"/>
              <w:right w:val="nil"/>
            </w:tcBorders>
            <w:shd w:val="clear" w:color="auto" w:fill="auto"/>
          </w:tcPr>
          <w:p w14:paraId="3DAEE0C9"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nil"/>
            </w:tcBorders>
            <w:shd w:val="clear" w:color="auto" w:fill="auto"/>
          </w:tcPr>
          <w:p w14:paraId="78F241C7"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Припрема и реализација обука за рад са стартапима за државне службенике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00D2696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323577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DDE193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6C791FF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DCB260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57F732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715C1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58E6856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1E983F8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51C9A44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FAF7B1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4A126957"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46CC7C15"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108BC68"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2730BDA5"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Повезивање актера стартап екосистема са међународним екосистемима, са посебним фокусом на менторе и инвеститоре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3E830F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AA6AC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DCE932F"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8F12B79"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771D79A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D1CEF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BFCDF5F"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F1227F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3693EA2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8A8F37"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5A521E5"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B124421" w14:textId="77777777" w:rsidR="00DC7F92" w:rsidRPr="00A6164C" w:rsidRDefault="00DC7F92" w:rsidP="00DC7F92">
            <w:pPr>
              <w:spacing w:after="0"/>
              <w:jc w:val="center"/>
              <w:rPr>
                <w:rFonts w:eastAsia="Times New Roman" w:cs="Times New Roman"/>
                <w:b/>
                <w:bCs/>
                <w:sz w:val="20"/>
                <w:szCs w:val="20"/>
                <w:lang w:val="sr-Cyrl-RS"/>
              </w:rPr>
            </w:pPr>
          </w:p>
        </w:tc>
      </w:tr>
      <w:tr w:rsidR="00DC7F92" w:rsidRPr="00A6164C" w14:paraId="2631B2BA"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2DC10028"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602FBFCB"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Оснаживање стартапова за привлачење инвестиција кроз укључивање у програм акцелерације Фонда за иновациону делатност (SAIGE)</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22DDB09B"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2DCCE654"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28ACEAF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0CBE3C3B"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79194FA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5B1126DC"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3C0CAF7F"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4DB5725A"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44F0D105"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658F7CF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4CBADD6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37CBF2E3" w14:textId="77777777" w:rsidR="00DC7F92" w:rsidRPr="00A6164C" w:rsidRDefault="00DC7F92" w:rsidP="00DC7F92">
            <w:pPr>
              <w:spacing w:after="0"/>
              <w:jc w:val="center"/>
              <w:rPr>
                <w:rFonts w:eastAsia="Times New Roman" w:cs="Times New Roman"/>
                <w:b/>
                <w:bCs/>
                <w:sz w:val="20"/>
                <w:szCs w:val="20"/>
                <w:lang w:val="sr-Cyrl-RS"/>
              </w:rPr>
            </w:pPr>
          </w:p>
        </w:tc>
      </w:tr>
    </w:tbl>
    <w:p w14:paraId="5BA24F41" w14:textId="31C280AF"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1A9CCB62"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7CC7479A"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0412DABB"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14:paraId="625DEE1B"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14:paraId="48846829"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A6164C" w14:paraId="7AFE353F" w14:textId="77777777" w:rsidTr="00DC7F92">
        <w:trPr>
          <w:trHeight w:val="284"/>
        </w:trPr>
        <w:tc>
          <w:tcPr>
            <w:tcW w:w="4106" w:type="dxa"/>
          </w:tcPr>
          <w:p w14:paraId="0C3323F4" w14:textId="77777777" w:rsidR="00DC7F92" w:rsidRPr="00080A7E" w:rsidRDefault="00DC7F92" w:rsidP="006B76C3">
            <w:pPr>
              <w:spacing w:before="0" w:after="0"/>
              <w:ind w:left="113" w:right="113"/>
              <w:rPr>
                <w:rFonts w:eastAsia="Times New Roman" w:cs="Times New Roman"/>
                <w:sz w:val="20"/>
              </w:rPr>
            </w:pPr>
            <w:r w:rsidRPr="00080A7E">
              <w:rPr>
                <w:rFonts w:eastAsia="Times New Roman" w:cs="Times New Roman"/>
                <w:sz w:val="20"/>
              </w:rPr>
              <w:lastRenderedPageBreak/>
              <w:t>Број стартапа који су регистровани кроз новоосновани Регистар</w:t>
            </w:r>
          </w:p>
        </w:tc>
        <w:tc>
          <w:tcPr>
            <w:tcW w:w="1842" w:type="dxa"/>
          </w:tcPr>
          <w:p w14:paraId="20F707B5" w14:textId="77777777"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0 (2021)</w:t>
            </w:r>
          </w:p>
        </w:tc>
        <w:tc>
          <w:tcPr>
            <w:tcW w:w="1843" w:type="dxa"/>
          </w:tcPr>
          <w:p w14:paraId="3FEF69D8" w14:textId="77777777"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300 (2022)</w:t>
            </w:r>
          </w:p>
        </w:tc>
        <w:tc>
          <w:tcPr>
            <w:tcW w:w="1843" w:type="dxa"/>
          </w:tcPr>
          <w:p w14:paraId="5EBC5B0F" w14:textId="77777777"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700 (2024)</w:t>
            </w:r>
          </w:p>
        </w:tc>
      </w:tr>
      <w:tr w:rsidR="00DC7F92" w:rsidRPr="00A6164C" w14:paraId="7CF12087" w14:textId="77777777" w:rsidTr="00DC7F92">
        <w:trPr>
          <w:trHeight w:val="284"/>
        </w:trPr>
        <w:tc>
          <w:tcPr>
            <w:tcW w:w="4106" w:type="dxa"/>
          </w:tcPr>
          <w:p w14:paraId="054DBA2F" w14:textId="77777777" w:rsidR="00DC7F92" w:rsidRPr="00EB3710" w:rsidRDefault="00DC7F92" w:rsidP="006B76C3">
            <w:pPr>
              <w:spacing w:before="0" w:after="0"/>
              <w:ind w:left="113" w:right="113"/>
              <w:rPr>
                <w:rFonts w:eastAsia="Times New Roman" w:cs="Times New Roman"/>
                <w:sz w:val="20"/>
                <w:lang w:val="sr-Cyrl-RS"/>
              </w:rPr>
            </w:pPr>
            <w:r w:rsidRPr="00080A7E">
              <w:rPr>
                <w:rFonts w:eastAsia="Times New Roman" w:cs="Times New Roman"/>
                <w:sz w:val="20"/>
              </w:rPr>
              <w:t>Износ финансијске подршке коју</w:t>
            </w:r>
            <w:r>
              <w:rPr>
                <w:rFonts w:eastAsia="Times New Roman" w:cs="Times New Roman"/>
                <w:sz w:val="20"/>
              </w:rPr>
              <w:t xml:space="preserve"> су остварили стартапи у Србији, у мил</w:t>
            </w:r>
            <w:r>
              <w:rPr>
                <w:rFonts w:eastAsia="Times New Roman" w:cs="Times New Roman"/>
                <w:sz w:val="20"/>
                <w:lang w:val="sr-Cyrl-RS"/>
              </w:rPr>
              <w:t>ионима евра</w:t>
            </w:r>
          </w:p>
        </w:tc>
        <w:tc>
          <w:tcPr>
            <w:tcW w:w="1842" w:type="dxa"/>
          </w:tcPr>
          <w:p w14:paraId="11EC6023" w14:textId="77777777"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 xml:space="preserve">23 </w:t>
            </w:r>
            <w:r w:rsidRPr="00080A7E">
              <w:rPr>
                <w:rFonts w:eastAsia="Times New Roman" w:cs="Times New Roman"/>
                <w:sz w:val="20"/>
              </w:rPr>
              <w:t>(2020)</w:t>
            </w:r>
          </w:p>
        </w:tc>
        <w:tc>
          <w:tcPr>
            <w:tcW w:w="1843" w:type="dxa"/>
          </w:tcPr>
          <w:p w14:paraId="3430E7FF" w14:textId="77777777"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40 (2022)</w:t>
            </w:r>
          </w:p>
        </w:tc>
        <w:tc>
          <w:tcPr>
            <w:tcW w:w="1843" w:type="dxa"/>
          </w:tcPr>
          <w:p w14:paraId="5340EDD7" w14:textId="77777777"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80 (2024)</w:t>
            </w:r>
          </w:p>
        </w:tc>
      </w:tr>
    </w:tbl>
    <w:p w14:paraId="4979C990" w14:textId="77777777" w:rsidR="00DC7F92" w:rsidRPr="00A6164C" w:rsidRDefault="00DC7F92" w:rsidP="004D22FA">
      <w:pPr>
        <w:widowControl w:val="0"/>
        <w:numPr>
          <w:ilvl w:val="0"/>
          <w:numId w:val="37"/>
        </w:numPr>
        <w:spacing w:before="240"/>
        <w:ind w:left="425" w:hanging="425"/>
        <w:rPr>
          <w:rFonts w:cs="Times New Roman"/>
          <w:b/>
          <w:szCs w:val="24"/>
          <w:lang w:val="sr-Cyrl-RS" w:eastAsia="sr-Cyrl-CS" w:bidi="sr-Cyrl-CS"/>
        </w:rPr>
      </w:pPr>
      <w:r>
        <w:rPr>
          <w:rFonts w:cs="Times New Roman"/>
          <w:b/>
          <w:szCs w:val="24"/>
          <w:lang w:val="sr-Cyrl-RS" w:eastAsia="sr-Cyrl-CS" w:bidi="sr-Cyrl-CS"/>
        </w:rPr>
        <w:t>О</w:t>
      </w:r>
      <w:r w:rsidRPr="00A6164C">
        <w:rPr>
          <w:rFonts w:cs="Times New Roman"/>
          <w:b/>
          <w:szCs w:val="24"/>
          <w:lang w:val="sr-Cyrl-RS" w:eastAsia="sr-Cyrl-CS" w:bidi="sr-Cyrl-CS"/>
        </w:rPr>
        <w:t>чекивани утицај на конкурентност</w:t>
      </w:r>
    </w:p>
    <w:p w14:paraId="60367027" w14:textId="77777777" w:rsidR="00DC7F92" w:rsidRPr="00A6164C" w:rsidRDefault="00DC7F92" w:rsidP="00FF3D52">
      <w:pPr>
        <w:spacing w:after="60"/>
        <w:rPr>
          <w:rFonts w:eastAsia="Times New Roman" w:cs="Times New Roman"/>
          <w:szCs w:val="24"/>
          <w:lang w:val="sr-Cyrl-RS"/>
        </w:rPr>
      </w:pPr>
      <w:r w:rsidRPr="00080A7E">
        <w:rPr>
          <w:rFonts w:eastAsia="Times New Roman" w:cs="Times New Roman"/>
          <w:szCs w:val="24"/>
          <w:lang w:val="sr-Cyrl-RS"/>
        </w:rPr>
        <w:t>Стартапи представљају посебну врсту иновативних микро, малих и средњих предузећа кој</w:t>
      </w:r>
      <w:r>
        <w:rPr>
          <w:rFonts w:eastAsia="Times New Roman" w:cs="Times New Roman"/>
          <w:szCs w:val="24"/>
          <w:lang w:val="sr-Cyrl-RS"/>
        </w:rPr>
        <w:t>а</w:t>
      </w:r>
      <w:r w:rsidRPr="00080A7E">
        <w:rPr>
          <w:rFonts w:eastAsia="Times New Roman" w:cs="Times New Roman"/>
          <w:szCs w:val="24"/>
          <w:lang w:val="sr-Cyrl-RS"/>
        </w:rPr>
        <w:t xml:space="preserve"> имају потенцијал брзог и в</w:t>
      </w:r>
      <w:r>
        <w:rPr>
          <w:rFonts w:eastAsia="Times New Roman" w:cs="Times New Roman"/>
          <w:szCs w:val="24"/>
          <w:lang w:val="sr-Cyrl-RS"/>
        </w:rPr>
        <w:t>исоко</w:t>
      </w:r>
      <w:r w:rsidRPr="00080A7E">
        <w:rPr>
          <w:rFonts w:eastAsia="Times New Roman" w:cs="Times New Roman"/>
          <w:szCs w:val="24"/>
          <w:lang w:val="sr-Cyrl-RS"/>
        </w:rPr>
        <w:t xml:space="preserve">г раста и </w:t>
      </w:r>
      <w:r>
        <w:rPr>
          <w:rFonts w:eastAsia="Times New Roman" w:cs="Times New Roman"/>
          <w:szCs w:val="24"/>
          <w:lang w:val="sr-Cyrl-RS"/>
        </w:rPr>
        <w:t xml:space="preserve">која </w:t>
      </w:r>
      <w:r w:rsidRPr="00080A7E">
        <w:rPr>
          <w:rFonts w:eastAsia="Times New Roman" w:cs="Times New Roman"/>
          <w:szCs w:val="24"/>
          <w:lang w:val="sr-Cyrl-RS"/>
        </w:rPr>
        <w:t>послују у условима високог ризика. Креирањем нових тржишта или дисрупциј</w:t>
      </w:r>
      <w:r>
        <w:rPr>
          <w:rFonts w:eastAsia="Times New Roman" w:cs="Times New Roman"/>
          <w:szCs w:val="24"/>
          <w:lang w:val="sr-Cyrl-RS"/>
        </w:rPr>
        <w:t>ом</w:t>
      </w:r>
      <w:r w:rsidRPr="00080A7E">
        <w:rPr>
          <w:rFonts w:eastAsia="Times New Roman" w:cs="Times New Roman"/>
          <w:szCs w:val="24"/>
          <w:lang w:val="sr-Cyrl-RS"/>
        </w:rPr>
        <w:t xml:space="preserve"> на постојећим, стартапи када постигну тржишни успех, достижу валуације које се мере стотинама милиона долара и представљају нове покретаче развоја.</w:t>
      </w:r>
      <w:r w:rsidRPr="00EB3710">
        <w:rPr>
          <w:rFonts w:eastAsia="Times New Roman" w:cs="Times New Roman"/>
          <w:szCs w:val="24"/>
          <w:lang w:val="sr-Cyrl-RS"/>
        </w:rPr>
        <w:t xml:space="preserve"> </w:t>
      </w:r>
      <w:r>
        <w:rPr>
          <w:rFonts w:eastAsia="Times New Roman" w:cs="Times New Roman"/>
          <w:szCs w:val="24"/>
          <w:lang w:val="sr-Cyrl-RS"/>
        </w:rPr>
        <w:t>В</w:t>
      </w:r>
      <w:r w:rsidRPr="00080A7E">
        <w:rPr>
          <w:rFonts w:eastAsia="Times New Roman" w:cs="Times New Roman"/>
          <w:szCs w:val="24"/>
          <w:lang w:val="sr-Cyrl-RS"/>
        </w:rPr>
        <w:t>редност стартап екосистема у Београду и Новом Саду је процењена на 502 мил</w:t>
      </w:r>
      <w:r>
        <w:rPr>
          <w:rFonts w:eastAsia="Times New Roman" w:cs="Times New Roman"/>
          <w:szCs w:val="24"/>
          <w:lang w:val="sr-Cyrl-RS"/>
        </w:rPr>
        <w:t>иона УСД п</w:t>
      </w:r>
      <w:r w:rsidRPr="00080A7E">
        <w:rPr>
          <w:rFonts w:eastAsia="Times New Roman" w:cs="Times New Roman"/>
          <w:szCs w:val="24"/>
          <w:lang w:val="sr-Cyrl-RS"/>
        </w:rPr>
        <w:t>рема подацима Стартап Џинома (енг. Startup Genome) из 2020. године</w:t>
      </w:r>
      <w:r>
        <w:rPr>
          <w:rFonts w:eastAsia="Times New Roman" w:cs="Times New Roman"/>
          <w:szCs w:val="24"/>
          <w:lang w:val="sr-Cyrl-RS"/>
        </w:rPr>
        <w:t xml:space="preserve">. </w:t>
      </w:r>
      <w:r w:rsidRPr="00080A7E">
        <w:rPr>
          <w:rFonts w:eastAsia="Times New Roman" w:cs="Times New Roman"/>
          <w:szCs w:val="24"/>
          <w:lang w:val="sr-Cyrl-RS"/>
        </w:rPr>
        <w:t>Повећање броја стартапа стимулише привредни раст, повећава извоз и БДП, и ствара радна места потребна за развој економије засноване на знању.</w:t>
      </w:r>
    </w:p>
    <w:p w14:paraId="23797604"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05B135DF" w14:textId="77777777" w:rsidR="00DC7F92" w:rsidRPr="00A6164C" w:rsidRDefault="00DC7F92" w:rsidP="00DC7F92">
      <w:pPr>
        <w:widowControl w:val="0"/>
        <w:spacing w:after="60"/>
        <w:rPr>
          <w:rFonts w:eastAsia="Times New Roman" w:cs="Times New Roman"/>
          <w:szCs w:val="24"/>
          <w:lang w:val="sr-Cyrl-RS"/>
        </w:rPr>
      </w:pPr>
      <w:r w:rsidRPr="00080A7E">
        <w:rPr>
          <w:rFonts w:eastAsia="Times New Roman" w:cs="Times New Roman"/>
          <w:szCs w:val="24"/>
          <w:lang w:val="sr-Cyrl-RS"/>
        </w:rPr>
        <w:t xml:space="preserve">У буџету Фонда за иновациону делатност обезбеђена </w:t>
      </w:r>
      <w:r>
        <w:rPr>
          <w:rFonts w:eastAsia="Times New Roman" w:cs="Times New Roman"/>
          <w:szCs w:val="24"/>
          <w:lang w:val="sr-Cyrl-RS"/>
        </w:rPr>
        <w:t>су</w:t>
      </w:r>
      <w:r w:rsidRPr="00080A7E">
        <w:rPr>
          <w:rFonts w:eastAsia="Times New Roman" w:cs="Times New Roman"/>
          <w:szCs w:val="24"/>
          <w:lang w:val="sr-Cyrl-RS"/>
        </w:rPr>
        <w:t xml:space="preserve"> средства за подршку фондовима предузетничког капитала и других приватних инвестиција</w:t>
      </w:r>
      <w:r w:rsidRPr="00B64877">
        <w:rPr>
          <w:rFonts w:eastAsia="Times New Roman" w:cs="Times New Roman"/>
          <w:szCs w:val="24"/>
          <w:lang w:val="sr-Cyrl-RS"/>
        </w:rPr>
        <w:t xml:space="preserve"> </w:t>
      </w:r>
      <w:r>
        <w:rPr>
          <w:rFonts w:eastAsia="Times New Roman" w:cs="Times New Roman"/>
          <w:szCs w:val="24"/>
          <w:lang w:val="sr-Cyrl-RS"/>
        </w:rPr>
        <w:t>у износу од 15 милиона евра</w:t>
      </w:r>
      <w:r w:rsidRPr="00080A7E">
        <w:rPr>
          <w:rFonts w:eastAsia="Times New Roman" w:cs="Times New Roman"/>
          <w:szCs w:val="24"/>
          <w:lang w:val="sr-Cyrl-RS"/>
        </w:rPr>
        <w:t xml:space="preserve">, док су средства за финансирање Програма Акцелерације обезбеђена из зајма Светске банке (Пројекат акцелерације иновација и подстицање раста предузетништва у Републици Србији – Пројекат SAIGE) у износу од 7 </w:t>
      </w:r>
      <w:r>
        <w:rPr>
          <w:rFonts w:eastAsia="Times New Roman" w:cs="Times New Roman"/>
          <w:szCs w:val="24"/>
          <w:lang w:val="sr-Cyrl-RS"/>
        </w:rPr>
        <w:t>милиона евра</w:t>
      </w:r>
      <w:r w:rsidRPr="00080A7E">
        <w:rPr>
          <w:rFonts w:eastAsia="Times New Roman" w:cs="Times New Roman"/>
          <w:szCs w:val="24"/>
          <w:lang w:val="sr-Cyrl-RS"/>
        </w:rPr>
        <w:t xml:space="preserve"> и Претприступних фондова Европске уније (ИПА 2019) у износу од 10 </w:t>
      </w:r>
      <w:r>
        <w:rPr>
          <w:rFonts w:eastAsia="Times New Roman" w:cs="Times New Roman"/>
          <w:szCs w:val="24"/>
          <w:lang w:val="sr-Cyrl-RS"/>
        </w:rPr>
        <w:t>милиона евра</w:t>
      </w:r>
      <w:r w:rsidRPr="00080A7E">
        <w:rPr>
          <w:rFonts w:eastAsia="Times New Roman" w:cs="Times New Roman"/>
          <w:szCs w:val="24"/>
          <w:lang w:val="sr-Cyrl-RS"/>
        </w:rPr>
        <w:t>. Формирање Регистра стартапа биће финансирано средствима из буџета Канцеларије за ИТ и еУправу</w:t>
      </w:r>
      <w:r w:rsidRPr="00B64877">
        <w:rPr>
          <w:rFonts w:eastAsia="Times New Roman" w:cs="Times New Roman"/>
          <w:szCs w:val="24"/>
          <w:lang w:val="sr-Cyrl-RS"/>
        </w:rPr>
        <w:t xml:space="preserve"> </w:t>
      </w:r>
      <w:r>
        <w:rPr>
          <w:rFonts w:eastAsia="Times New Roman" w:cs="Times New Roman"/>
          <w:szCs w:val="24"/>
          <w:lang w:val="sr-Cyrl-RS"/>
        </w:rPr>
        <w:t>у износу од 300 хиљада евра</w:t>
      </w:r>
      <w:r w:rsidRPr="00080A7E">
        <w:rPr>
          <w:rFonts w:eastAsia="Times New Roman" w:cs="Times New Roman"/>
          <w:szCs w:val="24"/>
          <w:lang w:val="sr-Cyrl-RS"/>
        </w:rPr>
        <w:t>. Креирање сајта за стартапе</w:t>
      </w:r>
      <w:r w:rsidRPr="00B64877">
        <w:rPr>
          <w:rFonts w:eastAsia="Times New Roman" w:cs="Times New Roman"/>
          <w:szCs w:val="24"/>
          <w:lang w:val="sr-Cyrl-RS"/>
        </w:rPr>
        <w:t xml:space="preserve"> претходно је финансирано од донаторских средстава (ГИЗ и УНДП) а додатна унапређења биће финансирана из буџета Мин</w:t>
      </w:r>
      <w:r>
        <w:rPr>
          <w:rFonts w:eastAsia="Times New Roman" w:cs="Times New Roman"/>
          <w:szCs w:val="24"/>
          <w:lang w:val="sr-Cyrl-RS"/>
        </w:rPr>
        <w:t>истарства</w:t>
      </w:r>
      <w:r w:rsidRPr="00B64877">
        <w:rPr>
          <w:rFonts w:eastAsia="Times New Roman" w:cs="Times New Roman"/>
          <w:szCs w:val="24"/>
          <w:lang w:val="sr-Cyrl-RS"/>
        </w:rPr>
        <w:t xml:space="preserve"> </w:t>
      </w:r>
      <w:r>
        <w:rPr>
          <w:rFonts w:eastAsia="Times New Roman" w:cs="Times New Roman"/>
          <w:szCs w:val="24"/>
          <w:lang w:val="sr-Cyrl-RS"/>
        </w:rPr>
        <w:t>п</w:t>
      </w:r>
      <w:r w:rsidRPr="00B64877">
        <w:rPr>
          <w:rFonts w:eastAsia="Times New Roman" w:cs="Times New Roman"/>
          <w:szCs w:val="24"/>
          <w:lang w:val="sr-Cyrl-RS"/>
        </w:rPr>
        <w:t xml:space="preserve">ривреде у износу од 16.400 евра. Спровођење студије и реализација </w:t>
      </w:r>
      <w:r w:rsidRPr="00B64877">
        <w:rPr>
          <w:rFonts w:eastAsia="Times New Roman" w:cs="Times New Roman"/>
          <w:szCs w:val="24"/>
          <w:lang w:val="de-DE"/>
        </w:rPr>
        <w:t xml:space="preserve">GovTech </w:t>
      </w:r>
      <w:r w:rsidRPr="00B64877">
        <w:rPr>
          <w:rFonts w:eastAsia="Times New Roman" w:cs="Times New Roman"/>
          <w:szCs w:val="24"/>
          <w:lang w:val="sr-Cyrl-RS"/>
        </w:rPr>
        <w:t xml:space="preserve">програма биће финансирана из донаторских средстава (ГИЗ) у периоду 2021-2023 у укупном износу од 200.000 евра. </w:t>
      </w:r>
    </w:p>
    <w:p w14:paraId="7A6C6B3F" w14:textId="77777777" w:rsidR="00DC7F92" w:rsidRPr="00A6164C" w:rsidRDefault="00DC7F92" w:rsidP="004D22FA">
      <w:pPr>
        <w:widowControl w:val="0"/>
        <w:numPr>
          <w:ilvl w:val="0"/>
          <w:numId w:val="37"/>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2C5B5BC8" w14:textId="77777777" w:rsidR="00DC7F92" w:rsidRPr="00A6164C" w:rsidRDefault="00DC7F92" w:rsidP="00DC7F92">
      <w:pPr>
        <w:spacing w:after="60"/>
        <w:rPr>
          <w:rFonts w:eastAsia="Times New Roman" w:cs="Times New Roman"/>
          <w:szCs w:val="24"/>
          <w:lang w:val="sr-Cyrl-RS"/>
        </w:rPr>
      </w:pPr>
      <w:r w:rsidRPr="00080A7E">
        <w:rPr>
          <w:rFonts w:eastAsia="Times New Roman" w:cs="Times New Roman"/>
          <w:szCs w:val="24"/>
          <w:lang w:val="sr-Cyrl-RS"/>
        </w:rPr>
        <w:t>Стартапи стварањем нових тржишта генеришу нове послове, нарочито за предузетне, младе и образоване људе, а улагањем у стартапе креира се људски капитал са компетенцијама и вештинама потребним за модерну економију засновању на знању и иновацијама.</w:t>
      </w:r>
    </w:p>
    <w:p w14:paraId="47DCBFED"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7ABBD0BE" w14:textId="5477B8EF" w:rsidR="00DC7F92" w:rsidRDefault="00DC7F92" w:rsidP="00DC7F92">
      <w:pPr>
        <w:spacing w:after="60"/>
        <w:rPr>
          <w:rFonts w:cs="Times New Roman"/>
          <w:szCs w:val="24"/>
          <w:lang w:val="sr-Cyrl-RS" w:eastAsia="sr-Cyrl-CS" w:bidi="sr-Cyrl-CS"/>
        </w:rPr>
      </w:pPr>
      <w:r w:rsidRPr="00080A7E">
        <w:rPr>
          <w:rFonts w:cs="Times New Roman"/>
          <w:szCs w:val="24"/>
          <w:lang w:val="sr-Cyrl-RS" w:eastAsia="sr-Cyrl-CS" w:bidi="sr-Cyrl-CS"/>
        </w:rPr>
        <w:t>Реализација ове реформске мере неће имати утицај на животну сред</w:t>
      </w:r>
      <w:r w:rsidR="00FF3D52">
        <w:rPr>
          <w:rFonts w:cs="Times New Roman"/>
          <w:szCs w:val="24"/>
          <w:lang w:val="sr-Cyrl-RS" w:eastAsia="sr-Cyrl-CS" w:bidi="sr-Cyrl-CS"/>
        </w:rPr>
        <w:t>ину и климатске промене.</w:t>
      </w:r>
    </w:p>
    <w:p w14:paraId="12440D93"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219348A8"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57C98051"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684C7AF1"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59154F62"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5DE33F19" w14:textId="77777777" w:rsidTr="00DC7F92">
        <w:trPr>
          <w:trHeight w:val="536"/>
        </w:trPr>
        <w:tc>
          <w:tcPr>
            <w:tcW w:w="3329" w:type="dxa"/>
          </w:tcPr>
          <w:p w14:paraId="2A5717A5"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Недовољно квалитетан и информативан сајт за стартапе</w:t>
            </w:r>
          </w:p>
        </w:tc>
        <w:tc>
          <w:tcPr>
            <w:tcW w:w="2200" w:type="dxa"/>
          </w:tcPr>
          <w:p w14:paraId="6A32DAC6" w14:textId="77777777" w:rsidR="00DC7F92" w:rsidRPr="00080A7E"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080A7E">
              <w:rPr>
                <w:rFonts w:eastAsia="Times New Roman" w:cs="Times New Roman"/>
                <w:sz w:val="20"/>
                <w:lang w:val="sr-Cyrl-RS"/>
              </w:rPr>
              <w:t>иска</w:t>
            </w:r>
          </w:p>
        </w:tc>
        <w:tc>
          <w:tcPr>
            <w:tcW w:w="4165" w:type="dxa"/>
          </w:tcPr>
          <w:p w14:paraId="3BFFC2DC"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Детаљна анализа потреба стартапа и континуирана комуникација са њима како би се постигао жељени ефекат</w:t>
            </w:r>
            <w:r>
              <w:rPr>
                <w:rFonts w:eastAsia="Times New Roman" w:cs="Times New Roman"/>
                <w:sz w:val="20"/>
                <w:lang w:val="sr-Cyrl-RS"/>
              </w:rPr>
              <w:t>.</w:t>
            </w:r>
          </w:p>
        </w:tc>
      </w:tr>
      <w:tr w:rsidR="00DC7F92" w:rsidRPr="00A6164C" w14:paraId="7C127089" w14:textId="77777777" w:rsidTr="00DC7F92">
        <w:trPr>
          <w:trHeight w:val="536"/>
        </w:trPr>
        <w:tc>
          <w:tcPr>
            <w:tcW w:w="3329" w:type="dxa"/>
          </w:tcPr>
          <w:p w14:paraId="71F87F5D"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Недовољна заинтересованост стартапа за учешће у програмима подршке</w:t>
            </w:r>
          </w:p>
        </w:tc>
        <w:tc>
          <w:tcPr>
            <w:tcW w:w="2200" w:type="dxa"/>
          </w:tcPr>
          <w:p w14:paraId="653B1875" w14:textId="77777777" w:rsidR="00DC7F92"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Средња</w:t>
            </w:r>
          </w:p>
        </w:tc>
        <w:tc>
          <w:tcPr>
            <w:tcW w:w="4165" w:type="dxa"/>
          </w:tcPr>
          <w:p w14:paraId="27261C25"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Интензивна промоција подршке</w:t>
            </w:r>
            <w:r>
              <w:rPr>
                <w:rFonts w:eastAsia="Times New Roman" w:cs="Times New Roman"/>
                <w:sz w:val="20"/>
                <w:lang w:val="sr-Cyrl-RS"/>
              </w:rPr>
              <w:t>.</w:t>
            </w:r>
          </w:p>
        </w:tc>
      </w:tr>
    </w:tbl>
    <w:p w14:paraId="6A742157" w14:textId="77777777" w:rsidR="00DC7F92" w:rsidRPr="009E06DB" w:rsidRDefault="00DC7F92" w:rsidP="00DC7F92">
      <w:pPr>
        <w:spacing w:after="60"/>
        <w:rPr>
          <w:rFonts w:cs="Times New Roman"/>
          <w:szCs w:val="24"/>
          <w:lang w:val="sr-Cyrl-RS"/>
        </w:rPr>
      </w:pPr>
    </w:p>
    <w:p w14:paraId="04300444" w14:textId="77777777" w:rsidR="00DC7F92" w:rsidRPr="00BC4C91" w:rsidRDefault="00DC7F92" w:rsidP="00DC7F92">
      <w:pPr>
        <w:spacing w:before="120"/>
        <w:rPr>
          <w:rFonts w:cs="Times New Roman"/>
          <w:b/>
          <w:szCs w:val="24"/>
          <w:lang w:val="sr-Cyrl-CS"/>
        </w:rPr>
      </w:pPr>
      <w:r w:rsidRPr="00803308">
        <w:rPr>
          <w:rFonts w:cs="Times New Roman"/>
          <w:b/>
          <w:szCs w:val="24"/>
          <w:u w:val="single"/>
          <w:lang w:val="sr-Cyrl-RS"/>
        </w:rPr>
        <w:lastRenderedPageBreak/>
        <w:t>СТРУКТУРНА РЕФОРМА</w:t>
      </w:r>
      <w:r>
        <w:rPr>
          <w:rFonts w:cs="Times New Roman"/>
          <w:b/>
          <w:szCs w:val="24"/>
          <w:u w:val="single"/>
          <w:lang w:val="sr-Cyrl-RS"/>
        </w:rPr>
        <w:t xml:space="preserve"> </w:t>
      </w:r>
      <w:r w:rsidRPr="00071894">
        <w:rPr>
          <w:rFonts w:cs="Times New Roman"/>
          <w:b/>
          <w:szCs w:val="24"/>
          <w:u w:val="single"/>
          <w:lang w:val="sr-Cyrl-RS"/>
        </w:rPr>
        <w:t>15</w:t>
      </w:r>
      <w:r w:rsidRPr="00BC4C91">
        <w:rPr>
          <w:rFonts w:cs="Times New Roman"/>
          <w:b/>
          <w:szCs w:val="24"/>
          <w:lang w:val="sr-Cyrl-RS"/>
        </w:rPr>
        <w:t xml:space="preserve">: </w:t>
      </w:r>
      <w:r w:rsidRPr="00BC4C91">
        <w:rPr>
          <w:rFonts w:cs="Times New Roman"/>
          <w:szCs w:val="24"/>
          <w:lang w:val="sr-Cyrl-CS"/>
        </w:rPr>
        <w:t>СТВАРАЊЕ УСЛОВА ЗА РАЗВОЈ БИОНАУКА И БИОЕКОНОМИЈЕ КРОЗ ИЗГРАДЊУ БИО4 КАМПУСА</w:t>
      </w:r>
    </w:p>
    <w:p w14:paraId="41204945" w14:textId="77777777" w:rsidR="00DC7F92" w:rsidRPr="00A6164C" w:rsidRDefault="00DC7F92" w:rsidP="004D22FA">
      <w:pPr>
        <w:widowControl w:val="0"/>
        <w:numPr>
          <w:ilvl w:val="0"/>
          <w:numId w:val="38"/>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0EA7A81F" w14:textId="77777777" w:rsidR="00DC7F92" w:rsidRPr="00A6164C" w:rsidRDefault="00DC7F92" w:rsidP="00FF3D52">
      <w:pPr>
        <w:spacing w:after="60"/>
        <w:rPr>
          <w:rFonts w:eastAsia="Times New Roman" w:cs="Times New Roman"/>
          <w:szCs w:val="24"/>
          <w:lang w:val="sr-Cyrl-RS"/>
        </w:rPr>
      </w:pPr>
      <w:r>
        <w:rPr>
          <w:rFonts w:eastAsia="Times New Roman" w:cs="Times New Roman"/>
          <w:szCs w:val="24"/>
          <w:lang w:val="sr-Cyrl-RS"/>
        </w:rPr>
        <w:t xml:space="preserve">Због </w:t>
      </w:r>
      <w:r w:rsidRPr="004178A7">
        <w:rPr>
          <w:rFonts w:eastAsia="Times New Roman" w:cs="Times New Roman"/>
          <w:szCs w:val="24"/>
          <w:lang w:val="sr-Cyrl-RS"/>
        </w:rPr>
        <w:t>изузет</w:t>
      </w:r>
      <w:r>
        <w:rPr>
          <w:rFonts w:eastAsia="Times New Roman" w:cs="Times New Roman"/>
          <w:szCs w:val="24"/>
          <w:lang w:val="sr-Cyrl-RS"/>
        </w:rPr>
        <w:t>ног</w:t>
      </w:r>
      <w:r w:rsidRPr="004178A7">
        <w:rPr>
          <w:rFonts w:eastAsia="Times New Roman" w:cs="Times New Roman"/>
          <w:szCs w:val="24"/>
          <w:lang w:val="sr-Cyrl-RS"/>
        </w:rPr>
        <w:t xml:space="preserve"> потенцијал</w:t>
      </w:r>
      <w:r>
        <w:rPr>
          <w:rFonts w:eastAsia="Times New Roman" w:cs="Times New Roman"/>
          <w:szCs w:val="24"/>
          <w:lang w:val="sr-Cyrl-RS"/>
        </w:rPr>
        <w:t>а</w:t>
      </w:r>
      <w:r w:rsidRPr="004178A7">
        <w:rPr>
          <w:rFonts w:eastAsia="Times New Roman" w:cs="Times New Roman"/>
          <w:szCs w:val="24"/>
          <w:lang w:val="sr-Cyrl-RS"/>
        </w:rPr>
        <w:t xml:space="preserve"> у интензивирању развоја у областима биотехнологије, биомедицине, биоинформатике и биодиверзитета (БИО4)</w:t>
      </w:r>
      <w:r>
        <w:rPr>
          <w:rFonts w:eastAsia="Times New Roman" w:cs="Times New Roman"/>
          <w:szCs w:val="24"/>
          <w:lang w:val="sr-Cyrl-RS"/>
        </w:rPr>
        <w:t>,</w:t>
      </w:r>
      <w:r w:rsidRPr="004178A7">
        <w:rPr>
          <w:rFonts w:eastAsia="Times New Roman" w:cs="Times New Roman"/>
          <w:szCs w:val="24"/>
          <w:lang w:val="sr-Cyrl-RS"/>
        </w:rPr>
        <w:t xml:space="preserve"> </w:t>
      </w:r>
      <w:r>
        <w:rPr>
          <w:rFonts w:eastAsia="Times New Roman" w:cs="Times New Roman"/>
          <w:szCs w:val="24"/>
          <w:lang w:val="sr-Cyrl-RS"/>
        </w:rPr>
        <w:t>П</w:t>
      </w:r>
      <w:r w:rsidRPr="004178A7">
        <w:rPr>
          <w:rFonts w:eastAsia="Times New Roman" w:cs="Times New Roman"/>
          <w:szCs w:val="24"/>
          <w:lang w:val="sr-Cyrl-RS"/>
        </w:rPr>
        <w:t>ројек</w:t>
      </w:r>
      <w:r>
        <w:rPr>
          <w:rFonts w:eastAsia="Times New Roman" w:cs="Times New Roman"/>
          <w:szCs w:val="24"/>
          <w:lang w:val="sr-Cyrl-RS"/>
        </w:rPr>
        <w:t>а</w:t>
      </w:r>
      <w:r w:rsidRPr="004178A7">
        <w:rPr>
          <w:rFonts w:eastAsia="Times New Roman" w:cs="Times New Roman"/>
          <w:szCs w:val="24"/>
          <w:lang w:val="sr-Cyrl-RS"/>
        </w:rPr>
        <w:t xml:space="preserve">т </w:t>
      </w:r>
      <w:r w:rsidRPr="003A2368">
        <w:rPr>
          <w:rFonts w:eastAsia="Times New Roman" w:cs="Times New Roman"/>
          <w:i/>
          <w:szCs w:val="24"/>
          <w:lang w:val="sr-Cyrl-RS"/>
        </w:rPr>
        <w:t>БИО4 Кампус</w:t>
      </w:r>
      <w:r w:rsidRPr="004178A7">
        <w:rPr>
          <w:rFonts w:eastAsia="Times New Roman" w:cs="Times New Roman"/>
          <w:szCs w:val="24"/>
          <w:lang w:val="sr-Cyrl-RS"/>
        </w:rPr>
        <w:t xml:space="preserve"> </w:t>
      </w:r>
      <w:r>
        <w:rPr>
          <w:rFonts w:eastAsia="Times New Roman" w:cs="Times New Roman"/>
          <w:szCs w:val="24"/>
          <w:lang w:val="sr-Cyrl-RS"/>
        </w:rPr>
        <w:t xml:space="preserve">је пројекат </w:t>
      </w:r>
      <w:r w:rsidRPr="004178A7">
        <w:rPr>
          <w:rFonts w:eastAsia="Times New Roman" w:cs="Times New Roman"/>
          <w:szCs w:val="24"/>
          <w:lang w:val="sr-Cyrl-RS"/>
        </w:rPr>
        <w:t>од националног значаја. Изградњом БИО4 Кампуса биће створена прилика за концентрацију људи, кумулирање мултидисциплинарних знања и развој инфраструктуре (факултети, институти, научно-технолошки парк итд</w:t>
      </w:r>
      <w:r>
        <w:rPr>
          <w:rFonts w:eastAsia="Times New Roman" w:cs="Times New Roman"/>
          <w:szCs w:val="24"/>
          <w:lang w:val="sr-Cyrl-RS"/>
        </w:rPr>
        <w:t>.</w:t>
      </w:r>
      <w:r w:rsidRPr="004178A7">
        <w:rPr>
          <w:rFonts w:eastAsia="Times New Roman" w:cs="Times New Roman"/>
          <w:szCs w:val="24"/>
          <w:lang w:val="sr-Cyrl-RS"/>
        </w:rPr>
        <w:t xml:space="preserve">) у поменутим областима, која ће временом привлачити све више партнера из привреде, али 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 Технолошки напредак </w:t>
      </w:r>
      <w:r>
        <w:rPr>
          <w:rFonts w:eastAsia="Times New Roman" w:cs="Times New Roman"/>
          <w:szCs w:val="24"/>
          <w:lang w:val="sr-Cyrl-RS"/>
        </w:rPr>
        <w:t>ће подржати снажан</w:t>
      </w:r>
      <w:r w:rsidRPr="004178A7">
        <w:rPr>
          <w:rFonts w:eastAsia="Times New Roman" w:cs="Times New Roman"/>
          <w:szCs w:val="24"/>
          <w:lang w:val="sr-Cyrl-RS"/>
        </w:rPr>
        <w:t xml:space="preserve"> економски развој </w:t>
      </w:r>
      <w:r>
        <w:rPr>
          <w:rFonts w:eastAsia="Times New Roman" w:cs="Times New Roman"/>
          <w:szCs w:val="24"/>
          <w:lang w:val="sr-Cyrl-RS"/>
        </w:rPr>
        <w:t>Србије и</w:t>
      </w:r>
      <w:r w:rsidRPr="004178A7">
        <w:rPr>
          <w:rFonts w:eastAsia="Times New Roman" w:cs="Times New Roman"/>
          <w:szCs w:val="24"/>
          <w:lang w:val="sr-Cyrl-RS"/>
        </w:rPr>
        <w:t xml:space="preserve"> суштински </w:t>
      </w:r>
      <w:r>
        <w:rPr>
          <w:rFonts w:eastAsia="Times New Roman" w:cs="Times New Roman"/>
          <w:szCs w:val="24"/>
          <w:lang w:val="sr-Cyrl-RS"/>
        </w:rPr>
        <w:t>променити</w:t>
      </w:r>
      <w:r w:rsidRPr="004178A7">
        <w:rPr>
          <w:rFonts w:eastAsia="Times New Roman" w:cs="Times New Roman"/>
          <w:szCs w:val="24"/>
          <w:lang w:val="sr-Cyrl-RS"/>
        </w:rPr>
        <w:t xml:space="preserve"> досадашњи приступ здрављу</w:t>
      </w:r>
      <w:r>
        <w:rPr>
          <w:rFonts w:eastAsia="Times New Roman" w:cs="Times New Roman"/>
          <w:szCs w:val="24"/>
          <w:lang w:val="sr-Cyrl-RS"/>
        </w:rPr>
        <w:t>,</w:t>
      </w:r>
      <w:r w:rsidRPr="003A2368">
        <w:rPr>
          <w:rFonts w:eastAsia="Times New Roman" w:cs="Times New Roman"/>
          <w:szCs w:val="24"/>
          <w:lang w:val="sr-Cyrl-RS"/>
        </w:rPr>
        <w:t xml:space="preserve"> </w:t>
      </w:r>
      <w:r w:rsidRPr="004178A7">
        <w:rPr>
          <w:rFonts w:eastAsia="Times New Roman" w:cs="Times New Roman"/>
          <w:szCs w:val="24"/>
          <w:lang w:val="sr-Cyrl-RS"/>
        </w:rPr>
        <w:t>унапре</w:t>
      </w:r>
      <w:r>
        <w:rPr>
          <w:rFonts w:eastAsia="Times New Roman" w:cs="Times New Roman"/>
          <w:szCs w:val="24"/>
          <w:lang w:val="sr-Cyrl-RS"/>
        </w:rPr>
        <w:t>дити</w:t>
      </w:r>
      <w:r w:rsidRPr="004178A7">
        <w:rPr>
          <w:rFonts w:eastAsia="Times New Roman" w:cs="Times New Roman"/>
          <w:szCs w:val="24"/>
          <w:lang w:val="sr-Cyrl-RS"/>
        </w:rPr>
        <w:t xml:space="preserve"> безбедност</w:t>
      </w:r>
      <w:r>
        <w:rPr>
          <w:rFonts w:eastAsia="Times New Roman" w:cs="Times New Roman"/>
          <w:szCs w:val="24"/>
          <w:lang w:val="sr-Cyrl-RS"/>
        </w:rPr>
        <w:t xml:space="preserve"> и побољшати </w:t>
      </w:r>
      <w:r w:rsidRPr="004178A7">
        <w:rPr>
          <w:rFonts w:eastAsia="Times New Roman" w:cs="Times New Roman"/>
          <w:szCs w:val="24"/>
          <w:lang w:val="sr-Cyrl-RS"/>
        </w:rPr>
        <w:t xml:space="preserve">квалитет живота </w:t>
      </w:r>
      <w:r>
        <w:rPr>
          <w:rFonts w:eastAsia="Times New Roman" w:cs="Times New Roman"/>
          <w:szCs w:val="24"/>
          <w:lang w:val="sr-Cyrl-RS"/>
        </w:rPr>
        <w:t>грађана</w:t>
      </w:r>
      <w:r w:rsidRPr="004178A7">
        <w:rPr>
          <w:rFonts w:eastAsia="Times New Roman" w:cs="Times New Roman"/>
          <w:szCs w:val="24"/>
          <w:lang w:val="sr-Cyrl-RS"/>
        </w:rPr>
        <w:t>.</w:t>
      </w:r>
      <w:r>
        <w:rPr>
          <w:rFonts w:eastAsia="Times New Roman" w:cs="Times New Roman"/>
          <w:szCs w:val="24"/>
          <w:lang w:val="sr-Cyrl-RS"/>
        </w:rPr>
        <w:t xml:space="preserve"> </w:t>
      </w:r>
      <w:r w:rsidRPr="004178A7">
        <w:rPr>
          <w:rFonts w:eastAsia="Times New Roman" w:cs="Times New Roman"/>
          <w:szCs w:val="24"/>
          <w:lang w:val="sr-Cyrl-RS"/>
        </w:rPr>
        <w:t>БИО4 Кампус ће бити први овакав кампус у ширем региону</w:t>
      </w:r>
      <w:r>
        <w:rPr>
          <w:rFonts w:eastAsia="Times New Roman" w:cs="Times New Roman"/>
          <w:szCs w:val="24"/>
          <w:lang w:val="sr-Cyrl-RS"/>
        </w:rPr>
        <w:t xml:space="preserve">. </w:t>
      </w:r>
      <w:r w:rsidRPr="00D052AF">
        <w:rPr>
          <w:rFonts w:eastAsia="Times New Roman" w:cs="Times New Roman"/>
          <w:szCs w:val="24"/>
          <w:lang w:val="sr-Cyrl-RS"/>
        </w:rPr>
        <w:t xml:space="preserve">Спровођење ове реформске мере доприноси реализацији </w:t>
      </w:r>
      <w:r w:rsidRPr="00B6465D">
        <w:rPr>
          <w:rFonts w:eastAsia="Times New Roman" w:cs="Times New Roman"/>
          <w:b/>
          <w:szCs w:val="24"/>
          <w:lang w:val="sr-Cyrl-RS"/>
        </w:rPr>
        <w:t>ЦОР 8.2</w:t>
      </w:r>
      <w:r>
        <w:rPr>
          <w:rFonts w:eastAsia="Times New Roman" w:cs="Times New Roman"/>
          <w:szCs w:val="24"/>
          <w:lang w:val="sr-Cyrl-RS"/>
        </w:rPr>
        <w:t xml:space="preserve"> - П</w:t>
      </w:r>
      <w:r w:rsidRPr="00D052AF">
        <w:rPr>
          <w:rFonts w:eastAsia="Times New Roman" w:cs="Times New Roman"/>
          <w:szCs w:val="24"/>
          <w:lang w:val="sr-Cyrl-RS"/>
        </w:rPr>
        <w:t xml:space="preserve">остићи више нивое економске продуктивности преко диверсификације, технолошких унапређења и иновација; </w:t>
      </w:r>
      <w:r w:rsidRPr="00B6465D">
        <w:rPr>
          <w:rFonts w:eastAsia="Times New Roman" w:cs="Times New Roman"/>
          <w:b/>
          <w:szCs w:val="24"/>
          <w:lang w:val="sr-Cyrl-RS"/>
        </w:rPr>
        <w:t>ЦОР 8.3</w:t>
      </w:r>
      <w:r w:rsidRPr="00D052AF">
        <w:rPr>
          <w:rFonts w:eastAsia="Times New Roman" w:cs="Times New Roman"/>
          <w:szCs w:val="24"/>
          <w:lang w:val="sr-Cyrl-RS"/>
        </w:rPr>
        <w:t xml:space="preserve"> -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 </w:t>
      </w:r>
      <w:r w:rsidRPr="00B6465D">
        <w:rPr>
          <w:rFonts w:eastAsia="Times New Roman" w:cs="Times New Roman"/>
          <w:b/>
          <w:szCs w:val="24"/>
          <w:lang w:val="sr-Cyrl-RS"/>
        </w:rPr>
        <w:t>ЦОР 9.5</w:t>
      </w:r>
      <w:r w:rsidRPr="00D052AF">
        <w:rPr>
          <w:rFonts w:eastAsia="Times New Roman" w:cs="Times New Roman"/>
          <w:szCs w:val="24"/>
          <w:lang w:val="sr-Cyrl-RS"/>
        </w:rPr>
        <w:t xml:space="preserve"> - проширити научна истраживања, унапредити технолошке капацитете и подстицати иновације.</w:t>
      </w:r>
      <w:r>
        <w:rPr>
          <w:rFonts w:eastAsia="Times New Roman" w:cs="Times New Roman"/>
          <w:szCs w:val="24"/>
          <w:lang w:val="sr-Latn-RS"/>
        </w:rPr>
        <w:t xml:space="preserve"> </w:t>
      </w:r>
      <w:r w:rsidRPr="00D052AF">
        <w:rPr>
          <w:rFonts w:eastAsia="Times New Roman" w:cs="Times New Roman"/>
          <w:szCs w:val="24"/>
          <w:lang w:val="sr-Cyrl-RS"/>
        </w:rPr>
        <w:t xml:space="preserve">Последично доприноси и реализацији </w:t>
      </w:r>
      <w:r w:rsidRPr="00B6465D">
        <w:rPr>
          <w:rFonts w:eastAsia="Times New Roman" w:cs="Times New Roman"/>
          <w:b/>
          <w:szCs w:val="24"/>
          <w:lang w:val="sr-Cyrl-RS"/>
        </w:rPr>
        <w:t>ЦОР 3</w:t>
      </w:r>
      <w:r w:rsidRPr="00D052AF">
        <w:rPr>
          <w:rFonts w:eastAsia="Times New Roman" w:cs="Times New Roman"/>
          <w:szCs w:val="24"/>
          <w:lang w:val="sr-Cyrl-RS"/>
        </w:rPr>
        <w:t>.</w:t>
      </w:r>
    </w:p>
    <w:p w14:paraId="50E96EC0"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77906795"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264A8C26" w14:textId="77777777"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14EF63D3" w14:textId="77777777" w:rsidR="00DC7F92" w:rsidRPr="00A6164C" w:rsidRDefault="00DC7F92" w:rsidP="00FF3D5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3ED55D36" w14:textId="77777777"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A65A601" w14:textId="77777777" w:rsidR="00DC7F92" w:rsidRPr="00204626" w:rsidRDefault="00DC7F92" w:rsidP="00FF3D5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89E2F7B" w14:textId="77777777"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39C07A82"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9E2C087" w14:textId="77777777" w:rsidR="00DC7F92" w:rsidRPr="00A6164C" w:rsidRDefault="00DC7F92" w:rsidP="00FF3D5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0B00EF8F" w14:textId="77777777" w:rsidR="00DC7F92" w:rsidRPr="00A6164C" w:rsidRDefault="00DC7F92" w:rsidP="00FF3D5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DF305CF"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F32AD44"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62DE617"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9E0D8C5"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71E8E44A"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E8AEC36"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2949AE1"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A065340"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7FB489DA"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C196B9A"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641D315"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64B81D4"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26EF9A2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828948F"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1</w:t>
            </w:r>
          </w:p>
        </w:tc>
        <w:tc>
          <w:tcPr>
            <w:tcW w:w="4120" w:type="dxa"/>
            <w:tcBorders>
              <w:top w:val="nil"/>
              <w:left w:val="single" w:sz="8" w:space="0" w:color="auto"/>
              <w:bottom w:val="single" w:sz="4" w:space="0" w:color="auto"/>
              <w:right w:val="nil"/>
            </w:tcBorders>
            <w:shd w:val="clear" w:color="auto" w:fill="auto"/>
          </w:tcPr>
          <w:p w14:paraId="37D808CB"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Реализација архитектонско-урбанистичког конкурса и добијање идејног решења и локацијских услова за цео кампус</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75D61B3A"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DF64DA"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22CBE8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9956DB8"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49F2CA6"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809900"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57A4D6C"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FF8F974"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D86D37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86AA35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E0A16C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419A584" w14:textId="77777777" w:rsidR="00DC7F92" w:rsidRPr="00A6164C" w:rsidRDefault="00DC7F92" w:rsidP="00FF3D52">
            <w:pPr>
              <w:spacing w:after="0"/>
              <w:jc w:val="center"/>
              <w:rPr>
                <w:rFonts w:eastAsia="Times New Roman" w:cs="Times New Roman"/>
                <w:sz w:val="20"/>
                <w:szCs w:val="20"/>
                <w:lang w:val="sr-Cyrl-RS"/>
              </w:rPr>
            </w:pPr>
          </w:p>
        </w:tc>
      </w:tr>
      <w:tr w:rsidR="00DC7F92" w:rsidRPr="00A6164C" w14:paraId="4BE0088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0F8FABE"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7AB8368B"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Припрема пројектне документације за изградњу</w:t>
            </w:r>
            <w:r>
              <w:rPr>
                <w:rFonts w:eastAsia="Times New Roman" w:cs="Times New Roman"/>
                <w:sz w:val="20"/>
                <w:szCs w:val="20"/>
                <w:lang w:val="sr-Cyrl-RS"/>
              </w:rPr>
              <w:t xml:space="preserve"> и </w:t>
            </w:r>
            <w:r w:rsidRPr="004178A7">
              <w:rPr>
                <w:rFonts w:eastAsia="Times New Roman" w:cs="Times New Roman"/>
                <w:sz w:val="20"/>
                <w:szCs w:val="20"/>
                <w:lang w:val="sr-Cyrl-RS"/>
              </w:rPr>
              <w:t>Реализација Фазе 1 изградње</w:t>
            </w:r>
          </w:p>
        </w:tc>
        <w:tc>
          <w:tcPr>
            <w:tcW w:w="422" w:type="dxa"/>
            <w:tcBorders>
              <w:top w:val="nil"/>
              <w:left w:val="single" w:sz="8" w:space="0" w:color="auto"/>
              <w:bottom w:val="single" w:sz="4" w:space="0" w:color="auto"/>
              <w:right w:val="single" w:sz="4" w:space="0" w:color="auto"/>
            </w:tcBorders>
            <w:shd w:val="clear" w:color="auto" w:fill="auto"/>
            <w:vAlign w:val="center"/>
          </w:tcPr>
          <w:p w14:paraId="08116571"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E6D45BE"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1194B8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272B0F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4FCAFEE"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CF60505"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52B5633"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A96C401"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4EA66A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F700987"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82A4E1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A03B915" w14:textId="77777777" w:rsidR="00DC7F92" w:rsidRPr="00A6164C" w:rsidRDefault="00DC7F92" w:rsidP="00FF3D52">
            <w:pPr>
              <w:spacing w:after="0"/>
              <w:jc w:val="center"/>
              <w:rPr>
                <w:rFonts w:eastAsia="Times New Roman" w:cs="Times New Roman"/>
                <w:sz w:val="20"/>
                <w:szCs w:val="20"/>
                <w:lang w:val="sr-Cyrl-RS"/>
              </w:rPr>
            </w:pPr>
          </w:p>
        </w:tc>
      </w:tr>
      <w:tr w:rsidR="00DC7F92" w:rsidRPr="00A6164C" w14:paraId="4AACB30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CB53D0C"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14:paraId="7FF3F329"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Припрема спецификације и набавка потребне опреме</w:t>
            </w:r>
            <w:r>
              <w:rPr>
                <w:rFonts w:eastAsia="Times New Roman" w:cs="Times New Roman"/>
                <w:sz w:val="20"/>
                <w:szCs w:val="20"/>
                <w:lang w:val="sr-Cyrl-RS"/>
              </w:rPr>
              <w:t>*</w:t>
            </w:r>
          </w:p>
        </w:tc>
        <w:tc>
          <w:tcPr>
            <w:tcW w:w="422" w:type="dxa"/>
            <w:tcBorders>
              <w:top w:val="nil"/>
              <w:left w:val="single" w:sz="8" w:space="0" w:color="auto"/>
              <w:bottom w:val="single" w:sz="4" w:space="0" w:color="auto"/>
              <w:right w:val="single" w:sz="4" w:space="0" w:color="auto"/>
            </w:tcBorders>
            <w:shd w:val="clear" w:color="auto" w:fill="auto"/>
            <w:vAlign w:val="center"/>
          </w:tcPr>
          <w:p w14:paraId="4CC46B3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514E6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38CAB0"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5C4878B"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90D5E1"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26A18A5"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B4027D0"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47444768"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1742964"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064952F"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DBBD3D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9BB8A13" w14:textId="77777777" w:rsidR="00DC7F92" w:rsidRPr="00A6164C" w:rsidRDefault="00DC7F92" w:rsidP="00FF3D52">
            <w:pPr>
              <w:spacing w:after="0"/>
              <w:jc w:val="center"/>
              <w:rPr>
                <w:rFonts w:eastAsia="Times New Roman" w:cs="Times New Roman"/>
                <w:sz w:val="20"/>
                <w:szCs w:val="20"/>
                <w:lang w:val="sr-Cyrl-RS"/>
              </w:rPr>
            </w:pPr>
          </w:p>
        </w:tc>
      </w:tr>
      <w:tr w:rsidR="00DC7F92" w:rsidRPr="00A6164C" w14:paraId="020F40F4"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5E5CC8E4"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2893B942"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Повезивање корисника БИО4 Кампуса са међународним научним и корпоративним партнерима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4636D811"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10BDBC4"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EFAD500"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7CA694B"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2B364BAC"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D01CED6"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968E14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7972C19"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3D83839D"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95CF14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DA1296D"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2ABF2586" w14:textId="77777777" w:rsidR="00DC7F92" w:rsidRPr="00A6164C" w:rsidRDefault="00DC7F92" w:rsidP="00FF3D52">
            <w:pPr>
              <w:spacing w:after="0"/>
              <w:jc w:val="center"/>
              <w:rPr>
                <w:rFonts w:eastAsia="Times New Roman" w:cs="Times New Roman"/>
                <w:b/>
                <w:bCs/>
                <w:sz w:val="20"/>
                <w:szCs w:val="20"/>
                <w:lang w:val="sr-Cyrl-RS"/>
              </w:rPr>
            </w:pPr>
          </w:p>
        </w:tc>
      </w:tr>
      <w:tr w:rsidR="00DC7F92" w:rsidRPr="00A6164C" w14:paraId="795E7E8B"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1E3B77C1"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6A6DF9E9"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Спровођење планова трансформације научно-истраживачких института (ИМГГИ)</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1819457A"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C8B070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C9969BE"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447A5B7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2513BBF9"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011F0DD6"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F627E12"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208B3C4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18943691"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08FE0E71"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57CB1E6"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6BC18028" w14:textId="77777777" w:rsidR="00DC7F92" w:rsidRPr="00A6164C" w:rsidRDefault="00DC7F92" w:rsidP="00FF3D52">
            <w:pPr>
              <w:spacing w:after="0"/>
              <w:jc w:val="center"/>
              <w:rPr>
                <w:rFonts w:eastAsia="Times New Roman" w:cs="Times New Roman"/>
                <w:b/>
                <w:bCs/>
                <w:sz w:val="20"/>
                <w:szCs w:val="20"/>
                <w:lang w:val="sr-Cyrl-RS"/>
              </w:rPr>
            </w:pPr>
          </w:p>
        </w:tc>
      </w:tr>
    </w:tbl>
    <w:p w14:paraId="39299468" w14:textId="77777777" w:rsidR="00DC7F92" w:rsidRPr="00DD560C" w:rsidRDefault="00DC7F92" w:rsidP="00FF3D52">
      <w:pPr>
        <w:spacing w:before="60"/>
        <w:rPr>
          <w:rFonts w:eastAsia="Times New Roman" w:cs="Times New Roman"/>
          <w:sz w:val="18"/>
          <w:szCs w:val="18"/>
          <w:lang w:val="sr-Cyrl-RS"/>
        </w:rPr>
      </w:pPr>
      <w:r w:rsidRPr="008E1CFB">
        <w:rPr>
          <w:rFonts w:eastAsia="Times New Roman" w:cs="Times New Roman"/>
          <w:sz w:val="18"/>
          <w:szCs w:val="18"/>
          <w:lang w:val="sr-Cyrl-RS"/>
        </w:rPr>
        <w:t>* Техничке припреме подразумевају и трансформацију пословања научно-истраживачких института, пре свега Института за молекуларну генетику и генетичко инжењерство (ИМГГИ) који има кључну улогу у успостављању БИО4 Кампуса.</w:t>
      </w:r>
    </w:p>
    <w:p w14:paraId="0B2F21A4" w14:textId="77777777" w:rsidR="00DC7F92" w:rsidRPr="00A6164C" w:rsidRDefault="00DC7F92" w:rsidP="004D22FA">
      <w:pPr>
        <w:widowControl w:val="0"/>
        <w:numPr>
          <w:ilvl w:val="0"/>
          <w:numId w:val="38"/>
        </w:numPr>
        <w:spacing w:before="24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772AC9A8"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2A2A4B79" w14:textId="77777777" w:rsidR="00DC7F92" w:rsidRPr="006B76C3" w:rsidRDefault="00DC7F92" w:rsidP="00FF3D52">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339E31F5"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w:t>
            </w:r>
            <w:r w:rsidRPr="006B76C3">
              <w:rPr>
                <w:rFonts w:cs="Times New Roman"/>
                <w:sz w:val="20"/>
                <w:lang w:val="sr-Latn-RS"/>
              </w:rPr>
              <w:t>2020</w:t>
            </w:r>
            <w:r w:rsidRPr="006B76C3">
              <w:rPr>
                <w:rFonts w:cs="Times New Roman"/>
                <w:sz w:val="20"/>
                <w:lang w:val="sr-Cyrl-RS"/>
              </w:rPr>
              <w:t>)</w:t>
            </w:r>
          </w:p>
        </w:tc>
        <w:tc>
          <w:tcPr>
            <w:tcW w:w="1843" w:type="dxa"/>
          </w:tcPr>
          <w:p w14:paraId="56EF450A" w14:textId="77777777" w:rsidR="00DC7F92" w:rsidRPr="006B76C3" w:rsidRDefault="00DC7F92" w:rsidP="00FF3D52">
            <w:pPr>
              <w:spacing w:before="0" w:after="0"/>
              <w:ind w:left="113" w:right="113"/>
              <w:jc w:val="right"/>
              <w:rPr>
                <w:rFonts w:cs="Times New Roman"/>
                <w:sz w:val="20"/>
                <w:lang w:val="sr-Cyrl-RS"/>
              </w:rPr>
            </w:pPr>
            <w:r w:rsidRPr="006B76C3">
              <w:rPr>
                <w:rFonts w:cs="Times New Roman"/>
                <w:sz w:val="20"/>
                <w:lang w:val="sr-Cyrl-RS"/>
              </w:rPr>
              <w:t>Међурезултат (</w:t>
            </w:r>
            <w:r w:rsidRPr="006B76C3">
              <w:rPr>
                <w:rFonts w:cs="Times New Roman"/>
                <w:sz w:val="20"/>
                <w:lang w:val="sr-Latn-RS"/>
              </w:rPr>
              <w:t>2024</w:t>
            </w:r>
            <w:r w:rsidRPr="006B76C3">
              <w:rPr>
                <w:rFonts w:cs="Times New Roman"/>
                <w:sz w:val="20"/>
                <w:lang w:val="sr-Cyrl-RS"/>
              </w:rPr>
              <w:t>)</w:t>
            </w:r>
          </w:p>
        </w:tc>
        <w:tc>
          <w:tcPr>
            <w:tcW w:w="1843" w:type="dxa"/>
          </w:tcPr>
          <w:p w14:paraId="343883F3" w14:textId="77777777" w:rsidR="00DC7F92" w:rsidRPr="006B76C3" w:rsidRDefault="00DC7F92" w:rsidP="00FF3D52">
            <w:pPr>
              <w:spacing w:before="0" w:after="0"/>
              <w:ind w:left="113" w:right="113"/>
              <w:jc w:val="right"/>
              <w:rPr>
                <w:rFonts w:cs="Times New Roman"/>
                <w:sz w:val="20"/>
                <w:lang w:val="sr-Cyrl-RS"/>
              </w:rPr>
            </w:pPr>
            <w:r w:rsidRPr="006B76C3">
              <w:rPr>
                <w:rFonts w:cs="Times New Roman"/>
                <w:sz w:val="20"/>
                <w:lang w:val="sr-Cyrl-RS"/>
              </w:rPr>
              <w:t>Циљна вредност (</w:t>
            </w:r>
            <w:r w:rsidRPr="006B76C3">
              <w:rPr>
                <w:rFonts w:cs="Times New Roman"/>
                <w:sz w:val="20"/>
                <w:lang w:val="sr-Latn-RS"/>
              </w:rPr>
              <w:t>2026</w:t>
            </w:r>
            <w:r w:rsidRPr="006B76C3">
              <w:rPr>
                <w:rFonts w:cs="Times New Roman"/>
                <w:sz w:val="20"/>
                <w:lang w:val="sr-Cyrl-RS"/>
              </w:rPr>
              <w:t>)</w:t>
            </w:r>
          </w:p>
        </w:tc>
      </w:tr>
      <w:tr w:rsidR="00DC7F92" w:rsidRPr="00A6164C" w14:paraId="539042C7" w14:textId="77777777" w:rsidTr="00DC7F92">
        <w:trPr>
          <w:trHeight w:val="284"/>
        </w:trPr>
        <w:tc>
          <w:tcPr>
            <w:tcW w:w="4106" w:type="dxa"/>
          </w:tcPr>
          <w:p w14:paraId="3F871DB4" w14:textId="77777777"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институција корисника БИО4 Кампуса</w:t>
            </w:r>
          </w:p>
        </w:tc>
        <w:tc>
          <w:tcPr>
            <w:tcW w:w="1842" w:type="dxa"/>
          </w:tcPr>
          <w:p w14:paraId="3D8B5CFB"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14:paraId="267AD3D0"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5</w:t>
            </w:r>
          </w:p>
        </w:tc>
        <w:tc>
          <w:tcPr>
            <w:tcW w:w="1843" w:type="dxa"/>
          </w:tcPr>
          <w:p w14:paraId="511CA91B"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7</w:t>
            </w:r>
          </w:p>
        </w:tc>
      </w:tr>
      <w:tr w:rsidR="00DC7F92" w:rsidRPr="00A6164C" w14:paraId="61A58782" w14:textId="77777777" w:rsidTr="00DC7F92">
        <w:trPr>
          <w:trHeight w:val="284"/>
        </w:trPr>
        <w:tc>
          <w:tcPr>
            <w:tcW w:w="4106" w:type="dxa"/>
          </w:tcPr>
          <w:p w14:paraId="605EC18E" w14:textId="77777777"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изграђених квадрата</w:t>
            </w:r>
          </w:p>
        </w:tc>
        <w:tc>
          <w:tcPr>
            <w:tcW w:w="1842" w:type="dxa"/>
          </w:tcPr>
          <w:p w14:paraId="2E3448B1"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14:paraId="26D57B8E"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40.000</w:t>
            </w:r>
          </w:p>
        </w:tc>
        <w:tc>
          <w:tcPr>
            <w:tcW w:w="1843" w:type="dxa"/>
          </w:tcPr>
          <w:p w14:paraId="66F1B47A"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70.000</w:t>
            </w:r>
          </w:p>
        </w:tc>
      </w:tr>
      <w:tr w:rsidR="00DC7F92" w:rsidRPr="00A6164C" w14:paraId="022DF948" w14:textId="77777777" w:rsidTr="00DC7F92">
        <w:trPr>
          <w:trHeight w:val="284"/>
        </w:trPr>
        <w:tc>
          <w:tcPr>
            <w:tcW w:w="4106" w:type="dxa"/>
          </w:tcPr>
          <w:p w14:paraId="264C623E" w14:textId="77777777"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компанија које имају истраживачка одељења у Кампусу</w:t>
            </w:r>
          </w:p>
        </w:tc>
        <w:tc>
          <w:tcPr>
            <w:tcW w:w="1842" w:type="dxa"/>
          </w:tcPr>
          <w:p w14:paraId="5B619A19"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14:paraId="4A61860D"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5</w:t>
            </w:r>
          </w:p>
        </w:tc>
        <w:tc>
          <w:tcPr>
            <w:tcW w:w="1843" w:type="dxa"/>
          </w:tcPr>
          <w:p w14:paraId="1A6079D1"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15</w:t>
            </w:r>
          </w:p>
        </w:tc>
      </w:tr>
    </w:tbl>
    <w:p w14:paraId="38C0F508"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5D84FE63" w14:textId="42F649B2" w:rsidR="00DC7F92" w:rsidRPr="00A6164C" w:rsidRDefault="00DC7F92" w:rsidP="00DC7F92">
      <w:pPr>
        <w:spacing w:after="60"/>
        <w:rPr>
          <w:rFonts w:eastAsia="Times New Roman" w:cs="Times New Roman"/>
          <w:szCs w:val="24"/>
          <w:lang w:val="sr-Cyrl-RS"/>
        </w:rPr>
      </w:pPr>
      <w:r w:rsidRPr="006174DD">
        <w:rPr>
          <w:rFonts w:eastAsia="Times New Roman" w:cs="Times New Roman"/>
          <w:szCs w:val="24"/>
          <w:lang w:val="sr-Cyrl-RS"/>
        </w:rPr>
        <w:lastRenderedPageBreak/>
        <w:t xml:space="preserve">Процењено је да ће тржиште БИО4 области у свету вредети више од трилион </w:t>
      </w:r>
      <w:r>
        <w:rPr>
          <w:rFonts w:eastAsia="Times New Roman" w:cs="Times New Roman"/>
          <w:szCs w:val="24"/>
          <w:lang w:val="sr-Cyrl-RS"/>
        </w:rPr>
        <w:t>УСД</w:t>
      </w:r>
      <w:r w:rsidRPr="006174DD">
        <w:rPr>
          <w:rFonts w:eastAsia="Times New Roman" w:cs="Times New Roman"/>
          <w:szCs w:val="24"/>
          <w:lang w:val="sr-Cyrl-RS"/>
        </w:rPr>
        <w:t xml:space="preserve"> за неколико година, и важно је да </w:t>
      </w:r>
      <w:r>
        <w:rPr>
          <w:rFonts w:eastAsia="Times New Roman" w:cs="Times New Roman"/>
          <w:szCs w:val="24"/>
          <w:lang w:val="sr-Cyrl-RS"/>
        </w:rPr>
        <w:t xml:space="preserve">Република </w:t>
      </w:r>
      <w:r w:rsidRPr="006174DD">
        <w:rPr>
          <w:rFonts w:eastAsia="Times New Roman" w:cs="Times New Roman"/>
          <w:szCs w:val="24"/>
          <w:lang w:val="sr-Cyrl-RS"/>
        </w:rPr>
        <w:t>Србија на том тржишту буде активан учесник.</w:t>
      </w:r>
      <w:r>
        <w:rPr>
          <w:rFonts w:eastAsia="Times New Roman" w:cs="Times New Roman"/>
          <w:szCs w:val="24"/>
          <w:lang w:val="sr-Cyrl-RS"/>
        </w:rPr>
        <w:t xml:space="preserve"> </w:t>
      </w:r>
      <w:r w:rsidRPr="006174DD">
        <w:rPr>
          <w:rFonts w:eastAsia="Times New Roman" w:cs="Times New Roman"/>
          <w:szCs w:val="24"/>
          <w:lang w:val="sr-Cyrl-RS"/>
        </w:rPr>
        <w:t>У сличним кампусима широм света приметан је тренд да фармацеутске компаније измештају огромне</w:t>
      </w:r>
      <w:r>
        <w:rPr>
          <w:rFonts w:eastAsia="Times New Roman" w:cs="Times New Roman"/>
          <w:szCs w:val="24"/>
          <w:lang w:val="sr-Cyrl-RS"/>
        </w:rPr>
        <w:t xml:space="preserve"> </w:t>
      </w:r>
      <w:r w:rsidRPr="006174DD">
        <w:rPr>
          <w:rFonts w:eastAsia="Times New Roman" w:cs="Times New Roman"/>
          <w:szCs w:val="24"/>
          <w:lang w:val="sr-Cyrl-RS"/>
        </w:rPr>
        <w:t>ресурсе из бирократизованих интерних истраживачко-развојних одељења у иновационе хабове у којима се стварају екосистеми који укључују и стартапе и академ</w:t>
      </w:r>
      <w:r w:rsidR="0089038A">
        <w:rPr>
          <w:rFonts w:eastAsia="Times New Roman" w:cs="Times New Roman"/>
          <w:szCs w:val="24"/>
          <w:lang w:val="sr-Cyrl-RS"/>
        </w:rPr>
        <w:t>ску заједницу</w:t>
      </w:r>
      <w:r w:rsidRPr="006174DD">
        <w:rPr>
          <w:rFonts w:eastAsia="Times New Roman" w:cs="Times New Roman"/>
          <w:szCs w:val="24"/>
          <w:lang w:val="sr-Cyrl-RS"/>
        </w:rPr>
        <w:t>. Сличан тренд привлачења компанија се може очекивати и од БИО4 Кампуса, а иницијално интересовање је већ сада видљиво.</w:t>
      </w:r>
      <w:r>
        <w:rPr>
          <w:rFonts w:eastAsia="Times New Roman" w:cs="Times New Roman"/>
          <w:szCs w:val="24"/>
          <w:lang w:val="sr-Cyrl-RS"/>
        </w:rPr>
        <w:t xml:space="preserve"> </w:t>
      </w:r>
      <w:r w:rsidRPr="006174DD">
        <w:rPr>
          <w:rFonts w:eastAsia="Times New Roman" w:cs="Times New Roman"/>
          <w:szCs w:val="24"/>
          <w:lang w:val="sr-Cyrl-RS"/>
        </w:rPr>
        <w:t xml:space="preserve">Недавно је успостављен </w:t>
      </w:r>
      <w:r w:rsidRPr="008E1CFB">
        <w:rPr>
          <w:rFonts w:eastAsia="Times New Roman" w:cs="Times New Roman"/>
          <w:szCs w:val="24"/>
          <w:lang w:val="sr-Cyrl-RS"/>
        </w:rPr>
        <w:t>Центар за секвенцирање генома и биоинформатику</w:t>
      </w:r>
      <w:r>
        <w:rPr>
          <w:rFonts w:eastAsia="Times New Roman" w:cs="Times New Roman"/>
          <w:szCs w:val="24"/>
        </w:rPr>
        <w:t xml:space="preserve"> </w:t>
      </w:r>
      <w:r>
        <w:rPr>
          <w:rFonts w:eastAsia="Times New Roman" w:cs="Times New Roman"/>
          <w:szCs w:val="24"/>
          <w:lang w:val="sr-Cyrl-RS"/>
        </w:rPr>
        <w:t>при</w:t>
      </w:r>
      <w:r w:rsidRPr="008E1CFB">
        <w:rPr>
          <w:rFonts w:eastAsia="Times New Roman" w:cs="Times New Roman"/>
          <w:szCs w:val="24"/>
          <w:lang w:val="sr-Cyrl-RS"/>
        </w:rPr>
        <w:t xml:space="preserve"> ИМГГИ</w:t>
      </w:r>
      <w:r w:rsidRPr="006174DD">
        <w:rPr>
          <w:rFonts w:eastAsia="Times New Roman" w:cs="Times New Roman"/>
          <w:szCs w:val="24"/>
          <w:lang w:val="sr-Cyrl-RS"/>
        </w:rPr>
        <w:t>, који је стуб будућег БИО4 Кампуса и који већ остварује значајну комерцијалну сарадњу са домаћим здравственим системом и привредом, као и са иностранством. ИМГГИ је један од института за који је урађен детаљан план трансформације чије спровођење ускоро почиње. Све активности у БИО4 Кампусу ће допринети расту БДП.</w:t>
      </w:r>
    </w:p>
    <w:p w14:paraId="521FFB93"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3003078D" w14:textId="77777777" w:rsidR="00DC7F92" w:rsidRPr="006174DD" w:rsidRDefault="00DC7F92" w:rsidP="00DC7F92">
      <w:pPr>
        <w:widowControl w:val="0"/>
        <w:spacing w:after="60"/>
        <w:rPr>
          <w:rFonts w:eastAsia="Times New Roman" w:cs="Times New Roman"/>
          <w:szCs w:val="24"/>
          <w:lang w:val="sr-Cyrl-RS"/>
        </w:rPr>
      </w:pPr>
      <w:r w:rsidRPr="006174DD">
        <w:rPr>
          <w:rFonts w:eastAsia="Times New Roman" w:cs="Times New Roman"/>
          <w:szCs w:val="24"/>
          <w:lang w:val="sr-Cyrl-RS"/>
        </w:rPr>
        <w:t xml:space="preserve">За активности које је потребно спровести у изради, расписивању и спровођењу урбанистичко-архитектонског конкурса у складу са Законом о јавним набавкама које су започете у септембру 2021. године и трају до марта 2022. године средства су обезбеђена у буџету </w:t>
      </w:r>
      <w:r>
        <w:rPr>
          <w:rFonts w:eastAsia="Times New Roman" w:cs="Times New Roman"/>
          <w:szCs w:val="24"/>
          <w:lang w:val="sr-Cyrl-RS"/>
        </w:rPr>
        <w:t>РС</w:t>
      </w:r>
      <w:r w:rsidRPr="006174DD">
        <w:rPr>
          <w:rFonts w:eastAsia="Times New Roman" w:cs="Times New Roman"/>
          <w:szCs w:val="24"/>
          <w:lang w:val="sr-Cyrl-RS"/>
        </w:rPr>
        <w:t xml:space="preserve"> у износу од укупно </w:t>
      </w:r>
      <w:r>
        <w:rPr>
          <w:rFonts w:eastAsia="Times New Roman" w:cs="Times New Roman"/>
          <w:szCs w:val="24"/>
          <w:lang w:val="sr-Cyrl-RS"/>
        </w:rPr>
        <w:t xml:space="preserve">500 хиљада евра </w:t>
      </w:r>
      <w:r w:rsidRPr="006174DD">
        <w:rPr>
          <w:rFonts w:eastAsia="Times New Roman" w:cs="Times New Roman"/>
          <w:szCs w:val="24"/>
          <w:lang w:val="sr-Cyrl-RS"/>
        </w:rPr>
        <w:t>(</w:t>
      </w:r>
      <w:r>
        <w:rPr>
          <w:rFonts w:eastAsia="Times New Roman" w:cs="Times New Roman"/>
          <w:szCs w:val="24"/>
          <w:lang w:val="sr-Cyrl-RS"/>
        </w:rPr>
        <w:t xml:space="preserve">200 хиљада евра </w:t>
      </w:r>
      <w:r w:rsidRPr="006174DD">
        <w:rPr>
          <w:rFonts w:eastAsia="Times New Roman" w:cs="Times New Roman"/>
          <w:szCs w:val="24"/>
          <w:lang w:val="sr-Cyrl-RS"/>
        </w:rPr>
        <w:t xml:space="preserve">у 2021. и </w:t>
      </w:r>
      <w:r>
        <w:rPr>
          <w:rFonts w:eastAsia="Times New Roman" w:cs="Times New Roman"/>
          <w:szCs w:val="24"/>
          <w:lang w:val="sr-Cyrl-RS"/>
        </w:rPr>
        <w:t xml:space="preserve">300 хиљада евра </w:t>
      </w:r>
      <w:r w:rsidRPr="006174DD">
        <w:rPr>
          <w:rFonts w:eastAsia="Times New Roman" w:cs="Times New Roman"/>
          <w:szCs w:val="24"/>
          <w:lang w:val="sr-Cyrl-RS"/>
        </w:rPr>
        <w:t>у 2022.</w:t>
      </w:r>
      <w:r>
        <w:rPr>
          <w:rFonts w:eastAsia="Times New Roman" w:cs="Times New Roman"/>
          <w:szCs w:val="24"/>
          <w:lang w:val="sr-Cyrl-RS"/>
        </w:rPr>
        <w:t xml:space="preserve"> години</w:t>
      </w:r>
      <w:r w:rsidRPr="006174DD">
        <w:rPr>
          <w:rFonts w:eastAsia="Times New Roman" w:cs="Times New Roman"/>
          <w:szCs w:val="24"/>
          <w:lang w:val="sr-Cyrl-RS"/>
        </w:rPr>
        <w:t xml:space="preserve">). </w:t>
      </w:r>
      <w:r>
        <w:rPr>
          <w:rFonts w:eastAsia="Times New Roman" w:cs="Times New Roman"/>
          <w:szCs w:val="24"/>
          <w:lang w:val="sr-Cyrl-RS"/>
        </w:rPr>
        <w:t>У</w:t>
      </w:r>
      <w:r w:rsidRPr="00677A40">
        <w:rPr>
          <w:rFonts w:eastAsia="Times New Roman" w:cs="Times New Roman"/>
          <w:szCs w:val="24"/>
          <w:lang w:val="sr-Cyrl-RS"/>
        </w:rPr>
        <w:t xml:space="preserve"> </w:t>
      </w:r>
      <w:r>
        <w:rPr>
          <w:rFonts w:eastAsia="Times New Roman" w:cs="Times New Roman"/>
          <w:szCs w:val="24"/>
          <w:lang w:val="sr-Cyrl-RS"/>
        </w:rPr>
        <w:t>буџету КУЈУ</w:t>
      </w:r>
      <w:r w:rsidRPr="00677A40">
        <w:rPr>
          <w:rFonts w:eastAsia="Times New Roman" w:cs="Times New Roman"/>
          <w:szCs w:val="24"/>
          <w:lang w:val="sr-Cyrl-RS"/>
        </w:rPr>
        <w:t xml:space="preserve"> </w:t>
      </w:r>
      <w:r>
        <w:rPr>
          <w:rFonts w:eastAsia="Times New Roman" w:cs="Times New Roman"/>
          <w:szCs w:val="24"/>
          <w:lang w:val="sr-Cyrl-RS"/>
        </w:rPr>
        <w:t>обезбеђено</w:t>
      </w:r>
      <w:r w:rsidRPr="00677A40">
        <w:rPr>
          <w:rFonts w:eastAsia="Times New Roman" w:cs="Times New Roman"/>
          <w:szCs w:val="24"/>
          <w:lang w:val="sr-Cyrl-RS"/>
        </w:rPr>
        <w:t xml:space="preserve"> </w:t>
      </w:r>
      <w:r>
        <w:rPr>
          <w:rFonts w:eastAsia="Times New Roman" w:cs="Times New Roman"/>
          <w:szCs w:val="24"/>
          <w:lang w:val="sr-Cyrl-RS"/>
        </w:rPr>
        <w:t>је финансирање</w:t>
      </w:r>
      <w:r w:rsidRPr="00677A40">
        <w:rPr>
          <w:rFonts w:eastAsia="Times New Roman" w:cs="Times New Roman"/>
          <w:szCs w:val="24"/>
          <w:lang w:val="sr-Cyrl-RS"/>
        </w:rPr>
        <w:t xml:space="preserve"> </w:t>
      </w:r>
      <w:r>
        <w:rPr>
          <w:rFonts w:eastAsia="Times New Roman" w:cs="Times New Roman"/>
          <w:szCs w:val="24"/>
          <w:lang w:val="sr-Cyrl-RS"/>
        </w:rPr>
        <w:t>архитектонског</w:t>
      </w:r>
      <w:r w:rsidRPr="00677A40">
        <w:rPr>
          <w:rFonts w:eastAsia="Times New Roman" w:cs="Times New Roman"/>
          <w:szCs w:val="24"/>
          <w:lang w:val="sr-Cyrl-RS"/>
        </w:rPr>
        <w:t xml:space="preserve"> </w:t>
      </w:r>
      <w:r>
        <w:rPr>
          <w:rFonts w:eastAsia="Times New Roman" w:cs="Times New Roman"/>
          <w:szCs w:val="24"/>
          <w:lang w:val="sr-Cyrl-RS"/>
        </w:rPr>
        <w:t>пројектовања</w:t>
      </w:r>
      <w:r w:rsidRPr="00677A40">
        <w:rPr>
          <w:rFonts w:eastAsia="Times New Roman" w:cs="Times New Roman"/>
          <w:szCs w:val="24"/>
          <w:lang w:val="sr-Cyrl-RS"/>
        </w:rPr>
        <w:t xml:space="preserve">, </w:t>
      </w:r>
      <w:r w:rsidRPr="00B27103">
        <w:rPr>
          <w:rFonts w:eastAsia="Times New Roman" w:cs="Times New Roman"/>
          <w:szCs w:val="24"/>
          <w:lang w:val="sr-Cyrl-RS"/>
        </w:rPr>
        <w:t>а о извору финансирања изградње ће ускоро бити донета коначна одлука.</w:t>
      </w:r>
      <w:r>
        <w:rPr>
          <w:rFonts w:eastAsia="Times New Roman" w:cs="Times New Roman"/>
          <w:szCs w:val="24"/>
          <w:lang w:val="sr-Cyrl-RS"/>
        </w:rPr>
        <w:t xml:space="preserve"> Укупна</w:t>
      </w:r>
      <w:r w:rsidRPr="00677A40">
        <w:rPr>
          <w:rFonts w:eastAsia="Times New Roman" w:cs="Times New Roman"/>
          <w:szCs w:val="24"/>
          <w:lang w:val="sr-Cyrl-RS"/>
        </w:rPr>
        <w:t xml:space="preserve"> </w:t>
      </w:r>
      <w:r>
        <w:rPr>
          <w:rFonts w:eastAsia="Times New Roman" w:cs="Times New Roman"/>
          <w:szCs w:val="24"/>
          <w:lang w:val="sr-Cyrl-RS"/>
        </w:rPr>
        <w:t>вредност</w:t>
      </w:r>
      <w:r w:rsidRPr="00677A40">
        <w:rPr>
          <w:rFonts w:eastAsia="Times New Roman" w:cs="Times New Roman"/>
          <w:szCs w:val="24"/>
          <w:lang w:val="sr-Cyrl-RS"/>
        </w:rPr>
        <w:t xml:space="preserve"> </w:t>
      </w:r>
      <w:r>
        <w:rPr>
          <w:rFonts w:eastAsia="Times New Roman" w:cs="Times New Roman"/>
          <w:szCs w:val="24"/>
          <w:lang w:val="sr-Cyrl-RS"/>
        </w:rPr>
        <w:t>пројекта</w:t>
      </w:r>
      <w:r w:rsidRPr="00677A40">
        <w:rPr>
          <w:rFonts w:eastAsia="Times New Roman" w:cs="Times New Roman"/>
          <w:szCs w:val="24"/>
          <w:lang w:val="sr-Cyrl-RS"/>
        </w:rPr>
        <w:t xml:space="preserve"> </w:t>
      </w:r>
      <w:r>
        <w:rPr>
          <w:rFonts w:eastAsia="Times New Roman" w:cs="Times New Roman"/>
          <w:szCs w:val="24"/>
          <w:lang w:val="sr-Cyrl-RS"/>
        </w:rPr>
        <w:t>је</w:t>
      </w:r>
      <w:r w:rsidRPr="00677A40">
        <w:rPr>
          <w:rFonts w:eastAsia="Times New Roman" w:cs="Times New Roman"/>
          <w:szCs w:val="24"/>
          <w:lang w:val="sr-Cyrl-RS"/>
        </w:rPr>
        <w:t xml:space="preserve"> </w:t>
      </w:r>
      <w:r>
        <w:rPr>
          <w:rFonts w:eastAsia="Times New Roman" w:cs="Times New Roman"/>
          <w:szCs w:val="24"/>
          <w:lang w:val="sr-Cyrl-RS"/>
        </w:rPr>
        <w:t>око</w:t>
      </w:r>
      <w:r w:rsidRPr="00677A40">
        <w:rPr>
          <w:rFonts w:eastAsia="Times New Roman" w:cs="Times New Roman"/>
          <w:szCs w:val="24"/>
          <w:lang w:val="sr-Cyrl-RS"/>
        </w:rPr>
        <w:t xml:space="preserve"> 200</w:t>
      </w:r>
      <w:r>
        <w:rPr>
          <w:rFonts w:eastAsia="Times New Roman" w:cs="Times New Roman"/>
          <w:szCs w:val="24"/>
          <w:lang w:val="sr-Cyrl-RS"/>
        </w:rPr>
        <w:t xml:space="preserve"> милиона</w:t>
      </w:r>
      <w:r w:rsidRPr="00677A40">
        <w:rPr>
          <w:rFonts w:eastAsia="Times New Roman" w:cs="Times New Roman"/>
          <w:szCs w:val="24"/>
          <w:lang w:val="sr-Cyrl-RS"/>
        </w:rPr>
        <w:t xml:space="preserve"> </w:t>
      </w:r>
      <w:r>
        <w:rPr>
          <w:rFonts w:eastAsia="Times New Roman" w:cs="Times New Roman"/>
          <w:szCs w:val="24"/>
          <w:lang w:val="sr-Cyrl-RS"/>
        </w:rPr>
        <w:t>евра</w:t>
      </w:r>
      <w:r w:rsidRPr="00677A40">
        <w:rPr>
          <w:rFonts w:eastAsia="Times New Roman" w:cs="Times New Roman"/>
          <w:szCs w:val="24"/>
          <w:lang w:val="sr-Cyrl-RS"/>
        </w:rPr>
        <w:t xml:space="preserve"> </w:t>
      </w:r>
      <w:r>
        <w:rPr>
          <w:rFonts w:eastAsia="Times New Roman" w:cs="Times New Roman"/>
          <w:szCs w:val="24"/>
          <w:lang w:val="sr-Cyrl-RS"/>
        </w:rPr>
        <w:t>током</w:t>
      </w:r>
      <w:r w:rsidRPr="00677A40">
        <w:rPr>
          <w:rFonts w:eastAsia="Times New Roman" w:cs="Times New Roman"/>
          <w:szCs w:val="24"/>
          <w:lang w:val="sr-Cyrl-RS"/>
        </w:rPr>
        <w:t xml:space="preserve"> 3 </w:t>
      </w:r>
      <w:r>
        <w:rPr>
          <w:rFonts w:eastAsia="Times New Roman" w:cs="Times New Roman"/>
          <w:szCs w:val="24"/>
          <w:lang w:val="sr-Cyrl-RS"/>
        </w:rPr>
        <w:t xml:space="preserve">године. </w:t>
      </w:r>
    </w:p>
    <w:p w14:paraId="7F457B32" w14:textId="77777777" w:rsidR="00DC7F92" w:rsidRPr="00A6164C" w:rsidRDefault="00DC7F92" w:rsidP="00DC7F92">
      <w:pPr>
        <w:widowControl w:val="0"/>
        <w:spacing w:after="60"/>
        <w:rPr>
          <w:rFonts w:eastAsia="Times New Roman" w:cs="Times New Roman"/>
          <w:szCs w:val="24"/>
          <w:lang w:val="sr-Cyrl-RS"/>
        </w:rPr>
      </w:pPr>
      <w:r w:rsidRPr="006174DD">
        <w:rPr>
          <w:rFonts w:eastAsia="Times New Roman" w:cs="Times New Roman"/>
          <w:szCs w:val="24"/>
          <w:lang w:val="sr-Cyrl-RS"/>
        </w:rPr>
        <w:t>Израда планова трансформације научно-истраживачких института (један од њих је ИМГГИ) и њихова реализација обезбеђена је из зајма Светске банке (Пројекат акцелерације иновација и подстицање раста предузетништва - Пројекат SAIGE) у износу од 8 мил</w:t>
      </w:r>
      <w:r>
        <w:rPr>
          <w:rFonts w:eastAsia="Times New Roman" w:cs="Times New Roman"/>
          <w:szCs w:val="24"/>
          <w:lang w:val="sr-Cyrl-RS"/>
        </w:rPr>
        <w:t>иона евра</w:t>
      </w:r>
      <w:r w:rsidRPr="006174DD">
        <w:rPr>
          <w:rFonts w:eastAsia="Times New Roman" w:cs="Times New Roman"/>
          <w:szCs w:val="24"/>
          <w:lang w:val="sr-Cyrl-RS"/>
        </w:rPr>
        <w:t>.</w:t>
      </w:r>
    </w:p>
    <w:p w14:paraId="2794183D" w14:textId="77777777" w:rsidR="00DC7F92" w:rsidRPr="00A6164C" w:rsidRDefault="00DC7F92" w:rsidP="004D22FA">
      <w:pPr>
        <w:widowControl w:val="0"/>
        <w:numPr>
          <w:ilvl w:val="0"/>
          <w:numId w:val="38"/>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7772A55D" w14:textId="77777777" w:rsidR="00DC7F92" w:rsidRPr="00A6164C" w:rsidRDefault="00DC7F92" w:rsidP="00DC7F92">
      <w:pPr>
        <w:spacing w:after="60"/>
        <w:rPr>
          <w:rFonts w:eastAsia="Times New Roman" w:cs="Times New Roman"/>
          <w:szCs w:val="24"/>
          <w:lang w:val="sr-Cyrl-RS"/>
        </w:rPr>
      </w:pPr>
      <w:r w:rsidRPr="00A918EC">
        <w:rPr>
          <w:rFonts w:eastAsia="Times New Roman" w:cs="Times New Roman"/>
          <w:szCs w:val="24"/>
          <w:lang w:val="sr-Cyrl-RS"/>
        </w:rPr>
        <w:t>Имплементација планираних активности ће унапредити квалитет здравствене заштит</w:t>
      </w:r>
      <w:r>
        <w:rPr>
          <w:rFonts w:eastAsia="Times New Roman" w:cs="Times New Roman"/>
          <w:szCs w:val="24"/>
        </w:rPr>
        <w:t>e</w:t>
      </w:r>
      <w:r w:rsidRPr="00A918EC">
        <w:rPr>
          <w:rFonts w:eastAsia="Times New Roman" w:cs="Times New Roman"/>
          <w:szCs w:val="24"/>
          <w:lang w:val="sr-Cyrl-RS"/>
        </w:rPr>
        <w:t>, и пружити могућност за додатно запошљавање стручњака у претходно поменутим областима. У спровођењу реформске мере водиће се рачуна о родној равноправности.</w:t>
      </w:r>
    </w:p>
    <w:p w14:paraId="043ECC63"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63BEE570" w14:textId="0D42FA20" w:rsidR="003F1FDD" w:rsidRDefault="00DC7F92" w:rsidP="00B27103">
      <w:pPr>
        <w:widowControl w:val="0"/>
        <w:spacing w:after="60"/>
        <w:rPr>
          <w:rFonts w:cs="Times New Roman"/>
          <w:szCs w:val="24"/>
          <w:lang w:val="sr-Cyrl-RS" w:eastAsia="sr-Cyrl-CS" w:bidi="sr-Cyrl-CS"/>
        </w:rPr>
      </w:pPr>
      <w:r w:rsidRPr="00A918EC">
        <w:rPr>
          <w:rFonts w:cs="Times New Roman"/>
          <w:szCs w:val="24"/>
          <w:lang w:val="sr-Cyrl-RS" w:eastAsia="sr-Cyrl-CS" w:bidi="sr-Cyrl-CS"/>
        </w:rPr>
        <w:t>Приликом изградње објеката и спровођења планова трансформације института водиће се рачуна о животној средини и енергетској ефикасности (зелена градња), а постојање БИО4 Кампуса у коме се стручна лица баве биодиверзитетом ће на дуг рок допринети квалитету животне средине и праћењу утицаја климатских промена.</w:t>
      </w:r>
    </w:p>
    <w:p w14:paraId="6F6D3C95"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69CA30C5"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4CBA20EE"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1B8E2D98"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3877DF9C"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30413712" w14:textId="77777777" w:rsidTr="00DC7F92">
        <w:trPr>
          <w:trHeight w:val="429"/>
        </w:trPr>
        <w:tc>
          <w:tcPr>
            <w:tcW w:w="3329" w:type="dxa"/>
          </w:tcPr>
          <w:p w14:paraId="0CBDF240"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Кашњење у припреми пројектне документације</w:t>
            </w:r>
          </w:p>
        </w:tc>
        <w:tc>
          <w:tcPr>
            <w:tcW w:w="2200" w:type="dxa"/>
          </w:tcPr>
          <w:p w14:paraId="6E033E50" w14:textId="77777777" w:rsidR="00DC7F92" w:rsidRPr="00A918EC"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A918EC">
              <w:rPr>
                <w:rFonts w:eastAsia="Times New Roman" w:cs="Times New Roman"/>
                <w:sz w:val="20"/>
                <w:lang w:val="sr-Cyrl-RS"/>
              </w:rPr>
              <w:t>иска</w:t>
            </w:r>
          </w:p>
        </w:tc>
        <w:tc>
          <w:tcPr>
            <w:tcW w:w="4165" w:type="dxa"/>
          </w:tcPr>
          <w:p w14:paraId="0D7A84B1"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 xml:space="preserve">Ефикасно планирање свих активности и повезивање актера </w:t>
            </w:r>
          </w:p>
        </w:tc>
      </w:tr>
      <w:tr w:rsidR="00DC7F92" w:rsidRPr="00A6164C" w14:paraId="393E10EB" w14:textId="77777777" w:rsidTr="00DC7F92">
        <w:trPr>
          <w:trHeight w:val="429"/>
        </w:trPr>
        <w:tc>
          <w:tcPr>
            <w:tcW w:w="3329" w:type="dxa"/>
          </w:tcPr>
          <w:p w14:paraId="50EA6CED"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Непоштовање рокова у реализацији планираних активности и изградњи</w:t>
            </w:r>
          </w:p>
        </w:tc>
        <w:tc>
          <w:tcPr>
            <w:tcW w:w="2200" w:type="dxa"/>
          </w:tcPr>
          <w:p w14:paraId="4C61B390" w14:textId="77777777" w:rsidR="00DC7F92" w:rsidRPr="00A918EC"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A918EC">
              <w:rPr>
                <w:rFonts w:eastAsia="Times New Roman" w:cs="Times New Roman"/>
                <w:sz w:val="20"/>
                <w:lang w:val="sr-Cyrl-RS"/>
              </w:rPr>
              <w:t>иска</w:t>
            </w:r>
          </w:p>
        </w:tc>
        <w:tc>
          <w:tcPr>
            <w:tcW w:w="4165" w:type="dxa"/>
          </w:tcPr>
          <w:p w14:paraId="5B3271A1"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Стално праћење напретка и идентификовање потенцијалних уских грла</w:t>
            </w:r>
          </w:p>
        </w:tc>
      </w:tr>
    </w:tbl>
    <w:p w14:paraId="1D1BE2A3" w14:textId="77777777" w:rsidR="00DC7F92" w:rsidRDefault="00DC7F92" w:rsidP="006B76C3">
      <w:pPr>
        <w:rPr>
          <w:rFonts w:eastAsia="Times New Roman" w:cs="Times New Roman"/>
          <w:bCs/>
          <w:color w:val="000000"/>
          <w:szCs w:val="24"/>
          <w:lang w:val="sr-Cyrl-RS"/>
        </w:rPr>
      </w:pPr>
    </w:p>
    <w:p w14:paraId="51D243D5" w14:textId="77777777" w:rsidR="00DC7F92" w:rsidRPr="0005560A" w:rsidRDefault="00DC7F92" w:rsidP="00DC7F92">
      <w:pPr>
        <w:keepNext/>
        <w:keepLines/>
        <w:shd w:val="clear" w:color="auto" w:fill="D9D9D9" w:themeFill="background1" w:themeFillShade="D9"/>
        <w:spacing w:before="120"/>
        <w:outlineLvl w:val="2"/>
        <w:rPr>
          <w:rFonts w:eastAsiaTheme="majorEastAsia" w:cstheme="majorBidi"/>
          <w:b/>
          <w:lang w:val="sr-Cyrl-RS"/>
        </w:rPr>
      </w:pPr>
      <w:bookmarkStart w:id="36" w:name="_Toc89375539"/>
      <w:r w:rsidRPr="0005560A">
        <w:rPr>
          <w:rFonts w:eastAsiaTheme="majorEastAsia" w:cstheme="majorBidi"/>
          <w:b/>
          <w:lang w:val="sr-Cyrl-RS"/>
        </w:rPr>
        <w:t>5.2.6. Област РЕФОРМЕ У ОБЛАСТИ ЕКОНОМСКИХ ИНТЕГРАЦИЈА</w:t>
      </w:r>
      <w:bookmarkEnd w:id="34"/>
      <w:bookmarkEnd w:id="36"/>
    </w:p>
    <w:p w14:paraId="0A811A33" w14:textId="77777777" w:rsidR="00DC7F92" w:rsidRPr="0005560A" w:rsidRDefault="00DC7F92" w:rsidP="00DC7F92">
      <w:pPr>
        <w:rPr>
          <w:rFonts w:eastAsia="Times New Roman" w:cs="Times New Roman"/>
          <w:b/>
          <w:bCs/>
          <w:color w:val="000000"/>
          <w:szCs w:val="24"/>
          <w:lang w:val="sr-Cyrl-RS"/>
        </w:rPr>
      </w:pPr>
      <w:r w:rsidRPr="0005560A">
        <w:rPr>
          <w:rFonts w:eastAsia="Times New Roman" w:cs="Times New Roman"/>
          <w:b/>
          <w:bCs/>
          <w:color w:val="000000"/>
          <w:szCs w:val="24"/>
          <w:lang w:val="sr-Cyrl-RS"/>
        </w:rPr>
        <w:t>а) Анализа главних препрека</w:t>
      </w:r>
    </w:p>
    <w:p w14:paraId="15D6C583" w14:textId="77777777" w:rsidR="00DC7F92" w:rsidRPr="00A6164C" w:rsidRDefault="00DC7F92" w:rsidP="003F1FDD">
      <w:pPr>
        <w:widowControl w:val="0"/>
        <w:spacing w:after="60"/>
        <w:rPr>
          <w:rFonts w:eastAsia="Times New Roman" w:cs="Times New Roman"/>
          <w:bCs/>
          <w:color w:val="000000"/>
          <w:szCs w:val="24"/>
          <w:lang w:val="sr-Cyrl-RS"/>
        </w:rPr>
      </w:pPr>
      <w:r w:rsidRPr="00B63BDA">
        <w:rPr>
          <w:rFonts w:eastAsia="Times New Roman" w:cs="Times New Roman"/>
          <w:b/>
          <w:bCs/>
          <w:color w:val="000000"/>
          <w:szCs w:val="24"/>
          <w:lang w:val="sr-Cyrl-RS"/>
        </w:rPr>
        <w:t xml:space="preserve">Србија није у потпуности интегрисана у међународни економски систем, јер још увек није чланица Светске трговинске организације (СТО). </w:t>
      </w:r>
      <w:r w:rsidRPr="00B63BDA">
        <w:rPr>
          <w:rFonts w:eastAsia="Times New Roman" w:cs="Times New Roman"/>
          <w:bCs/>
          <w:color w:val="000000"/>
          <w:szCs w:val="24"/>
          <w:lang w:val="sr-Cyrl-RS"/>
        </w:rPr>
        <w:t xml:space="preserve">У оквиру </w:t>
      </w:r>
      <w:r w:rsidRPr="00B63BDA">
        <w:rPr>
          <w:rFonts w:eastAsia="Times New Roman" w:cs="Times New Roman"/>
          <w:bCs/>
          <w:color w:val="000000"/>
          <w:szCs w:val="24"/>
          <w:lang w:val="sr-Cyrl-RS"/>
        </w:rPr>
        <w:lastRenderedPageBreak/>
        <w:t xml:space="preserve">мултилатералне компоненте приступања (системска питања) </w:t>
      </w:r>
      <w:r>
        <w:rPr>
          <w:rFonts w:eastAsia="Times New Roman" w:cs="Times New Roman"/>
          <w:bCs/>
          <w:color w:val="000000"/>
          <w:szCs w:val="24"/>
          <w:lang w:val="sr-Cyrl-RS"/>
        </w:rPr>
        <w:t>преостало</w:t>
      </w:r>
      <w:r w:rsidRPr="00B63BDA">
        <w:rPr>
          <w:rFonts w:eastAsia="Times New Roman" w:cs="Times New Roman"/>
          <w:bCs/>
          <w:color w:val="000000"/>
          <w:szCs w:val="24"/>
          <w:lang w:val="sr-Cyrl-RS"/>
        </w:rPr>
        <w:t xml:space="preserve"> је једино отворено питање забране спољнотрговинског промета </w:t>
      </w:r>
      <w:r>
        <w:rPr>
          <w:rFonts w:eastAsia="Times New Roman" w:cs="Times New Roman"/>
          <w:bCs/>
          <w:color w:val="000000"/>
          <w:szCs w:val="24"/>
          <w:lang w:val="sr-Cyrl-RS"/>
        </w:rPr>
        <w:t xml:space="preserve">производа од </w:t>
      </w:r>
      <w:r w:rsidRPr="00B63BDA">
        <w:rPr>
          <w:rFonts w:eastAsia="Times New Roman" w:cs="Times New Roman"/>
          <w:bCs/>
          <w:color w:val="000000"/>
          <w:szCs w:val="24"/>
          <w:lang w:val="sr-Cyrl-RS"/>
        </w:rPr>
        <w:t>генетички модификовани</w:t>
      </w:r>
      <w:r>
        <w:rPr>
          <w:rFonts w:eastAsia="Times New Roman" w:cs="Times New Roman"/>
          <w:bCs/>
          <w:color w:val="000000"/>
          <w:szCs w:val="24"/>
          <w:lang w:val="sr-Cyrl-RS"/>
        </w:rPr>
        <w:t>х</w:t>
      </w:r>
      <w:r w:rsidRPr="00B63BDA">
        <w:rPr>
          <w:rFonts w:eastAsia="Times New Roman" w:cs="Times New Roman"/>
          <w:bCs/>
          <w:color w:val="000000"/>
          <w:szCs w:val="24"/>
          <w:lang w:val="sr-Cyrl-RS"/>
        </w:rPr>
        <w:t xml:space="preserve"> организ</w:t>
      </w:r>
      <w:r>
        <w:rPr>
          <w:rFonts w:eastAsia="Times New Roman" w:cs="Times New Roman"/>
          <w:bCs/>
          <w:color w:val="000000"/>
          <w:szCs w:val="24"/>
          <w:lang w:val="sr-Cyrl-RS"/>
        </w:rPr>
        <w:t>а</w:t>
      </w:r>
      <w:r w:rsidRPr="00B63BDA">
        <w:rPr>
          <w:rFonts w:eastAsia="Times New Roman" w:cs="Times New Roman"/>
          <w:bCs/>
          <w:color w:val="000000"/>
          <w:szCs w:val="24"/>
          <w:lang w:val="sr-Cyrl-RS"/>
        </w:rPr>
        <w:t>м</w:t>
      </w:r>
      <w:r>
        <w:rPr>
          <w:rFonts w:eastAsia="Times New Roman" w:cs="Times New Roman"/>
          <w:bCs/>
          <w:color w:val="000000"/>
          <w:szCs w:val="24"/>
          <w:lang w:val="sr-Cyrl-RS"/>
        </w:rPr>
        <w:t xml:space="preserve">а </w:t>
      </w:r>
      <w:r w:rsidRPr="00B63BDA">
        <w:rPr>
          <w:rFonts w:eastAsia="Times New Roman" w:cs="Times New Roman"/>
          <w:bCs/>
          <w:color w:val="000000"/>
          <w:szCs w:val="24"/>
          <w:lang w:val="sr-Cyrl-RS"/>
        </w:rPr>
        <w:t xml:space="preserve">(ГМО) и доношење Закона о изменама и допунама Закона о ГМО, што </w:t>
      </w:r>
      <w:r>
        <w:rPr>
          <w:rFonts w:eastAsia="Times New Roman" w:cs="Times New Roman"/>
          <w:bCs/>
          <w:color w:val="000000"/>
          <w:szCs w:val="24"/>
          <w:lang w:val="sr-Cyrl-RS"/>
        </w:rPr>
        <w:t xml:space="preserve">представља једну од </w:t>
      </w:r>
      <w:r w:rsidRPr="00B63BDA">
        <w:rPr>
          <w:rFonts w:eastAsia="Times New Roman" w:cs="Times New Roman"/>
          <w:bCs/>
          <w:color w:val="000000"/>
          <w:szCs w:val="24"/>
          <w:lang w:val="sr-Cyrl-RS"/>
        </w:rPr>
        <w:t>препрека за окончање процеса приступања СТО.</w:t>
      </w:r>
      <w:r>
        <w:rPr>
          <w:rFonts w:eastAsia="Times New Roman" w:cs="Times New Roman"/>
          <w:bCs/>
          <w:color w:val="000000"/>
          <w:szCs w:val="24"/>
          <w:lang w:val="sr-Cyrl-RS"/>
        </w:rPr>
        <w:t xml:space="preserve"> </w:t>
      </w:r>
      <w:r w:rsidRPr="00F67028">
        <w:rPr>
          <w:rFonts w:eastAsia="Times New Roman" w:cs="Times New Roman"/>
          <w:bCs/>
          <w:color w:val="000000"/>
          <w:szCs w:val="24"/>
          <w:lang w:val="sr-Cyrl-RS"/>
        </w:rPr>
        <w:t>Истовремено, преостало је и да се оконча  неколико билатералних преговора о приступу тржишту у оквиру СТО, који се воде са појединим државама чланицама организације.</w:t>
      </w:r>
    </w:p>
    <w:p w14:paraId="6B63E1CB" w14:textId="77777777" w:rsidR="00DC7F92" w:rsidRDefault="00DC7F92" w:rsidP="003F1FDD">
      <w:pPr>
        <w:widowControl w:val="0"/>
        <w:spacing w:after="60"/>
        <w:rPr>
          <w:rFonts w:eastAsia="Times New Roman" w:cs="Times New Roman"/>
          <w:bCs/>
          <w:color w:val="000000"/>
          <w:szCs w:val="24"/>
          <w:lang w:val="sr-Cyrl-RS"/>
        </w:rPr>
      </w:pPr>
      <w:r w:rsidRPr="008A37A9">
        <w:rPr>
          <w:rFonts w:eastAsia="Times New Roman" w:cs="Times New Roman"/>
          <w:b/>
          <w:bCs/>
          <w:color w:val="000000"/>
          <w:szCs w:val="24"/>
          <w:lang w:val="sr-Cyrl-RS"/>
        </w:rPr>
        <w:t>Регионална сарадња представља један од приоритета Републике Србије, као основ</w:t>
      </w:r>
      <w:r>
        <w:rPr>
          <w:rFonts w:eastAsia="Times New Roman" w:cs="Times New Roman"/>
          <w:b/>
          <w:bCs/>
          <w:color w:val="000000"/>
          <w:szCs w:val="24"/>
          <w:lang w:val="sr-Cyrl-RS"/>
        </w:rPr>
        <w:t>а</w:t>
      </w:r>
      <w:r w:rsidRPr="008A37A9">
        <w:rPr>
          <w:rFonts w:eastAsia="Times New Roman" w:cs="Times New Roman"/>
          <w:b/>
          <w:bCs/>
          <w:color w:val="000000"/>
          <w:szCs w:val="24"/>
          <w:lang w:val="sr-Cyrl-RS"/>
        </w:rPr>
        <w:t xml:space="preserve"> за одржање и повећање стабилности и промовисање свеукупне добросуседске сарадње. </w:t>
      </w:r>
      <w:r w:rsidRPr="008A37A9">
        <w:rPr>
          <w:rFonts w:eastAsia="Times New Roman" w:cs="Times New Roman"/>
          <w:bCs/>
          <w:color w:val="000000"/>
          <w:szCs w:val="24"/>
          <w:lang w:val="sr-Cyrl-RS"/>
        </w:rPr>
        <w:t>Сталан напредак и продубљивање регионалне сарадње, посебно кроз регионалне иницијативе, доприноси и интеграцији овог дела Европе у Европску унију</w:t>
      </w:r>
      <w:r>
        <w:rPr>
          <w:rFonts w:eastAsia="Times New Roman" w:cs="Times New Roman"/>
          <w:bCs/>
          <w:color w:val="000000"/>
          <w:szCs w:val="24"/>
          <w:lang w:val="sr-Cyrl-RS"/>
        </w:rPr>
        <w:t>. И</w:t>
      </w:r>
      <w:r w:rsidRPr="008A37A9">
        <w:rPr>
          <w:rFonts w:eastAsia="Times New Roman" w:cs="Times New Roman"/>
          <w:bCs/>
          <w:color w:val="000000"/>
          <w:szCs w:val="24"/>
          <w:lang w:val="sr-Cyrl-RS"/>
        </w:rPr>
        <w:t>мплементациј</w:t>
      </w:r>
      <w:r>
        <w:rPr>
          <w:rFonts w:eastAsia="Times New Roman" w:cs="Times New Roman"/>
          <w:bCs/>
          <w:color w:val="000000"/>
          <w:szCs w:val="24"/>
          <w:lang w:val="sr-Cyrl-RS"/>
        </w:rPr>
        <w:t>ом</w:t>
      </w:r>
      <w:r w:rsidRPr="008A37A9">
        <w:rPr>
          <w:rFonts w:eastAsia="Times New Roman" w:cs="Times New Roman"/>
          <w:bCs/>
          <w:color w:val="000000"/>
          <w:szCs w:val="24"/>
          <w:lang w:val="sr-Cyrl-RS"/>
        </w:rPr>
        <w:t xml:space="preserve"> </w:t>
      </w:r>
      <w:r w:rsidRPr="008A37A9">
        <w:rPr>
          <w:rFonts w:eastAsia="Times New Roman" w:cs="Times New Roman"/>
          <w:bCs/>
          <w:i/>
          <w:color w:val="000000"/>
          <w:szCs w:val="24"/>
          <w:lang w:val="sr-Cyrl-RS"/>
        </w:rPr>
        <w:t>Вишегодишњег акционог плана за развој Регионалног економског простора</w:t>
      </w:r>
      <w:r>
        <w:rPr>
          <w:rFonts w:eastAsia="Times New Roman" w:cs="Times New Roman"/>
          <w:bCs/>
          <w:color w:val="000000"/>
          <w:szCs w:val="24"/>
          <w:lang w:val="sr-Cyrl-RS"/>
        </w:rPr>
        <w:t xml:space="preserve"> (MAP REA) </w:t>
      </w:r>
      <w:r w:rsidRPr="00576701">
        <w:rPr>
          <w:rFonts w:eastAsia="Times New Roman" w:cs="Times New Roman"/>
          <w:bCs/>
          <w:color w:val="000000"/>
          <w:szCs w:val="24"/>
          <w:lang w:val="sr-Cyrl-RS"/>
        </w:rPr>
        <w:t xml:space="preserve">изједначене су цена роминга мобилног саобраћаја са ценама у националном саобраћају Србије, Црне Горе, БиХ, Северне Македоније и Албаније, на принципу „роминг као код куће”. Мера је ступила на снагу 1. јула 2021. године и важи за све операторе мобилних мрежа. </w:t>
      </w:r>
      <w:r w:rsidRPr="005F3BF8">
        <w:rPr>
          <w:rFonts w:eastAsia="Times New Roman" w:cs="Times New Roman"/>
          <w:bCs/>
          <w:i/>
          <w:color w:val="000000"/>
          <w:szCs w:val="24"/>
          <w:lang w:val="sr-Cyrl-RS"/>
        </w:rPr>
        <w:t>Акциони план за Заједничко регионално тржиште у оквирима Берлинског процеса</w:t>
      </w:r>
      <w:r w:rsidRPr="00F67028">
        <w:rPr>
          <w:rFonts w:eastAsia="Times New Roman" w:cs="Times New Roman"/>
          <w:bCs/>
          <w:color w:val="000000"/>
          <w:szCs w:val="24"/>
          <w:lang w:val="sr-Cyrl-RS"/>
        </w:rPr>
        <w:t xml:space="preserve"> је усвојен на Самиту Западног Балкана у Софији 10. новембра 2020. Предвиђене су бројне активности које треба да се реализују до краја 2024. године у областима: а) унапређења четири слободе (кроз споразуме за узајамно признавање, уклањањем препрека и смањењем трошкова и времена кретања робе, услуга, капитала и људи), б) побољшања атрактивности региона за инвестирање (кроз кампању за промоцију регионалних инвестиција, развијање регионалних смерница и процедура за механизме скрининга), в) интегрисање Западног Балкана у пан-eвропски дигитални простор (усклађивањем са принципима и праксом Јединственог дигиталног тржишта ЕУ, сарадњ</w:t>
      </w:r>
      <w:r>
        <w:rPr>
          <w:rFonts w:eastAsia="Times New Roman" w:cs="Times New Roman"/>
          <w:bCs/>
          <w:color w:val="000000"/>
          <w:szCs w:val="24"/>
        </w:rPr>
        <w:t>o</w:t>
      </w:r>
      <w:r>
        <w:rPr>
          <w:rFonts w:eastAsia="Times New Roman" w:cs="Times New Roman"/>
          <w:bCs/>
          <w:color w:val="000000"/>
          <w:szCs w:val="24"/>
          <w:lang w:val="sr-Cyrl-RS"/>
        </w:rPr>
        <w:t>м</w:t>
      </w:r>
      <w:r w:rsidRPr="00F67028">
        <w:rPr>
          <w:rFonts w:eastAsia="Times New Roman" w:cs="Times New Roman"/>
          <w:bCs/>
          <w:color w:val="000000"/>
          <w:szCs w:val="24"/>
          <w:lang w:val="sr-Cyrl-RS"/>
        </w:rPr>
        <w:t xml:space="preserve"> у области приступа заштити података, узајамног признавања електронских потписа) и г) унапређења развоја индустријске базе и иновационе инфраструктуре (подржавањем предузетништва младих, стартап предузећа и предузећа у раној фази оснивања, увођењем механизама за пренос знања из дијаспоре, подстицањем зеленог и женског предузетништва). </w:t>
      </w:r>
    </w:p>
    <w:p w14:paraId="71DA1337" w14:textId="77777777" w:rsidR="00DC7F92" w:rsidRPr="00A6164C" w:rsidRDefault="00DC7F92" w:rsidP="003F1FDD">
      <w:pPr>
        <w:widowControl w:val="0"/>
        <w:spacing w:after="60"/>
        <w:rPr>
          <w:rFonts w:eastAsia="Times New Roman" w:cs="Times New Roman"/>
          <w:szCs w:val="24"/>
          <w:lang w:val="sr-Cyrl-RS"/>
        </w:rPr>
      </w:pPr>
      <w:r w:rsidRPr="00576701">
        <w:rPr>
          <w:rFonts w:eastAsia="Times New Roman" w:cs="Times New Roman"/>
          <w:bCs/>
          <w:i/>
          <w:color w:val="000000"/>
          <w:szCs w:val="24"/>
          <w:lang w:val="sr-Cyrl-RS"/>
        </w:rPr>
        <w:t xml:space="preserve">Заједничка </w:t>
      </w:r>
      <w:r>
        <w:rPr>
          <w:rFonts w:eastAsia="Times New Roman" w:cs="Times New Roman"/>
          <w:bCs/>
          <w:i/>
          <w:color w:val="000000"/>
          <w:szCs w:val="24"/>
          <w:lang w:val="sr-Cyrl-RS"/>
        </w:rPr>
        <w:t>ницијатива „</w:t>
      </w:r>
      <w:r w:rsidRPr="00576701">
        <w:rPr>
          <w:rFonts w:eastAsia="Times New Roman" w:cs="Times New Roman"/>
          <w:bCs/>
          <w:i/>
          <w:color w:val="000000"/>
          <w:szCs w:val="24"/>
          <w:lang w:val="sr-Cyrl-RS"/>
        </w:rPr>
        <w:t>Мини Шенген</w:t>
      </w:r>
      <w:r>
        <w:rPr>
          <w:rFonts w:eastAsia="Times New Roman" w:cs="Times New Roman"/>
          <w:bCs/>
          <w:i/>
          <w:color w:val="000000"/>
          <w:szCs w:val="24"/>
          <w:lang w:val="sr-Cyrl-RS"/>
        </w:rPr>
        <w:t>“</w:t>
      </w:r>
      <w:r w:rsidRPr="00576701">
        <w:rPr>
          <w:rFonts w:eastAsia="Times New Roman" w:cs="Times New Roman"/>
          <w:bCs/>
          <w:i/>
          <w:color w:val="000000"/>
          <w:szCs w:val="24"/>
          <w:lang w:val="sr-Cyrl-RS"/>
        </w:rPr>
        <w:t xml:space="preserve"> </w:t>
      </w:r>
      <w:r w:rsidRPr="00576701">
        <w:rPr>
          <w:rFonts w:eastAsia="Times New Roman" w:cs="Times New Roman"/>
          <w:bCs/>
          <w:color w:val="000000"/>
          <w:szCs w:val="24"/>
          <w:lang w:val="sr-Cyrl-RS"/>
        </w:rPr>
        <w:t>Србије, Албаније и Северне Македоније потписана у октобру</w:t>
      </w:r>
      <w:r>
        <w:rPr>
          <w:rFonts w:eastAsia="Times New Roman" w:cs="Times New Roman"/>
          <w:bCs/>
          <w:color w:val="000000"/>
          <w:szCs w:val="24"/>
          <w:lang w:val="sr-Cyrl-RS"/>
        </w:rPr>
        <w:t xml:space="preserve"> 2019. у Новом Саду, предиђа у</w:t>
      </w:r>
      <w:r w:rsidRPr="008B60BF">
        <w:rPr>
          <w:rFonts w:eastAsia="Times New Roman" w:cs="Times New Roman"/>
          <w:bCs/>
          <w:color w:val="000000"/>
          <w:szCs w:val="24"/>
          <w:lang w:val="sr-Cyrl-RS"/>
        </w:rPr>
        <w:t>напређењ</w:t>
      </w:r>
      <w:r>
        <w:rPr>
          <w:rFonts w:eastAsia="Times New Roman" w:cs="Times New Roman"/>
          <w:bCs/>
          <w:color w:val="000000"/>
          <w:szCs w:val="24"/>
          <w:lang w:val="sr-Cyrl-RS"/>
        </w:rPr>
        <w:t>е</w:t>
      </w:r>
      <w:r w:rsidRPr="008B60BF">
        <w:rPr>
          <w:rFonts w:eastAsia="Times New Roman" w:cs="Times New Roman"/>
          <w:bCs/>
          <w:color w:val="000000"/>
          <w:szCs w:val="24"/>
          <w:lang w:val="sr-Cyrl-RS"/>
        </w:rPr>
        <w:t xml:space="preserve"> међусобне економске интеграције кроз слободно кретање људи, робе, усл</w:t>
      </w:r>
      <w:r>
        <w:rPr>
          <w:rFonts w:eastAsia="Times New Roman" w:cs="Times New Roman"/>
          <w:bCs/>
          <w:color w:val="000000"/>
          <w:szCs w:val="24"/>
          <w:lang w:val="sr-Cyrl-RS"/>
        </w:rPr>
        <w:t xml:space="preserve">уга и капитала, </w:t>
      </w:r>
      <w:r w:rsidRPr="00D050DB">
        <w:rPr>
          <w:rFonts w:eastAsia="Times New Roman" w:cs="Times New Roman"/>
          <w:bCs/>
          <w:color w:val="000000"/>
          <w:szCs w:val="24"/>
          <w:lang w:val="sr-Cyrl-RS"/>
        </w:rPr>
        <w:t>пут</w:t>
      </w:r>
      <w:r>
        <w:rPr>
          <w:rFonts w:eastAsia="Times New Roman" w:cs="Times New Roman"/>
          <w:bCs/>
          <w:color w:val="000000"/>
          <w:szCs w:val="24"/>
          <w:lang w:val="sr-Cyrl-RS"/>
        </w:rPr>
        <w:t>овање уз личну карту, запослење</w:t>
      </w:r>
      <w:r w:rsidRPr="00D050DB">
        <w:rPr>
          <w:rFonts w:eastAsia="Times New Roman" w:cs="Times New Roman"/>
          <w:bCs/>
          <w:color w:val="000000"/>
          <w:szCs w:val="24"/>
          <w:lang w:val="sr-Cyrl-RS"/>
        </w:rPr>
        <w:t xml:space="preserve"> </w:t>
      </w:r>
      <w:r>
        <w:rPr>
          <w:rFonts w:eastAsia="Times New Roman" w:cs="Times New Roman"/>
          <w:bCs/>
          <w:color w:val="000000"/>
          <w:szCs w:val="24"/>
          <w:lang w:val="sr-Cyrl-RS"/>
        </w:rPr>
        <w:t>са</w:t>
      </w:r>
      <w:r w:rsidRPr="00D050DB">
        <w:rPr>
          <w:rFonts w:eastAsia="Times New Roman" w:cs="Times New Roman"/>
          <w:bCs/>
          <w:color w:val="000000"/>
          <w:szCs w:val="24"/>
          <w:lang w:val="sr-Cyrl-RS"/>
        </w:rPr>
        <w:t xml:space="preserve"> потврд</w:t>
      </w:r>
      <w:r>
        <w:rPr>
          <w:rFonts w:eastAsia="Times New Roman" w:cs="Times New Roman"/>
          <w:bCs/>
          <w:color w:val="000000"/>
          <w:szCs w:val="24"/>
          <w:lang w:val="sr-Cyrl-RS"/>
        </w:rPr>
        <w:t>ом</w:t>
      </w:r>
      <w:r w:rsidRPr="00D050DB">
        <w:rPr>
          <w:rFonts w:eastAsia="Times New Roman" w:cs="Times New Roman"/>
          <w:bCs/>
          <w:color w:val="000000"/>
          <w:szCs w:val="24"/>
          <w:lang w:val="sr-Cyrl-RS"/>
        </w:rPr>
        <w:t xml:space="preserve"> о квалификацијама</w:t>
      </w:r>
      <w:r>
        <w:rPr>
          <w:rFonts w:eastAsia="Times New Roman" w:cs="Times New Roman"/>
          <w:bCs/>
          <w:color w:val="000000"/>
          <w:szCs w:val="24"/>
          <w:lang w:val="sr-Cyrl-RS"/>
        </w:rPr>
        <w:t xml:space="preserve">, </w:t>
      </w:r>
      <w:r w:rsidRPr="00D050DB">
        <w:rPr>
          <w:rFonts w:eastAsia="Times New Roman" w:cs="Times New Roman"/>
          <w:bCs/>
          <w:color w:val="000000"/>
          <w:szCs w:val="24"/>
          <w:lang w:val="sr-Cyrl-RS"/>
        </w:rPr>
        <w:t>признавање диплома у региону</w:t>
      </w:r>
      <w:r>
        <w:rPr>
          <w:rFonts w:eastAsia="Times New Roman" w:cs="Times New Roman"/>
          <w:bCs/>
          <w:color w:val="000000"/>
          <w:szCs w:val="24"/>
          <w:lang w:val="sr-Cyrl-RS"/>
        </w:rPr>
        <w:t>,</w:t>
      </w:r>
      <w:r w:rsidRPr="00D050DB">
        <w:rPr>
          <w:rFonts w:eastAsia="Times New Roman" w:cs="Times New Roman"/>
          <w:bCs/>
          <w:color w:val="000000"/>
          <w:szCs w:val="24"/>
          <w:lang w:val="sr-Cyrl-RS"/>
        </w:rPr>
        <w:t xml:space="preserve"> бољу сарадњу у борби против организованог криминала и помоћ у случају природних непогода.</w:t>
      </w:r>
      <w:r>
        <w:rPr>
          <w:rFonts w:eastAsia="Times New Roman" w:cs="Times New Roman"/>
          <w:bCs/>
          <w:color w:val="000000"/>
          <w:szCs w:val="24"/>
          <w:lang w:val="sr-Cyrl-RS"/>
        </w:rPr>
        <w:t xml:space="preserve"> На Форуму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регионалну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економску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сарадњу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 xml:space="preserve">Скопљу у јулу 2021. године, промењено је име иницијативе </w:t>
      </w:r>
      <w:r w:rsidRPr="00CE3226">
        <w:rPr>
          <w:rFonts w:eastAsia="Times New Roman" w:cs="Times New Roman"/>
          <w:bCs/>
          <w:i/>
          <w:color w:val="000000"/>
          <w:szCs w:val="24"/>
          <w:lang w:val="sr-Cyrl-RS"/>
        </w:rPr>
        <w:t>„Мини Шенген“</w:t>
      </w:r>
      <w:r>
        <w:rPr>
          <w:rFonts w:eastAsia="Times New Roman" w:cs="Times New Roman"/>
          <w:bCs/>
          <w:color w:val="000000"/>
          <w:szCs w:val="24"/>
          <w:lang w:val="sr-Cyrl-RS"/>
        </w:rPr>
        <w:t xml:space="preserve"> у</w:t>
      </w:r>
      <w:r w:rsidRPr="00B327BE">
        <w:rPr>
          <w:rFonts w:eastAsia="Times New Roman" w:cs="Times New Roman"/>
          <w:bCs/>
          <w:color w:val="000000"/>
          <w:szCs w:val="24"/>
          <w:lang w:val="sr-Cyrl-RS"/>
        </w:rPr>
        <w:t xml:space="preserve"> </w:t>
      </w:r>
      <w:r>
        <w:rPr>
          <w:rFonts w:eastAsia="Times New Roman" w:cs="Times New Roman"/>
          <w:bCs/>
          <w:i/>
          <w:color w:val="000000"/>
          <w:szCs w:val="24"/>
          <w:lang w:val="sr-Cyrl-RS"/>
        </w:rPr>
        <w:t>„Отворени</w:t>
      </w:r>
      <w:r w:rsidRPr="004624C8">
        <w:rPr>
          <w:rFonts w:eastAsia="Times New Roman" w:cs="Times New Roman"/>
          <w:bCs/>
          <w:i/>
          <w:color w:val="000000"/>
          <w:szCs w:val="24"/>
          <w:lang w:val="sr-Cyrl-RS"/>
        </w:rPr>
        <w:t xml:space="preserve"> Балкан</w:t>
      </w:r>
      <w:r>
        <w:rPr>
          <w:rFonts w:eastAsia="Times New Roman" w:cs="Times New Roman"/>
          <w:bCs/>
          <w:i/>
          <w:color w:val="000000"/>
          <w:szCs w:val="24"/>
          <w:lang w:val="sr-Cyrl-RS"/>
        </w:rPr>
        <w:t>“</w:t>
      </w:r>
      <w:r>
        <w:rPr>
          <w:rFonts w:eastAsia="Times New Roman" w:cs="Times New Roman"/>
          <w:bCs/>
          <w:color w:val="000000"/>
          <w:szCs w:val="24"/>
          <w:lang w:val="sr-Cyrl-RS"/>
        </w:rPr>
        <w:t>. Том приликом Србија је потписала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три</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меморандума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о</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сарадњи 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заштити</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од</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 xml:space="preserve">катастрофа, </w:t>
      </w:r>
      <w:r>
        <w:rPr>
          <w:rFonts w:eastAsia="Times New Roman" w:cs="Times New Roman"/>
          <w:szCs w:val="24"/>
          <w:lang w:val="sr-Cyrl-RS"/>
        </w:rPr>
        <w:t>олакшању</w:t>
      </w:r>
      <w:r w:rsidRPr="00AB5D90">
        <w:rPr>
          <w:rFonts w:eastAsia="Times New Roman" w:cs="Times New Roman"/>
          <w:szCs w:val="24"/>
          <w:lang w:val="sr-Cyrl-RS"/>
        </w:rPr>
        <w:t xml:space="preserve"> </w:t>
      </w:r>
      <w:r>
        <w:rPr>
          <w:rFonts w:eastAsia="Times New Roman" w:cs="Times New Roman"/>
          <w:szCs w:val="24"/>
          <w:lang w:val="sr-Cyrl-RS"/>
        </w:rPr>
        <w:t>увоза</w:t>
      </w:r>
      <w:r w:rsidRPr="00AB5D90">
        <w:rPr>
          <w:rFonts w:eastAsia="Times New Roman" w:cs="Times New Roman"/>
          <w:szCs w:val="24"/>
          <w:lang w:val="sr-Cyrl-RS"/>
        </w:rPr>
        <w:t xml:space="preserve">, </w:t>
      </w:r>
      <w:r>
        <w:rPr>
          <w:rFonts w:eastAsia="Times New Roman" w:cs="Times New Roman"/>
          <w:szCs w:val="24"/>
          <w:lang w:val="sr-Cyrl-RS"/>
        </w:rPr>
        <w:t>извоза</w:t>
      </w:r>
      <w:r w:rsidRPr="00AB5D90">
        <w:rPr>
          <w:rFonts w:eastAsia="Times New Roman" w:cs="Times New Roman"/>
          <w:szCs w:val="24"/>
          <w:lang w:val="sr-Cyrl-RS"/>
        </w:rPr>
        <w:t xml:space="preserve"> </w:t>
      </w:r>
      <w:r>
        <w:rPr>
          <w:rFonts w:eastAsia="Times New Roman" w:cs="Times New Roman"/>
          <w:szCs w:val="24"/>
          <w:lang w:val="sr-Cyrl-RS"/>
        </w:rPr>
        <w:t>и</w:t>
      </w:r>
      <w:r w:rsidRPr="00AB5D90">
        <w:rPr>
          <w:rFonts w:eastAsia="Times New Roman" w:cs="Times New Roman"/>
          <w:szCs w:val="24"/>
          <w:lang w:val="sr-Cyrl-RS"/>
        </w:rPr>
        <w:t xml:space="preserve"> </w:t>
      </w:r>
      <w:r>
        <w:rPr>
          <w:rFonts w:eastAsia="Times New Roman" w:cs="Times New Roman"/>
          <w:szCs w:val="24"/>
          <w:lang w:val="sr-Cyrl-RS"/>
        </w:rPr>
        <w:t>кретања</w:t>
      </w:r>
      <w:r w:rsidRPr="00AB5D90">
        <w:rPr>
          <w:rFonts w:eastAsia="Times New Roman" w:cs="Times New Roman"/>
          <w:szCs w:val="24"/>
          <w:lang w:val="sr-Cyrl-RS"/>
        </w:rPr>
        <w:t xml:space="preserve"> </w:t>
      </w:r>
      <w:r>
        <w:rPr>
          <w:rFonts w:eastAsia="Times New Roman" w:cs="Times New Roman"/>
          <w:szCs w:val="24"/>
          <w:lang w:val="sr-Cyrl-RS"/>
        </w:rPr>
        <w:t>робе и слоб</w:t>
      </w:r>
      <w:r>
        <w:rPr>
          <w:rFonts w:eastAsia="Times New Roman" w:cs="Times New Roman"/>
          <w:bCs/>
          <w:color w:val="000000"/>
          <w:szCs w:val="24"/>
          <w:lang w:val="sr-Cyrl-RS"/>
        </w:rPr>
        <w:t>одном</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приступу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тржишту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рада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на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Западном</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Балкану. У</w:t>
      </w:r>
      <w:r>
        <w:rPr>
          <w:rFonts w:eastAsia="Times New Roman" w:cs="Times New Roman"/>
          <w:szCs w:val="24"/>
          <w:lang w:val="sr-Cyrl-RS"/>
        </w:rPr>
        <w:t xml:space="preserve">спостављање режима слободног кретања на територији Србије, Македоније и Албаније без граница планирано је </w:t>
      </w:r>
      <w:r>
        <w:rPr>
          <w:rFonts w:eastAsia="Times New Roman" w:cs="Times New Roman"/>
          <w:bCs/>
          <w:color w:val="000000"/>
          <w:szCs w:val="24"/>
          <w:lang w:val="sr-Cyrl-RS"/>
        </w:rPr>
        <w:t>од</w:t>
      </w:r>
      <w:r w:rsidRPr="00B327BE">
        <w:rPr>
          <w:rFonts w:eastAsia="Times New Roman" w:cs="Times New Roman"/>
          <w:bCs/>
          <w:color w:val="000000"/>
          <w:szCs w:val="24"/>
          <w:lang w:val="sr-Cyrl-RS"/>
        </w:rPr>
        <w:t xml:space="preserve"> 1. </w:t>
      </w:r>
      <w:r>
        <w:rPr>
          <w:rFonts w:eastAsia="Times New Roman" w:cs="Times New Roman"/>
          <w:bCs/>
          <w:color w:val="000000"/>
          <w:szCs w:val="24"/>
          <w:lang w:val="sr-Cyrl-RS"/>
        </w:rPr>
        <w:t>јануара</w:t>
      </w:r>
      <w:r w:rsidRPr="00B327BE">
        <w:rPr>
          <w:rFonts w:eastAsia="Times New Roman" w:cs="Times New Roman"/>
          <w:bCs/>
          <w:color w:val="000000"/>
          <w:szCs w:val="24"/>
          <w:lang w:val="sr-Cyrl-RS"/>
        </w:rPr>
        <w:t xml:space="preserve"> 2023.</w:t>
      </w:r>
      <w:r>
        <w:rPr>
          <w:rFonts w:eastAsia="Times New Roman" w:cs="Times New Roman"/>
          <w:szCs w:val="24"/>
          <w:lang w:val="sr-Cyrl-RS"/>
        </w:rPr>
        <w:t xml:space="preserve"> </w:t>
      </w:r>
    </w:p>
    <w:p w14:paraId="56202987" w14:textId="77777777" w:rsidR="00DC7F92" w:rsidRPr="00C64502" w:rsidRDefault="00DC7F92" w:rsidP="003F1FDD">
      <w:pPr>
        <w:spacing w:after="60"/>
        <w:rPr>
          <w:rFonts w:eastAsia="Times New Roman"/>
          <w:szCs w:val="24"/>
          <w:lang w:val="sr-Cyrl-RS"/>
        </w:rPr>
      </w:pPr>
      <w:r w:rsidRPr="00156209">
        <w:rPr>
          <w:rFonts w:eastAsia="Times New Roman" w:cs="Times New Roman"/>
          <w:b/>
          <w:bCs/>
          <w:color w:val="000000"/>
          <w:szCs w:val="24"/>
          <w:lang w:val="sr-Cyrl-RS"/>
        </w:rPr>
        <w:t xml:space="preserve">На пад </w:t>
      </w:r>
      <w:r>
        <w:rPr>
          <w:rFonts w:eastAsia="Times New Roman" w:cs="Times New Roman"/>
          <w:b/>
          <w:bCs/>
          <w:color w:val="000000"/>
          <w:szCs w:val="24"/>
          <w:lang w:val="sr-Cyrl-RS"/>
        </w:rPr>
        <w:t xml:space="preserve">робне </w:t>
      </w:r>
      <w:r w:rsidRPr="00156209">
        <w:rPr>
          <w:rFonts w:eastAsia="Times New Roman" w:cs="Times New Roman"/>
          <w:b/>
          <w:bCs/>
          <w:color w:val="000000"/>
          <w:szCs w:val="24"/>
          <w:lang w:val="sr-Cyrl-RS"/>
        </w:rPr>
        <w:t>трговине</w:t>
      </w:r>
      <w:r>
        <w:rPr>
          <w:rFonts w:eastAsia="Times New Roman" w:cs="Times New Roman"/>
          <w:b/>
          <w:bCs/>
          <w:color w:val="000000"/>
          <w:szCs w:val="24"/>
        </w:rPr>
        <w:t xml:space="preserve"> </w:t>
      </w:r>
      <w:r>
        <w:rPr>
          <w:rFonts w:eastAsia="Times New Roman" w:cs="Times New Roman"/>
          <w:b/>
          <w:bCs/>
          <w:color w:val="000000"/>
          <w:szCs w:val="24"/>
          <w:lang w:val="sr-Cyrl-RS"/>
        </w:rPr>
        <w:t>Србије са иностранством</w:t>
      </w:r>
      <w:r w:rsidRPr="00156209">
        <w:rPr>
          <w:rFonts w:eastAsia="Times New Roman" w:cs="Times New Roman"/>
          <w:b/>
          <w:bCs/>
          <w:color w:val="000000"/>
          <w:szCs w:val="24"/>
          <w:lang w:val="sr-Cyrl-RS"/>
        </w:rPr>
        <w:t xml:space="preserve">, осим пада привредне активности, утицале су и епидемиолошке мере којима је </w:t>
      </w:r>
      <w:r>
        <w:rPr>
          <w:rFonts w:eastAsia="Times New Roman" w:cs="Times New Roman"/>
          <w:b/>
          <w:bCs/>
          <w:color w:val="000000"/>
          <w:szCs w:val="24"/>
          <w:lang w:val="sr-Cyrl-RS"/>
        </w:rPr>
        <w:t xml:space="preserve">било </w:t>
      </w:r>
      <w:r w:rsidRPr="00156209">
        <w:rPr>
          <w:rFonts w:eastAsia="Times New Roman" w:cs="Times New Roman"/>
          <w:b/>
          <w:bCs/>
          <w:color w:val="000000"/>
          <w:szCs w:val="24"/>
          <w:lang w:val="sr-Cyrl-RS"/>
        </w:rPr>
        <w:t xml:space="preserve">отежано или чак онемогућено кретање људи </w:t>
      </w:r>
      <w:r>
        <w:rPr>
          <w:rFonts w:eastAsia="Times New Roman" w:cs="Times New Roman"/>
          <w:b/>
          <w:bCs/>
          <w:color w:val="000000"/>
          <w:szCs w:val="24"/>
          <w:lang w:val="sr-Cyrl-RS"/>
        </w:rPr>
        <w:t xml:space="preserve">и роба </w:t>
      </w:r>
      <w:r w:rsidRPr="00156209">
        <w:rPr>
          <w:rFonts w:eastAsia="Times New Roman" w:cs="Times New Roman"/>
          <w:b/>
          <w:bCs/>
          <w:color w:val="000000"/>
          <w:szCs w:val="24"/>
          <w:lang w:val="sr-Cyrl-RS"/>
        </w:rPr>
        <w:t>између држава</w:t>
      </w:r>
      <w:r>
        <w:rPr>
          <w:rFonts w:eastAsia="Times New Roman" w:cs="Times New Roman"/>
          <w:b/>
          <w:bCs/>
          <w:color w:val="000000"/>
          <w:szCs w:val="24"/>
          <w:lang w:val="sr-Cyrl-RS"/>
        </w:rPr>
        <w:t xml:space="preserve">. </w:t>
      </w:r>
      <w:r w:rsidRPr="002F5DCA">
        <w:rPr>
          <w:rFonts w:eastAsia="Times New Roman" w:cs="Times New Roman"/>
          <w:bCs/>
          <w:color w:val="000000"/>
          <w:szCs w:val="24"/>
          <w:lang w:val="sr-Cyrl-RS"/>
        </w:rPr>
        <w:t>Укупна спољнотрговинска робна размена Србије је мања за 3,</w:t>
      </w:r>
      <w:r>
        <w:rPr>
          <w:rFonts w:eastAsia="Times New Roman" w:cs="Times New Roman"/>
          <w:bCs/>
          <w:color w:val="000000"/>
          <w:szCs w:val="24"/>
          <w:lang w:val="sr-Cyrl-RS"/>
        </w:rPr>
        <w:t>4</w:t>
      </w:r>
      <w:r w:rsidRPr="002F5DCA">
        <w:rPr>
          <w:rFonts w:eastAsia="Times New Roman" w:cs="Times New Roman"/>
          <w:bCs/>
          <w:color w:val="000000"/>
          <w:szCs w:val="24"/>
          <w:lang w:val="sr-Cyrl-RS"/>
        </w:rPr>
        <w:t>% у 2020. години (</w:t>
      </w:r>
      <w:r>
        <w:rPr>
          <w:rFonts w:eastAsia="Times New Roman" w:cs="Times New Roman"/>
          <w:bCs/>
          <w:color w:val="000000"/>
          <w:szCs w:val="24"/>
          <w:lang w:val="sr-Cyrl-RS"/>
        </w:rPr>
        <w:t>40</w:t>
      </w:r>
      <w:r w:rsidRPr="002F5DCA">
        <w:rPr>
          <w:rFonts w:eastAsia="Times New Roman" w:cs="Times New Roman"/>
          <w:bCs/>
          <w:color w:val="000000"/>
          <w:szCs w:val="24"/>
        </w:rPr>
        <w:t xml:space="preserve"> </w:t>
      </w:r>
      <w:r>
        <w:rPr>
          <w:rFonts w:eastAsia="Times New Roman" w:cs="Times New Roman"/>
          <w:bCs/>
          <w:color w:val="000000"/>
          <w:szCs w:val="24"/>
          <w:lang w:val="sr-Cyrl-RS"/>
        </w:rPr>
        <w:t>милијарди евра</w:t>
      </w:r>
      <w:r w:rsidRPr="002F5DCA">
        <w:rPr>
          <w:rFonts w:eastAsia="Times New Roman" w:cs="Times New Roman"/>
          <w:bCs/>
          <w:color w:val="000000"/>
          <w:szCs w:val="24"/>
          <w:lang w:val="sr-Cyrl-RS"/>
        </w:rPr>
        <w:t xml:space="preserve">). </w:t>
      </w:r>
      <w:r w:rsidRPr="00A6164C">
        <w:rPr>
          <w:rFonts w:eastAsia="Times New Roman" w:cs="Times New Roman"/>
          <w:color w:val="000000"/>
          <w:szCs w:val="24"/>
          <w:lang w:val="sr-Cyrl-RS"/>
        </w:rPr>
        <w:t xml:space="preserve">Извоз од </w:t>
      </w:r>
      <w:r>
        <w:rPr>
          <w:rFonts w:eastAsia="Times New Roman" w:cs="Times New Roman"/>
          <w:color w:val="000000"/>
          <w:szCs w:val="24"/>
          <w:lang w:val="sr-Latn-RS"/>
        </w:rPr>
        <w:t>17</w:t>
      </w:r>
      <w:r>
        <w:rPr>
          <w:rFonts w:eastAsia="Times New Roman" w:cs="Times New Roman"/>
          <w:color w:val="000000"/>
          <w:szCs w:val="24"/>
          <w:lang w:val="sr-Cyrl-RS"/>
        </w:rPr>
        <w:t>,1</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милијарде евра</w:t>
      </w:r>
      <w:r w:rsidRPr="00A6164C">
        <w:rPr>
          <w:rFonts w:eastAsia="Times New Roman" w:cs="Times New Roman"/>
          <w:color w:val="000000"/>
          <w:szCs w:val="24"/>
          <w:lang w:val="sr-Cyrl-RS"/>
        </w:rPr>
        <w:t xml:space="preserve"> у 20</w:t>
      </w:r>
      <w:r>
        <w:rPr>
          <w:rFonts w:eastAsia="Times New Roman" w:cs="Times New Roman"/>
          <w:color w:val="000000"/>
          <w:szCs w:val="24"/>
          <w:lang w:val="sr-Latn-RS"/>
        </w:rPr>
        <w:t>20</w:t>
      </w:r>
      <w:r w:rsidRPr="00A6164C">
        <w:rPr>
          <w:rFonts w:eastAsia="Times New Roman" w:cs="Times New Roman"/>
          <w:color w:val="000000"/>
          <w:szCs w:val="24"/>
          <w:lang w:val="sr-Cyrl-RS"/>
        </w:rPr>
        <w:t xml:space="preserve">. години, бележи </w:t>
      </w:r>
      <w:r>
        <w:rPr>
          <w:rFonts w:eastAsia="Times New Roman" w:cs="Times New Roman"/>
          <w:color w:val="000000"/>
          <w:szCs w:val="24"/>
          <w:lang w:val="sr-Cyrl-RS"/>
        </w:rPr>
        <w:t>пад</w:t>
      </w:r>
      <w:r w:rsidRPr="00A6164C">
        <w:rPr>
          <w:rFonts w:eastAsia="Times New Roman" w:cs="Times New Roman"/>
          <w:color w:val="000000"/>
          <w:szCs w:val="24"/>
          <w:lang w:val="sr-Cyrl-RS"/>
        </w:rPr>
        <w:t xml:space="preserve"> </w:t>
      </w:r>
      <w:r w:rsidRPr="00FE114A">
        <w:rPr>
          <w:rFonts w:eastAsia="Times New Roman" w:cs="Times New Roman"/>
          <w:color w:val="000000"/>
          <w:szCs w:val="24"/>
          <w:lang w:val="sr-Cyrl-RS"/>
        </w:rPr>
        <w:t>за 2,</w:t>
      </w:r>
      <w:r>
        <w:rPr>
          <w:rFonts w:eastAsia="Times New Roman" w:cs="Times New Roman"/>
          <w:color w:val="000000"/>
          <w:szCs w:val="24"/>
          <w:lang w:val="sr-Cyrl-RS"/>
        </w:rPr>
        <w:t>7</w:t>
      </w:r>
      <w:r w:rsidRPr="00FE114A">
        <w:rPr>
          <w:rFonts w:eastAsia="Times New Roman" w:cs="Times New Roman"/>
          <w:color w:val="000000"/>
          <w:szCs w:val="24"/>
          <w:lang w:val="sr-Cyrl-RS"/>
        </w:rPr>
        <w:t>% мг</w:t>
      </w:r>
      <w:r w:rsidRPr="00A6164C">
        <w:rPr>
          <w:rFonts w:eastAsia="Times New Roman" w:cs="Times New Roman"/>
          <w:color w:val="000000"/>
          <w:szCs w:val="24"/>
          <w:lang w:val="sr-Cyrl-RS"/>
        </w:rPr>
        <w:t xml:space="preserve">, док је увоз </w:t>
      </w:r>
      <w:r>
        <w:rPr>
          <w:rFonts w:eastAsia="Times New Roman" w:cs="Times New Roman"/>
          <w:color w:val="000000"/>
          <w:szCs w:val="24"/>
          <w:lang w:val="sr-Cyrl-RS"/>
        </w:rPr>
        <w:t>опао за</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3,8</w:t>
      </w:r>
      <w:r w:rsidRPr="00A6164C">
        <w:rPr>
          <w:rFonts w:eastAsia="Times New Roman" w:cs="Times New Roman"/>
          <w:color w:val="000000"/>
          <w:szCs w:val="24"/>
          <w:lang w:val="sr-Cyrl-RS"/>
        </w:rPr>
        <w:t>% (</w:t>
      </w:r>
      <w:r>
        <w:rPr>
          <w:rFonts w:eastAsia="Times New Roman" w:cs="Times New Roman"/>
          <w:color w:val="000000"/>
          <w:szCs w:val="24"/>
          <w:lang w:val="sr-Cyrl-RS"/>
        </w:rPr>
        <w:t>23</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милијарде евра</w:t>
      </w:r>
      <w:r w:rsidRPr="00A6164C">
        <w:rPr>
          <w:rFonts w:eastAsia="Times New Roman" w:cs="Times New Roman"/>
          <w:color w:val="000000"/>
          <w:szCs w:val="24"/>
          <w:lang w:val="sr-Cyrl-RS"/>
        </w:rPr>
        <w:t xml:space="preserve">). </w:t>
      </w:r>
      <w:r w:rsidRPr="00B3777B">
        <w:rPr>
          <w:rFonts w:eastAsia="Times New Roman" w:cs="Times New Roman"/>
          <w:bCs/>
          <w:color w:val="000000"/>
          <w:szCs w:val="24"/>
          <w:lang w:val="sr-Cyrl-RS"/>
        </w:rPr>
        <w:t>Пад спољнотрговинске робне размене Србије прати и смањење спољнотрговинског дефицита</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5,9</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милијарди евра</w:t>
      </w:r>
      <w:r w:rsidRPr="00A6164C">
        <w:rPr>
          <w:rFonts w:eastAsia="Times New Roman" w:cs="Times New Roman"/>
          <w:color w:val="000000"/>
          <w:szCs w:val="24"/>
          <w:lang w:val="sr-Cyrl-RS"/>
        </w:rPr>
        <w:t xml:space="preserve">) за </w:t>
      </w:r>
      <w:r>
        <w:rPr>
          <w:rFonts w:eastAsia="Times New Roman" w:cs="Times New Roman"/>
          <w:color w:val="000000"/>
          <w:szCs w:val="24"/>
          <w:lang w:val="sr-Cyrl-RS"/>
        </w:rPr>
        <w:t>6,9</w:t>
      </w:r>
      <w:r w:rsidRPr="00A6164C">
        <w:rPr>
          <w:rFonts w:eastAsia="Times New Roman" w:cs="Times New Roman"/>
          <w:color w:val="000000"/>
          <w:szCs w:val="24"/>
          <w:lang w:val="sr-Cyrl-RS"/>
        </w:rPr>
        <w:t>% мг, а извозом је покривено 7</w:t>
      </w:r>
      <w:r>
        <w:rPr>
          <w:rFonts w:eastAsia="Times New Roman" w:cs="Times New Roman"/>
          <w:color w:val="000000"/>
          <w:szCs w:val="24"/>
          <w:lang w:val="sr-Latn-RS"/>
        </w:rPr>
        <w:t>4,</w:t>
      </w:r>
      <w:r>
        <w:rPr>
          <w:rFonts w:eastAsia="Times New Roman" w:cs="Times New Roman"/>
          <w:color w:val="000000"/>
          <w:szCs w:val="24"/>
          <w:lang w:val="sr-Cyrl-RS"/>
        </w:rPr>
        <w:t>3</w:t>
      </w:r>
      <w:r w:rsidRPr="00A6164C">
        <w:rPr>
          <w:rFonts w:eastAsia="Times New Roman" w:cs="Times New Roman"/>
          <w:color w:val="000000"/>
          <w:szCs w:val="24"/>
          <w:lang w:val="sr-Cyrl-RS"/>
        </w:rPr>
        <w:t>% увоза у 20</w:t>
      </w:r>
      <w:r>
        <w:rPr>
          <w:rFonts w:eastAsia="Times New Roman" w:cs="Times New Roman"/>
          <w:color w:val="000000"/>
          <w:szCs w:val="24"/>
          <w:lang w:val="sr-Latn-RS"/>
        </w:rPr>
        <w:t>20</w:t>
      </w:r>
      <w:r w:rsidRPr="00A6164C">
        <w:rPr>
          <w:rFonts w:eastAsia="Times New Roman" w:cs="Times New Roman"/>
          <w:color w:val="000000"/>
          <w:szCs w:val="24"/>
          <w:lang w:val="sr-Cyrl-RS"/>
        </w:rPr>
        <w:t>. години</w:t>
      </w:r>
      <w:r>
        <w:rPr>
          <w:rFonts w:eastAsia="Times New Roman" w:cs="Times New Roman"/>
          <w:color w:val="000000"/>
          <w:szCs w:val="24"/>
        </w:rPr>
        <w:t xml:space="preserve">, </w:t>
      </w:r>
      <w:r w:rsidRPr="00344A3F">
        <w:rPr>
          <w:rFonts w:eastAsia="Times New Roman" w:cs="Times New Roman"/>
          <w:color w:val="000000"/>
          <w:szCs w:val="24"/>
          <w:lang w:val="sr-Cyrl-RS"/>
        </w:rPr>
        <w:t>што је</w:t>
      </w:r>
      <w:r>
        <w:rPr>
          <w:rFonts w:eastAsia="Times New Roman" w:cs="Times New Roman"/>
          <w:color w:val="000000"/>
          <w:szCs w:val="24"/>
        </w:rPr>
        <w:t xml:space="preserve"> </w:t>
      </w:r>
      <w:r>
        <w:rPr>
          <w:rFonts w:eastAsia="Times New Roman" w:cs="Times New Roman"/>
          <w:color w:val="000000"/>
          <w:szCs w:val="24"/>
          <w:lang w:val="sr-Cyrl-RS"/>
        </w:rPr>
        <w:t>на нивоу претходне године (</w:t>
      </w:r>
      <w:r>
        <w:rPr>
          <w:rFonts w:eastAsia="Times New Roman" w:cs="Times New Roman"/>
          <w:color w:val="000000"/>
          <w:szCs w:val="24"/>
          <w:lang w:val="sr-Latn-RS"/>
        </w:rPr>
        <w:t>73,4%</w:t>
      </w:r>
      <w:r>
        <w:rPr>
          <w:rFonts w:eastAsia="Times New Roman" w:cs="Times New Roman"/>
          <w:color w:val="000000"/>
          <w:szCs w:val="24"/>
          <w:lang w:val="sr-Cyrl-RS"/>
        </w:rPr>
        <w:t xml:space="preserve">). </w:t>
      </w:r>
      <w:r w:rsidRPr="00B046BB">
        <w:rPr>
          <w:rFonts w:eastAsia="Times New Roman" w:cs="Times New Roman"/>
          <w:color w:val="000000"/>
          <w:szCs w:val="24"/>
          <w:lang w:val="sr-Cyrl-RS"/>
        </w:rPr>
        <w:t>Широка дисперзивност извоза обезбеђена је диверсификацијом СДИ у велики број сектора који производе разменљива добра.</w:t>
      </w:r>
      <w:r w:rsidRPr="00B046BB">
        <w:rPr>
          <w:rFonts w:eastAsia="Times New Roman"/>
          <w:color w:val="000000"/>
          <w:szCs w:val="24"/>
          <w:lang w:val="sr-Cyrl-RS"/>
        </w:rPr>
        <w:t xml:space="preserve"> </w:t>
      </w:r>
      <w:r>
        <w:rPr>
          <w:rFonts w:eastAsia="Times New Roman"/>
          <w:color w:val="000000"/>
          <w:szCs w:val="24"/>
          <w:lang w:val="sr-Cyrl-RS"/>
        </w:rPr>
        <w:t xml:space="preserve">На опоравак </w:t>
      </w:r>
      <w:r w:rsidRPr="00B046BB">
        <w:rPr>
          <w:rFonts w:eastAsia="Times New Roman"/>
          <w:color w:val="000000"/>
          <w:szCs w:val="24"/>
          <w:lang w:val="sr-Cyrl-RS"/>
        </w:rPr>
        <w:t xml:space="preserve">спољнотрговинске размене </w:t>
      </w:r>
      <w:r>
        <w:rPr>
          <w:rFonts w:eastAsia="Times New Roman"/>
          <w:color w:val="000000"/>
          <w:szCs w:val="24"/>
          <w:lang w:val="sr-Cyrl-RS"/>
        </w:rPr>
        <w:t xml:space="preserve">указују већи </w:t>
      </w:r>
      <w:r w:rsidRPr="00B046BB">
        <w:rPr>
          <w:rFonts w:eastAsia="Times New Roman"/>
          <w:color w:val="000000"/>
          <w:szCs w:val="24"/>
          <w:lang w:val="sr-Cyrl-RS"/>
        </w:rPr>
        <w:t xml:space="preserve">извоз Србије </w:t>
      </w:r>
      <w:r>
        <w:rPr>
          <w:rFonts w:eastAsia="Times New Roman"/>
          <w:color w:val="000000"/>
          <w:szCs w:val="24"/>
          <w:lang w:val="sr-Cyrl-RS"/>
        </w:rPr>
        <w:t>за</w:t>
      </w:r>
      <w:r w:rsidRPr="00B046BB">
        <w:rPr>
          <w:rFonts w:eastAsia="Times New Roman"/>
          <w:color w:val="000000"/>
          <w:szCs w:val="24"/>
          <w:lang w:val="sr-Cyrl-RS"/>
        </w:rPr>
        <w:t xml:space="preserve"> </w:t>
      </w:r>
      <w:r>
        <w:rPr>
          <w:rFonts w:eastAsia="Times New Roman"/>
          <w:color w:val="000000"/>
          <w:szCs w:val="24"/>
          <w:lang w:val="sr-Cyrl-RS"/>
        </w:rPr>
        <w:t>1</w:t>
      </w:r>
      <w:r w:rsidRPr="00FE114A">
        <w:rPr>
          <w:rFonts w:eastAsia="Times New Roman"/>
          <w:color w:val="000000"/>
          <w:szCs w:val="24"/>
          <w:lang w:val="sr-Cyrl-RS"/>
        </w:rPr>
        <w:t>8,</w:t>
      </w:r>
      <w:r>
        <w:rPr>
          <w:rFonts w:eastAsia="Times New Roman"/>
          <w:color w:val="000000"/>
          <w:szCs w:val="24"/>
          <w:lang w:val="sr-Cyrl-RS"/>
        </w:rPr>
        <w:t>9</w:t>
      </w:r>
      <w:r w:rsidRPr="00B046BB">
        <w:rPr>
          <w:rFonts w:eastAsia="Times New Roman"/>
          <w:color w:val="000000"/>
          <w:szCs w:val="24"/>
          <w:lang w:val="sr-Cyrl-RS"/>
        </w:rPr>
        <w:t xml:space="preserve">% </w:t>
      </w:r>
      <w:r>
        <w:rPr>
          <w:rFonts w:eastAsia="Times New Roman"/>
          <w:color w:val="000000"/>
          <w:szCs w:val="24"/>
          <w:lang w:val="sr-Cyrl-RS"/>
        </w:rPr>
        <w:t xml:space="preserve">мг и </w:t>
      </w:r>
      <w:r>
        <w:rPr>
          <w:rFonts w:eastAsia="Times New Roman"/>
          <w:color w:val="000000"/>
          <w:szCs w:val="24"/>
          <w:lang w:val="sr-Cyrl-RS"/>
        </w:rPr>
        <w:lastRenderedPageBreak/>
        <w:t xml:space="preserve">увоз за 15,8% мг </w:t>
      </w:r>
      <w:r w:rsidRPr="00B046BB">
        <w:rPr>
          <w:rFonts w:eastAsia="Times New Roman"/>
          <w:color w:val="000000"/>
          <w:szCs w:val="24"/>
          <w:lang w:val="sr-Cyrl-RS"/>
        </w:rPr>
        <w:t xml:space="preserve"> </w:t>
      </w:r>
      <w:r>
        <w:rPr>
          <w:rFonts w:eastAsia="Times New Roman"/>
          <w:color w:val="000000"/>
          <w:szCs w:val="24"/>
          <w:lang w:val="sr-Cyrl-RS"/>
        </w:rPr>
        <w:t xml:space="preserve">током осам </w:t>
      </w:r>
      <w:r w:rsidRPr="00B046BB">
        <w:rPr>
          <w:rFonts w:eastAsia="Times New Roman"/>
          <w:color w:val="000000"/>
          <w:szCs w:val="24"/>
          <w:lang w:val="sr-Cyrl-RS"/>
        </w:rPr>
        <w:t xml:space="preserve">месеци 2021. </w:t>
      </w:r>
      <w:r w:rsidRPr="00C64502">
        <w:rPr>
          <w:rFonts w:eastAsia="Times New Roman"/>
          <w:szCs w:val="24"/>
          <w:lang w:val="sr-Cyrl-RS"/>
        </w:rPr>
        <w:t>(</w:t>
      </w:r>
      <w:r>
        <w:rPr>
          <w:rFonts w:eastAsia="Times New Roman"/>
          <w:szCs w:val="24"/>
          <w:lang w:val="sr-Cyrl-RS"/>
        </w:rPr>
        <w:t>13,7</w:t>
      </w:r>
      <w:r w:rsidRPr="00C64502">
        <w:rPr>
          <w:rFonts w:eastAsia="Times New Roman"/>
          <w:szCs w:val="24"/>
          <w:lang w:val="sr-Cyrl-RS"/>
        </w:rPr>
        <w:t xml:space="preserve"> </w:t>
      </w:r>
      <w:r>
        <w:rPr>
          <w:rFonts w:eastAsia="Times New Roman" w:cs="Times New Roman"/>
          <w:szCs w:val="24"/>
          <w:lang w:val="sr-Cyrl-RS"/>
        </w:rPr>
        <w:t>милијарди евра</w:t>
      </w:r>
      <w:r w:rsidRPr="00C64502">
        <w:rPr>
          <w:rFonts w:eastAsia="Times New Roman" w:cs="Times New Roman"/>
          <w:szCs w:val="24"/>
          <w:lang w:val="sr-Cyrl-RS"/>
        </w:rPr>
        <w:t xml:space="preserve"> и </w:t>
      </w:r>
      <w:r>
        <w:rPr>
          <w:rFonts w:eastAsia="Times New Roman" w:cs="Times New Roman"/>
          <w:szCs w:val="24"/>
          <w:lang w:val="sr-Cyrl-RS"/>
        </w:rPr>
        <w:t>17,9</w:t>
      </w:r>
      <w:r w:rsidRPr="00C64502">
        <w:rPr>
          <w:rFonts w:eastAsia="Times New Roman" w:cs="Times New Roman"/>
          <w:szCs w:val="24"/>
          <w:lang w:val="sr-Cyrl-RS"/>
        </w:rPr>
        <w:t xml:space="preserve"> </w:t>
      </w:r>
      <w:r>
        <w:rPr>
          <w:rFonts w:eastAsia="Times New Roman" w:cs="Times New Roman"/>
          <w:szCs w:val="24"/>
          <w:lang w:val="sr-Cyrl-RS"/>
        </w:rPr>
        <w:t>милијарди евра</w:t>
      </w:r>
      <w:r w:rsidRPr="00C64502">
        <w:rPr>
          <w:rFonts w:eastAsia="Times New Roman" w:cs="Times New Roman"/>
          <w:szCs w:val="24"/>
          <w:lang w:val="sr-Cyrl-RS"/>
        </w:rPr>
        <w:t>, респективно)</w:t>
      </w:r>
      <w:r w:rsidRPr="00C64502">
        <w:rPr>
          <w:rFonts w:eastAsia="Times New Roman"/>
          <w:szCs w:val="24"/>
          <w:lang w:val="sr-Cyrl-RS"/>
        </w:rPr>
        <w:t>, у односу на исти период 2019. пре проглашења пандемије.</w:t>
      </w:r>
    </w:p>
    <w:p w14:paraId="2AE60652" w14:textId="77777777" w:rsidR="00DC7F92" w:rsidRPr="00C749A8" w:rsidRDefault="00DC7F92" w:rsidP="003F1FDD">
      <w:pPr>
        <w:spacing w:after="60"/>
        <w:rPr>
          <w:rFonts w:eastAsia="Times New Roman" w:cs="Times New Roman"/>
          <w:szCs w:val="24"/>
          <w:lang w:val="sr-Cyrl-RS"/>
        </w:rPr>
      </w:pPr>
      <w:r w:rsidRPr="00A6164C">
        <w:rPr>
          <w:rFonts w:eastAsia="Times New Roman" w:cs="Times New Roman"/>
          <w:b/>
          <w:szCs w:val="24"/>
          <w:lang w:val="sr-Cyrl-RS"/>
        </w:rPr>
        <w:t xml:space="preserve">Дефицит текућег рачуна </w:t>
      </w:r>
      <w:r>
        <w:rPr>
          <w:rFonts w:eastAsia="Times New Roman" w:cs="Times New Roman"/>
          <w:b/>
          <w:szCs w:val="24"/>
          <w:lang w:val="sr-Cyrl-RS"/>
        </w:rPr>
        <w:t>износио је 4,1% БДП у</w:t>
      </w:r>
      <w:r w:rsidRPr="00A6164C">
        <w:rPr>
          <w:rFonts w:eastAsia="Times New Roman" w:cs="Times New Roman"/>
          <w:b/>
          <w:szCs w:val="24"/>
          <w:lang w:val="sr-Cyrl-RS"/>
        </w:rPr>
        <w:t xml:space="preserve"> </w:t>
      </w:r>
      <w:r>
        <w:rPr>
          <w:rFonts w:eastAsia="Times New Roman" w:cs="Times New Roman"/>
          <w:b/>
          <w:szCs w:val="24"/>
          <w:lang w:val="sr-Cyrl-RS"/>
        </w:rPr>
        <w:t>2020</w:t>
      </w:r>
      <w:r w:rsidRPr="00A6164C">
        <w:rPr>
          <w:rFonts w:eastAsia="Times New Roman" w:cs="Times New Roman"/>
          <w:b/>
          <w:szCs w:val="24"/>
          <w:lang w:val="sr-Cyrl-RS"/>
        </w:rPr>
        <w:t xml:space="preserve">. </w:t>
      </w:r>
      <w:r>
        <w:rPr>
          <w:rFonts w:eastAsia="Times New Roman" w:cs="Times New Roman"/>
          <w:b/>
          <w:szCs w:val="24"/>
          <w:lang w:val="sr-Cyrl-RS"/>
        </w:rPr>
        <w:t>и нижи је за</w:t>
      </w:r>
      <w:r w:rsidRPr="00A6164C">
        <w:rPr>
          <w:rFonts w:eastAsia="Times New Roman" w:cs="Times New Roman"/>
          <w:b/>
          <w:szCs w:val="24"/>
          <w:lang w:val="sr-Cyrl-RS"/>
        </w:rPr>
        <w:t xml:space="preserve"> </w:t>
      </w:r>
      <w:r>
        <w:rPr>
          <w:rFonts w:eastAsia="Times New Roman" w:cs="Times New Roman"/>
          <w:b/>
          <w:szCs w:val="24"/>
          <w:lang w:val="sr-Cyrl-RS"/>
        </w:rPr>
        <w:t>39</w:t>
      </w:r>
      <w:r w:rsidRPr="00A6164C">
        <w:rPr>
          <w:rFonts w:eastAsia="Times New Roman" w:cs="Times New Roman"/>
          <w:b/>
          <w:szCs w:val="24"/>
          <w:lang w:val="sr-Cyrl-RS"/>
        </w:rPr>
        <w:t xml:space="preserve">% </w:t>
      </w:r>
      <w:r>
        <w:rPr>
          <w:rFonts w:eastAsia="Times New Roman" w:cs="Times New Roman"/>
          <w:szCs w:val="24"/>
          <w:lang w:val="sr-Cyrl-RS"/>
        </w:rPr>
        <w:t>мг</w:t>
      </w:r>
      <w:r w:rsidRPr="00A6164C">
        <w:rPr>
          <w:rFonts w:eastAsia="Times New Roman" w:cs="Times New Roman"/>
          <w:szCs w:val="24"/>
          <w:lang w:val="sr-Cyrl-RS"/>
        </w:rPr>
        <w:t xml:space="preserve"> највише </w:t>
      </w:r>
      <w:r w:rsidRPr="00C749A8">
        <w:rPr>
          <w:rFonts w:eastAsia="Times New Roman" w:cs="Times New Roman"/>
          <w:szCs w:val="24"/>
          <w:lang w:val="sr-Cyrl-RS"/>
        </w:rPr>
        <w:t>због смањења дефицита робне размене за 7,5% и повећања суфицита од 8,9% на рачунима услуга, као и због смањења дефицита примарног дохотка за 42,5</w:t>
      </w:r>
      <w:r w:rsidRPr="00C749A8">
        <w:rPr>
          <w:rFonts w:eastAsia="Times New Roman" w:cs="Times New Roman"/>
          <w:szCs w:val="24"/>
          <w:lang w:val="sr-Latn-RS"/>
        </w:rPr>
        <w:t>%</w:t>
      </w:r>
      <w:r w:rsidRPr="00C749A8">
        <w:rPr>
          <w:rFonts w:eastAsia="Times New Roman" w:cs="Times New Roman"/>
          <w:szCs w:val="24"/>
          <w:lang w:val="sr-Cyrl-RS"/>
        </w:rPr>
        <w:t>. Текући дефицит је у пуној мери био покривен нето приливом СДИ (3 милијарде евра).</w:t>
      </w:r>
    </w:p>
    <w:p w14:paraId="558D4F4E" w14:textId="77777777" w:rsidR="00DC7F92" w:rsidRPr="00C749A8" w:rsidRDefault="00DC7F92" w:rsidP="003F1FDD">
      <w:pPr>
        <w:widowControl w:val="0"/>
        <w:spacing w:after="60"/>
        <w:rPr>
          <w:rFonts w:eastAsia="Times New Roman"/>
          <w:szCs w:val="24"/>
          <w:lang w:val="sr-Cyrl-RS"/>
        </w:rPr>
      </w:pPr>
      <w:r w:rsidRPr="00C749A8">
        <w:rPr>
          <w:rFonts w:eastAsia="Times New Roman" w:cs="Times New Roman"/>
          <w:b/>
          <w:bCs/>
          <w:color w:val="000000"/>
          <w:szCs w:val="24"/>
          <w:lang w:val="sr-Cyrl-RS"/>
        </w:rPr>
        <w:t xml:space="preserve">Најважнији спољнотрговински </w:t>
      </w:r>
      <w:r w:rsidRPr="00C749A8">
        <w:rPr>
          <w:rFonts w:eastAsia="Times New Roman" w:cs="Times New Roman"/>
          <w:b/>
          <w:bCs/>
          <w:szCs w:val="24"/>
          <w:lang w:val="sr-Cyrl-RS"/>
        </w:rPr>
        <w:t xml:space="preserve">партнери Србије су они са којима Србија има потписане споразуме о слободној трговини </w:t>
      </w:r>
      <w:r w:rsidRPr="00C749A8">
        <w:rPr>
          <w:rFonts w:eastAsia="Times New Roman" w:cs="Times New Roman"/>
          <w:szCs w:val="24"/>
          <w:lang w:val="sr-Cyrl-RS"/>
        </w:rPr>
        <w:t>(ЕУ-27, ЦЕФТА, ЕФТА, Турска, Русија, Белорусија и Казахстан)</w:t>
      </w:r>
      <w:r w:rsidRPr="00C749A8">
        <w:rPr>
          <w:rFonts w:eastAsia="Times New Roman" w:cs="Times New Roman"/>
          <w:b/>
          <w:bCs/>
          <w:szCs w:val="24"/>
          <w:lang w:val="sr-Cyrl-RS"/>
        </w:rPr>
        <w:t xml:space="preserve">. </w:t>
      </w:r>
      <w:r w:rsidRPr="00C749A8">
        <w:rPr>
          <w:rFonts w:eastAsia="Times New Roman" w:cs="Times New Roman"/>
          <w:szCs w:val="24"/>
          <w:lang w:val="sr-Cyrl-RS"/>
        </w:rPr>
        <w:t xml:space="preserve">Применом </w:t>
      </w:r>
      <w:r w:rsidRPr="00C749A8">
        <w:rPr>
          <w:rFonts w:eastAsia="Times New Roman" w:cs="Times New Roman"/>
          <w:bCs/>
          <w:szCs w:val="24"/>
          <w:lang w:val="sr-Cyrl-RS"/>
        </w:rPr>
        <w:t>ових споразума достигнут је висок степен либерализације спољне трговине Србије</w:t>
      </w:r>
      <w:r w:rsidRPr="00C749A8">
        <w:rPr>
          <w:rFonts w:eastAsia="Times New Roman" w:cs="Times New Roman"/>
          <w:szCs w:val="24"/>
          <w:lang w:val="sr-Cyrl-RS"/>
        </w:rPr>
        <w:t xml:space="preserve">, тако да се у 2020. години око 81% укупне размене Србије са светом обављало са партнерима са којима су потписани споразуми о слободној трговини, а скоро 90% извоза Србије се пласира управо на ова тржишта. </w:t>
      </w:r>
      <w:r w:rsidRPr="00C749A8">
        <w:rPr>
          <w:rFonts w:eastAsia="Times New Roman"/>
          <w:szCs w:val="24"/>
          <w:lang w:val="sr-Cyrl-RS"/>
        </w:rPr>
        <w:t xml:space="preserve">У првих 8 месеци 2021. ова учешћа су врло слична, </w:t>
      </w:r>
      <w:r w:rsidRPr="00C749A8">
        <w:rPr>
          <w:rFonts w:eastAsia="Times New Roman"/>
          <w:szCs w:val="24"/>
        </w:rPr>
        <w:t>80,3</w:t>
      </w:r>
      <w:r w:rsidRPr="00C749A8">
        <w:rPr>
          <w:rFonts w:eastAsia="Times New Roman"/>
          <w:szCs w:val="24"/>
          <w:lang w:val="sr-Cyrl-RS"/>
        </w:rPr>
        <w:t xml:space="preserve">% укупне размене Србије била је размена са партнерима са којима су потписани споразуми о слободној трговини, односно </w:t>
      </w:r>
      <w:r w:rsidRPr="00C749A8">
        <w:rPr>
          <w:rFonts w:eastAsia="Times New Roman"/>
          <w:szCs w:val="24"/>
        </w:rPr>
        <w:t>88</w:t>
      </w:r>
      <w:r w:rsidRPr="00C749A8">
        <w:rPr>
          <w:rFonts w:eastAsia="Times New Roman"/>
          <w:szCs w:val="24"/>
          <w:lang w:val="sr-Cyrl-RS"/>
        </w:rPr>
        <w:t>% укупног извоза Србије пласирано је на та тржишта.</w:t>
      </w:r>
    </w:p>
    <w:p w14:paraId="2928432C" w14:textId="77777777" w:rsidR="00DC7F92" w:rsidRDefault="00DC7F92" w:rsidP="003F1FDD">
      <w:pPr>
        <w:widowControl w:val="0"/>
        <w:spacing w:after="60"/>
        <w:rPr>
          <w:rFonts w:eastAsia="Times New Roman"/>
          <w:szCs w:val="24"/>
          <w:lang w:val="sr-Cyrl-RS"/>
        </w:rPr>
      </w:pPr>
      <w:r w:rsidRPr="00C749A8">
        <w:rPr>
          <w:rFonts w:eastAsia="Times New Roman"/>
          <w:szCs w:val="24"/>
          <w:lang w:val="sr-Cyrl-RS"/>
        </w:rPr>
        <w:t>У октобру 2019. године, Србија је потписала још један споразум</w:t>
      </w:r>
      <w:r w:rsidRPr="00973E66">
        <w:rPr>
          <w:rFonts w:eastAsia="Times New Roman"/>
          <w:szCs w:val="24"/>
          <w:lang w:val="sr-Cyrl-RS"/>
        </w:rPr>
        <w:t xml:space="preserve"> о слободној трговини и то са чланицама Евроазијске економске уније коју чине Русија, Белорусија, Казахстан, Јерменија и Киргистан. Крајем јуна 2021. споразум је ступио на снагу, а омогућиће пласирање производа из Србије на тржиште које има преко 180 милиона људи.  </w:t>
      </w:r>
    </w:p>
    <w:p w14:paraId="08A5AEAD" w14:textId="20AA3BEA" w:rsidR="00DC7F92" w:rsidRPr="00A6164C" w:rsidRDefault="00DC7F92" w:rsidP="003F1FDD">
      <w:pPr>
        <w:widowControl w:val="0"/>
        <w:spacing w:after="60"/>
        <w:rPr>
          <w:rFonts w:eastAsia="Times New Roman"/>
          <w:szCs w:val="24"/>
          <w:lang w:val="sr-Cyrl-RS"/>
        </w:rPr>
      </w:pPr>
      <w:r w:rsidRPr="00C74F48">
        <w:rPr>
          <w:rFonts w:eastAsia="Times New Roman"/>
          <w:szCs w:val="24"/>
          <w:lang w:val="sr-Cyrl-RS"/>
        </w:rPr>
        <w:t xml:space="preserve">Са циљем да се обезбеди нови правни оквир за регулисање укупних билатералних односа са Уједињеним </w:t>
      </w:r>
      <w:r w:rsidR="009078BB">
        <w:rPr>
          <w:rFonts w:eastAsia="Times New Roman"/>
          <w:szCs w:val="24"/>
          <w:lang w:val="sr-Cyrl-RS"/>
        </w:rPr>
        <w:t>К</w:t>
      </w:r>
      <w:r w:rsidRPr="00C74F48">
        <w:rPr>
          <w:rFonts w:eastAsia="Times New Roman"/>
          <w:szCs w:val="24"/>
          <w:lang w:val="sr-Cyrl-RS"/>
        </w:rPr>
        <w:t xml:space="preserve">раљевством након њиховог </w:t>
      </w:r>
      <w:r>
        <w:rPr>
          <w:rFonts w:eastAsia="Times New Roman"/>
          <w:szCs w:val="24"/>
          <w:lang w:val="sr-Cyrl-RS"/>
        </w:rPr>
        <w:t>иступања из ЕУ, у априлу 2021. године</w:t>
      </w:r>
      <w:r w:rsidRPr="00C74F48">
        <w:rPr>
          <w:rFonts w:eastAsia="Times New Roman"/>
          <w:szCs w:val="24"/>
          <w:lang w:val="sr-Cyrl-RS"/>
        </w:rPr>
        <w:t xml:space="preserve"> потписан је Споразум о партнерству, трговини и сарадњи између Владе Републике Србије и Владе Уједињеног Краљевства и Северне Ирске, као и пратеће заједничке декларације. Привремена примена овог Споразума и заједничких декларација, до њиховог ступања на снагу, почела је 20. маја ове године. Уједињено Краљевство је окончало процедуру ратификације 24. јуна </w:t>
      </w:r>
      <w:r w:rsidR="009078BB">
        <w:rPr>
          <w:rFonts w:eastAsia="Times New Roman"/>
          <w:szCs w:val="24"/>
          <w:lang w:val="sr-Cyrl-RS"/>
        </w:rPr>
        <w:t>2021</w:t>
      </w:r>
      <w:r w:rsidRPr="00C74F48">
        <w:rPr>
          <w:rFonts w:eastAsia="Times New Roman"/>
          <w:szCs w:val="24"/>
          <w:lang w:val="sr-Cyrl-RS"/>
        </w:rPr>
        <w:t xml:space="preserve">, а наша страна је ратификовала Споразум и заједничке декларације 6. јула </w:t>
      </w:r>
      <w:r w:rsidR="009927D3">
        <w:rPr>
          <w:rFonts w:eastAsia="Times New Roman"/>
          <w:szCs w:val="24"/>
          <w:lang w:val="sr-Cyrl-RS"/>
        </w:rPr>
        <w:t>2021.</w:t>
      </w:r>
      <w:r w:rsidRPr="00C74F48">
        <w:rPr>
          <w:rFonts w:eastAsia="Times New Roman"/>
          <w:szCs w:val="24"/>
          <w:lang w:val="sr-Cyrl-RS"/>
        </w:rPr>
        <w:t xml:space="preserve"> („</w:t>
      </w:r>
      <w:r>
        <w:rPr>
          <w:rFonts w:eastAsia="Times New Roman"/>
          <w:szCs w:val="24"/>
          <w:lang w:val="sr-Cyrl-RS"/>
        </w:rPr>
        <w:t>Службени гласник РС</w:t>
      </w:r>
      <w:r w:rsidRPr="00C74F48">
        <w:rPr>
          <w:rFonts w:eastAsia="Times New Roman"/>
          <w:szCs w:val="24"/>
          <w:lang w:val="sr-Cyrl-RS"/>
        </w:rPr>
        <w:t>-Међународни уговори“</w:t>
      </w:r>
      <w:r>
        <w:rPr>
          <w:rFonts w:eastAsia="Times New Roman"/>
          <w:szCs w:val="24"/>
          <w:lang w:val="sr-Cyrl-RS"/>
        </w:rPr>
        <w:t>,</w:t>
      </w:r>
      <w:r w:rsidRPr="00C74F48">
        <w:rPr>
          <w:rFonts w:eastAsia="Times New Roman"/>
          <w:szCs w:val="24"/>
          <w:lang w:val="sr-Cyrl-RS"/>
        </w:rPr>
        <w:t xml:space="preserve"> бр.13/21).</w:t>
      </w:r>
    </w:p>
    <w:p w14:paraId="572AE575" w14:textId="77777777" w:rsidR="00DC7F92" w:rsidRDefault="00DC7F92" w:rsidP="003F1FDD">
      <w:pPr>
        <w:widowControl w:val="0"/>
        <w:spacing w:after="60"/>
        <w:rPr>
          <w:rFonts w:eastAsia="Times New Roman" w:cs="Times New Roman"/>
          <w:szCs w:val="24"/>
          <w:lang w:val="sr-Cyrl-RS"/>
        </w:rPr>
      </w:pPr>
      <w:r w:rsidRPr="00A6164C">
        <w:rPr>
          <w:rFonts w:eastAsia="Times New Roman" w:cs="Times New Roman"/>
          <w:b/>
          <w:color w:val="000000"/>
          <w:szCs w:val="24"/>
          <w:lang w:val="sr-Cyrl-RS"/>
        </w:rPr>
        <w:t>Са земљама чланицама ЕУ</w:t>
      </w:r>
      <w:r>
        <w:rPr>
          <w:rFonts w:eastAsia="Times New Roman" w:cs="Times New Roman"/>
          <w:b/>
          <w:color w:val="000000"/>
          <w:szCs w:val="24"/>
          <w:lang w:val="sr-Cyrl-RS"/>
        </w:rPr>
        <w:t>-27</w:t>
      </w:r>
      <w:r w:rsidRPr="00A6164C">
        <w:rPr>
          <w:rFonts w:eastAsia="Times New Roman" w:cs="Times New Roman"/>
          <w:b/>
          <w:color w:val="000000"/>
          <w:szCs w:val="24"/>
          <w:lang w:val="sr-Cyrl-RS"/>
        </w:rPr>
        <w:t xml:space="preserve"> одвијало се </w:t>
      </w:r>
      <w:r w:rsidRPr="00FE114A">
        <w:rPr>
          <w:rFonts w:eastAsia="Times New Roman" w:cs="Times New Roman"/>
          <w:b/>
          <w:color w:val="000000"/>
          <w:szCs w:val="24"/>
          <w:lang w:val="sr-Cyrl-RS"/>
        </w:rPr>
        <w:t>61</w:t>
      </w:r>
      <w:r>
        <w:rPr>
          <w:rFonts w:eastAsia="Times New Roman" w:cs="Times New Roman"/>
          <w:b/>
          <w:color w:val="000000"/>
          <w:szCs w:val="24"/>
        </w:rPr>
        <w:t>,4</w:t>
      </w:r>
      <w:r w:rsidRPr="00A6164C">
        <w:rPr>
          <w:rFonts w:eastAsia="Times New Roman" w:cs="Times New Roman"/>
          <w:b/>
          <w:color w:val="000000"/>
          <w:szCs w:val="24"/>
          <w:lang w:val="sr-Cyrl-RS"/>
        </w:rPr>
        <w:t>% укупне размене Србије у 20</w:t>
      </w:r>
      <w:r>
        <w:rPr>
          <w:rFonts w:eastAsia="Times New Roman" w:cs="Times New Roman"/>
          <w:b/>
          <w:color w:val="000000"/>
          <w:szCs w:val="24"/>
          <w:lang w:val="sr-Latn-RS"/>
        </w:rPr>
        <w:t>20</w:t>
      </w:r>
      <w:r w:rsidRPr="00A6164C">
        <w:rPr>
          <w:rFonts w:eastAsia="Times New Roman" w:cs="Times New Roman"/>
          <w:b/>
          <w:color w:val="000000"/>
          <w:szCs w:val="24"/>
          <w:lang w:val="sr-Cyrl-RS"/>
        </w:rPr>
        <w:t>. години</w:t>
      </w:r>
      <w:r w:rsidRPr="00A6164C">
        <w:rPr>
          <w:rFonts w:eastAsia="Times New Roman" w:cs="Times New Roman"/>
          <w:color w:val="000000"/>
          <w:szCs w:val="24"/>
          <w:lang w:val="sr-Cyrl-RS"/>
        </w:rPr>
        <w:t xml:space="preserve">. Извоз у ЕУ </w:t>
      </w:r>
      <w:r>
        <w:rPr>
          <w:rFonts w:eastAsia="Times New Roman" w:cs="Times New Roman"/>
          <w:color w:val="000000"/>
          <w:szCs w:val="24"/>
          <w:lang w:val="sr-Cyrl-RS"/>
        </w:rPr>
        <w:t>смањен је за 292</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милиона евра</w:t>
      </w:r>
      <w:r w:rsidRPr="00A6164C">
        <w:rPr>
          <w:rFonts w:eastAsia="Times New Roman" w:cs="Times New Roman"/>
          <w:color w:val="000000"/>
          <w:szCs w:val="24"/>
          <w:lang w:val="sr-Cyrl-RS"/>
        </w:rPr>
        <w:t xml:space="preserve"> у 20</w:t>
      </w:r>
      <w:r>
        <w:rPr>
          <w:rFonts w:eastAsia="Times New Roman" w:cs="Times New Roman"/>
          <w:color w:val="000000"/>
          <w:szCs w:val="24"/>
          <w:lang w:val="sr-Cyrl-RS"/>
        </w:rPr>
        <w:t>20</w:t>
      </w:r>
      <w:r w:rsidRPr="00A6164C">
        <w:rPr>
          <w:rFonts w:eastAsia="Times New Roman" w:cs="Times New Roman"/>
          <w:color w:val="000000"/>
          <w:szCs w:val="24"/>
          <w:lang w:val="sr-Cyrl-RS"/>
        </w:rPr>
        <w:t xml:space="preserve">. години </w:t>
      </w:r>
      <w:r>
        <w:rPr>
          <w:rFonts w:eastAsia="Times New Roman" w:cs="Times New Roman"/>
          <w:color w:val="000000"/>
          <w:szCs w:val="24"/>
          <w:lang w:val="sr-Cyrl-RS"/>
        </w:rPr>
        <w:t>или 2,6</w:t>
      </w:r>
      <w:r w:rsidRPr="00A6164C">
        <w:rPr>
          <w:rFonts w:eastAsia="Times New Roman" w:cs="Times New Roman"/>
          <w:color w:val="000000"/>
          <w:szCs w:val="24"/>
          <w:lang w:val="sr-Cyrl-RS"/>
        </w:rPr>
        <w:t>%</w:t>
      </w:r>
      <w:r>
        <w:rPr>
          <w:rFonts w:eastAsia="Times New Roman" w:cs="Times New Roman"/>
          <w:color w:val="000000"/>
          <w:szCs w:val="24"/>
          <w:lang w:val="sr-Cyrl-RS"/>
        </w:rPr>
        <w:t xml:space="preserve"> мг</w:t>
      </w:r>
      <w:r w:rsidRPr="00A6164C">
        <w:rPr>
          <w:rFonts w:eastAsia="Times New Roman" w:cs="Times New Roman"/>
          <w:color w:val="000000"/>
          <w:szCs w:val="24"/>
          <w:lang w:val="sr-Cyrl-RS"/>
        </w:rPr>
        <w:t>, уз п</w:t>
      </w:r>
      <w:r>
        <w:rPr>
          <w:rFonts w:eastAsia="Times New Roman" w:cs="Times New Roman"/>
          <w:color w:val="000000"/>
          <w:szCs w:val="24"/>
          <w:lang w:val="sr-Cyrl-RS"/>
        </w:rPr>
        <w:t>ораст</w:t>
      </w:r>
      <w:r w:rsidRPr="00A6164C">
        <w:rPr>
          <w:rFonts w:eastAsia="Times New Roman" w:cs="Times New Roman"/>
          <w:color w:val="000000"/>
          <w:szCs w:val="24"/>
          <w:lang w:val="sr-Cyrl-RS"/>
        </w:rPr>
        <w:t xml:space="preserve"> трговинског дефицита од </w:t>
      </w:r>
      <w:r>
        <w:rPr>
          <w:rFonts w:eastAsia="Times New Roman" w:cs="Times New Roman"/>
          <w:color w:val="000000"/>
          <w:szCs w:val="24"/>
          <w:lang w:val="sr-Cyrl-RS"/>
        </w:rPr>
        <w:t>5</w:t>
      </w:r>
      <w:r w:rsidRPr="00A6164C">
        <w:rPr>
          <w:rFonts w:eastAsia="Times New Roman" w:cs="Times New Roman"/>
          <w:color w:val="000000"/>
          <w:szCs w:val="24"/>
          <w:lang w:val="sr-Cyrl-RS"/>
        </w:rPr>
        <w:t xml:space="preserve">% мг. </w:t>
      </w:r>
      <w:r>
        <w:rPr>
          <w:rFonts w:eastAsia="Times New Roman" w:cs="Times New Roman"/>
          <w:color w:val="000000"/>
          <w:szCs w:val="24"/>
          <w:lang w:val="sr-Cyrl-RS"/>
        </w:rPr>
        <w:t>Током осам</w:t>
      </w:r>
      <w:r w:rsidRPr="00711F8A">
        <w:rPr>
          <w:rFonts w:eastAsia="Times New Roman" w:cs="Times New Roman"/>
          <w:color w:val="000000"/>
          <w:szCs w:val="24"/>
          <w:lang w:val="sr-Cyrl-RS"/>
        </w:rPr>
        <w:t xml:space="preserve"> месеци 2021</w:t>
      </w:r>
      <w:r>
        <w:rPr>
          <w:rFonts w:eastAsia="Times New Roman" w:cs="Times New Roman"/>
          <w:color w:val="000000"/>
          <w:szCs w:val="24"/>
          <w:lang w:val="sr-Cyrl-RS"/>
        </w:rPr>
        <w:t>. године, у</w:t>
      </w:r>
      <w:r w:rsidRPr="00711F8A">
        <w:rPr>
          <w:rFonts w:eastAsia="Times New Roman" w:cs="Times New Roman"/>
          <w:color w:val="000000"/>
          <w:szCs w:val="24"/>
          <w:lang w:val="sr-Cyrl-RS"/>
        </w:rPr>
        <w:t xml:space="preserve">чешће ЕУ у укупној размени Србије износи </w:t>
      </w:r>
      <w:r w:rsidRPr="00FE114A">
        <w:rPr>
          <w:rFonts w:eastAsia="Times New Roman" w:cs="Times New Roman"/>
          <w:color w:val="000000"/>
          <w:szCs w:val="24"/>
          <w:lang w:val="sr-Cyrl-RS"/>
        </w:rPr>
        <w:t>61,</w:t>
      </w:r>
      <w:r>
        <w:rPr>
          <w:rFonts w:eastAsia="Times New Roman" w:cs="Times New Roman"/>
          <w:color w:val="000000"/>
          <w:szCs w:val="24"/>
          <w:lang w:val="sr-Cyrl-RS"/>
        </w:rPr>
        <w:t>2</w:t>
      </w:r>
      <w:r w:rsidRPr="00FE114A">
        <w:rPr>
          <w:rFonts w:eastAsia="Times New Roman" w:cs="Times New Roman"/>
          <w:color w:val="000000"/>
          <w:szCs w:val="24"/>
          <w:lang w:val="sr-Cyrl-RS"/>
        </w:rPr>
        <w:t>%</w:t>
      </w:r>
      <w:r>
        <w:rPr>
          <w:rFonts w:eastAsia="Times New Roman" w:cs="Times New Roman"/>
          <w:color w:val="000000"/>
          <w:szCs w:val="24"/>
          <w:lang w:val="sr-Cyrl-RS"/>
        </w:rPr>
        <w:t xml:space="preserve"> </w:t>
      </w:r>
      <w:r w:rsidRPr="00711F8A">
        <w:rPr>
          <w:rFonts w:eastAsia="Times New Roman" w:cs="Times New Roman"/>
          <w:color w:val="000000"/>
          <w:szCs w:val="24"/>
          <w:lang w:val="sr-Cyrl-RS"/>
        </w:rPr>
        <w:t>(</w:t>
      </w:r>
      <w:r>
        <w:rPr>
          <w:rFonts w:eastAsia="Times New Roman" w:cs="Times New Roman"/>
          <w:color w:val="000000"/>
          <w:szCs w:val="24"/>
          <w:lang w:val="sr-Cyrl-RS"/>
        </w:rPr>
        <w:t>19,3 милијарде евра</w:t>
      </w:r>
      <w:r w:rsidRPr="00711F8A">
        <w:rPr>
          <w:rFonts w:eastAsia="Times New Roman" w:cs="Times New Roman"/>
          <w:color w:val="000000"/>
          <w:szCs w:val="24"/>
          <w:lang w:val="sr-Cyrl-RS"/>
        </w:rPr>
        <w:t>)</w:t>
      </w:r>
      <w:r>
        <w:rPr>
          <w:rFonts w:eastAsia="Times New Roman" w:cs="Times New Roman"/>
          <w:color w:val="000000"/>
          <w:szCs w:val="24"/>
          <w:lang w:val="sr-Cyrl-RS"/>
        </w:rPr>
        <w:t xml:space="preserve">, што је </w:t>
      </w:r>
      <w:r w:rsidRPr="00711F8A">
        <w:rPr>
          <w:rFonts w:eastAsia="Times New Roman" w:cs="Times New Roman"/>
          <w:color w:val="000000"/>
          <w:szCs w:val="24"/>
          <w:lang w:val="sr-Cyrl-RS"/>
        </w:rPr>
        <w:t xml:space="preserve">за </w:t>
      </w:r>
      <w:r>
        <w:rPr>
          <w:rFonts w:eastAsia="Times New Roman" w:cs="Times New Roman"/>
          <w:color w:val="000000"/>
          <w:szCs w:val="24"/>
          <w:lang w:val="sr-Cyrl-RS"/>
        </w:rPr>
        <w:t>27,2</w:t>
      </w:r>
      <w:r w:rsidRPr="00711F8A">
        <w:rPr>
          <w:rFonts w:eastAsia="Times New Roman" w:cs="Times New Roman"/>
          <w:color w:val="000000"/>
          <w:szCs w:val="24"/>
          <w:lang w:val="sr-Cyrl-RS"/>
        </w:rPr>
        <w:t xml:space="preserve">% </w:t>
      </w:r>
      <w:r>
        <w:rPr>
          <w:rFonts w:eastAsia="Times New Roman" w:cs="Times New Roman"/>
          <w:color w:val="000000"/>
          <w:szCs w:val="24"/>
          <w:lang w:val="sr-Cyrl-RS"/>
        </w:rPr>
        <w:t xml:space="preserve">више </w:t>
      </w:r>
      <w:r w:rsidRPr="00711F8A">
        <w:rPr>
          <w:rFonts w:eastAsia="Times New Roman" w:cs="Times New Roman"/>
          <w:color w:val="000000"/>
          <w:szCs w:val="24"/>
          <w:lang w:val="sr-Cyrl-RS"/>
        </w:rPr>
        <w:t>у односу на исти период 2020. године када су трговински токови били поремећени избијањем вируса Ковид-19</w:t>
      </w:r>
      <w:r>
        <w:rPr>
          <w:rFonts w:eastAsia="Times New Roman" w:cs="Times New Roman"/>
          <w:color w:val="000000"/>
          <w:szCs w:val="24"/>
          <w:lang w:val="sr-Cyrl-RS"/>
        </w:rPr>
        <w:t>. Због бржег раста извоза (31,4</w:t>
      </w:r>
      <w:r w:rsidRPr="00711F8A">
        <w:rPr>
          <w:rFonts w:eastAsia="Times New Roman" w:cs="Times New Roman"/>
          <w:color w:val="000000"/>
          <w:szCs w:val="24"/>
          <w:lang w:val="sr-Cyrl-RS"/>
        </w:rPr>
        <w:t>%</w:t>
      </w:r>
      <w:r>
        <w:rPr>
          <w:rFonts w:eastAsia="Times New Roman" w:cs="Times New Roman"/>
          <w:color w:val="000000"/>
          <w:szCs w:val="24"/>
          <w:lang w:val="sr-Cyrl-RS"/>
        </w:rPr>
        <w:t xml:space="preserve">) од </w:t>
      </w:r>
      <w:r w:rsidRPr="00711F8A">
        <w:rPr>
          <w:rFonts w:eastAsia="Times New Roman" w:cs="Times New Roman"/>
          <w:color w:val="000000"/>
          <w:szCs w:val="24"/>
          <w:lang w:val="sr-Cyrl-RS"/>
        </w:rPr>
        <w:t>увоза</w:t>
      </w:r>
      <w:r w:rsidRPr="00711F8A">
        <w:rPr>
          <w:rFonts w:eastAsia="Times New Roman" w:cs="Times New Roman"/>
          <w:color w:val="000000"/>
          <w:szCs w:val="24"/>
          <w:lang w:val="sr-Latn-RS"/>
        </w:rPr>
        <w:t xml:space="preserve"> </w:t>
      </w:r>
      <w:r>
        <w:rPr>
          <w:rFonts w:eastAsia="Times New Roman" w:cs="Times New Roman"/>
          <w:color w:val="000000"/>
          <w:szCs w:val="24"/>
          <w:lang w:val="sr-Cyrl-RS"/>
        </w:rPr>
        <w:t>(</w:t>
      </w:r>
      <w:r w:rsidRPr="00FE114A">
        <w:rPr>
          <w:rFonts w:eastAsia="Times New Roman" w:cs="Times New Roman"/>
          <w:color w:val="000000"/>
          <w:szCs w:val="24"/>
          <w:lang w:val="sr-Cyrl-RS"/>
        </w:rPr>
        <w:t>23,8</w:t>
      </w:r>
      <w:r w:rsidRPr="00711F8A">
        <w:rPr>
          <w:rFonts w:eastAsia="Times New Roman" w:cs="Times New Roman"/>
          <w:color w:val="000000"/>
          <w:szCs w:val="24"/>
          <w:lang w:val="sr-Cyrl-RS"/>
        </w:rPr>
        <w:t>%</w:t>
      </w:r>
      <w:r>
        <w:rPr>
          <w:rFonts w:eastAsia="Times New Roman" w:cs="Times New Roman"/>
          <w:color w:val="000000"/>
          <w:szCs w:val="24"/>
          <w:lang w:val="sr-Cyrl-RS"/>
        </w:rPr>
        <w:t>) у истом периоду је смањен т</w:t>
      </w:r>
      <w:r w:rsidRPr="00711F8A">
        <w:rPr>
          <w:rFonts w:eastAsia="Times New Roman" w:cs="Times New Roman"/>
          <w:color w:val="000000"/>
          <w:szCs w:val="24"/>
          <w:lang w:val="sr-Cyrl-RS"/>
        </w:rPr>
        <w:t xml:space="preserve">рговински дефицит у размени са ЕУ </w:t>
      </w:r>
      <w:r w:rsidRPr="00EA58B0">
        <w:rPr>
          <w:rFonts w:eastAsia="Times New Roman" w:cs="Times New Roman"/>
          <w:color w:val="000000"/>
          <w:szCs w:val="24"/>
          <w:lang w:val="sr-Cyrl-RS"/>
        </w:rPr>
        <w:t xml:space="preserve">за </w:t>
      </w:r>
      <w:r w:rsidRPr="00FE114A">
        <w:rPr>
          <w:rFonts w:eastAsia="Times New Roman" w:cs="Times New Roman"/>
          <w:color w:val="000000"/>
          <w:szCs w:val="24"/>
          <w:lang w:val="sr-Cyrl-RS"/>
        </w:rPr>
        <w:t>8,</w:t>
      </w:r>
      <w:r w:rsidRPr="00D17821">
        <w:rPr>
          <w:rFonts w:eastAsia="Times New Roman" w:cs="Times New Roman"/>
          <w:color w:val="000000"/>
          <w:szCs w:val="24"/>
          <w:lang w:val="sr-Cyrl-RS"/>
        </w:rPr>
        <w:t>3</w:t>
      </w:r>
      <w:r w:rsidRPr="00FE114A">
        <w:rPr>
          <w:rFonts w:eastAsia="Times New Roman" w:cs="Times New Roman"/>
          <w:color w:val="000000"/>
          <w:szCs w:val="24"/>
          <w:lang w:val="sr-Cyrl-RS"/>
        </w:rPr>
        <w:t>%</w:t>
      </w:r>
      <w:r>
        <w:rPr>
          <w:rFonts w:eastAsia="Times New Roman" w:cs="Times New Roman"/>
          <w:color w:val="000000"/>
          <w:szCs w:val="24"/>
          <w:lang w:val="sr-Cyrl-RS"/>
        </w:rPr>
        <w:t xml:space="preserve"> мг</w:t>
      </w:r>
      <w:r w:rsidRPr="00EA58B0">
        <w:rPr>
          <w:rFonts w:eastAsia="Times New Roman" w:cs="Times New Roman"/>
          <w:color w:val="000000"/>
          <w:szCs w:val="24"/>
          <w:lang w:val="sr-Cyrl-RS"/>
        </w:rPr>
        <w:t xml:space="preserve"> </w:t>
      </w:r>
      <w:r w:rsidRPr="00711F8A">
        <w:rPr>
          <w:rFonts w:eastAsia="Times New Roman" w:cs="Times New Roman"/>
          <w:color w:val="000000"/>
          <w:szCs w:val="24"/>
          <w:lang w:val="sr-Cyrl-RS"/>
        </w:rPr>
        <w:t>(1</w:t>
      </w:r>
      <w:r w:rsidRPr="00EA58B0">
        <w:rPr>
          <w:rFonts w:eastAsia="Times New Roman" w:cs="Times New Roman"/>
          <w:color w:val="000000"/>
          <w:szCs w:val="24"/>
          <w:lang w:val="sr-Cyrl-RS"/>
        </w:rPr>
        <w:t>,</w:t>
      </w:r>
      <w:r>
        <w:rPr>
          <w:rFonts w:eastAsia="Times New Roman" w:cs="Times New Roman"/>
          <w:color w:val="000000"/>
          <w:szCs w:val="24"/>
          <w:lang w:val="sr-Cyrl-RS"/>
        </w:rPr>
        <w:t>5</w:t>
      </w:r>
      <w:r w:rsidRPr="00EA58B0">
        <w:rPr>
          <w:rFonts w:eastAsia="Times New Roman" w:cs="Times New Roman"/>
          <w:color w:val="000000"/>
          <w:szCs w:val="24"/>
        </w:rPr>
        <w:t xml:space="preserve"> </w:t>
      </w:r>
      <w:r>
        <w:rPr>
          <w:rFonts w:eastAsia="Times New Roman" w:cs="Times New Roman"/>
          <w:color w:val="000000"/>
          <w:szCs w:val="24"/>
          <w:lang w:val="sr-Cyrl-RS"/>
        </w:rPr>
        <w:t>милијарди евра</w:t>
      </w:r>
      <w:r w:rsidRPr="00EA58B0">
        <w:rPr>
          <w:rFonts w:eastAsia="Times New Roman" w:cs="Times New Roman"/>
          <w:color w:val="000000"/>
          <w:szCs w:val="24"/>
          <w:lang w:val="sr-Cyrl-RS"/>
        </w:rPr>
        <w:t>)</w:t>
      </w:r>
      <w:r>
        <w:rPr>
          <w:rFonts w:eastAsia="Times New Roman" w:cs="Times New Roman"/>
          <w:color w:val="000000"/>
          <w:szCs w:val="24"/>
          <w:lang w:val="sr-Cyrl-RS"/>
        </w:rPr>
        <w:t xml:space="preserve">. </w:t>
      </w:r>
      <w:r>
        <w:rPr>
          <w:rFonts w:eastAsia="Times New Roman" w:cs="Times New Roman"/>
          <w:b/>
          <w:szCs w:val="24"/>
          <w:lang w:val="sr-Cyrl-RS"/>
        </w:rPr>
        <w:t>Последице увођења</w:t>
      </w:r>
      <w:r w:rsidRPr="00A6164C">
        <w:rPr>
          <w:rFonts w:eastAsia="Times New Roman" w:cs="Times New Roman"/>
          <w:szCs w:val="24"/>
          <w:lang w:val="sr-Cyrl-RS"/>
        </w:rPr>
        <w:t xml:space="preserve"> </w:t>
      </w:r>
      <w:r w:rsidRPr="00A6164C">
        <w:rPr>
          <w:rFonts w:eastAsia="Times New Roman" w:cs="Times New Roman"/>
          <w:b/>
          <w:szCs w:val="24"/>
          <w:lang w:val="sr-Cyrl-RS"/>
        </w:rPr>
        <w:t>заштитн</w:t>
      </w:r>
      <w:r>
        <w:rPr>
          <w:rFonts w:eastAsia="Times New Roman" w:cs="Times New Roman"/>
          <w:b/>
          <w:szCs w:val="24"/>
          <w:lang w:val="sr-Cyrl-RS"/>
        </w:rPr>
        <w:t>их</w:t>
      </w:r>
      <w:r w:rsidRPr="00A6164C">
        <w:rPr>
          <w:rFonts w:eastAsia="Times New Roman" w:cs="Times New Roman"/>
          <w:b/>
          <w:szCs w:val="24"/>
          <w:lang w:val="sr-Cyrl-RS"/>
        </w:rPr>
        <w:t xml:space="preserve"> мер</w:t>
      </w:r>
      <w:r>
        <w:rPr>
          <w:rFonts w:eastAsia="Times New Roman" w:cs="Times New Roman"/>
          <w:b/>
          <w:szCs w:val="24"/>
          <w:lang w:val="sr-Cyrl-RS"/>
        </w:rPr>
        <w:t>а</w:t>
      </w:r>
      <w:r w:rsidRPr="00A6164C">
        <w:rPr>
          <w:rFonts w:eastAsia="Times New Roman" w:cs="Times New Roman"/>
          <w:szCs w:val="24"/>
          <w:lang w:val="sr-Cyrl-RS"/>
        </w:rPr>
        <w:t xml:space="preserve"> (</w:t>
      </w:r>
      <w:r w:rsidRPr="00A6164C">
        <w:rPr>
          <w:rFonts w:eastAsia="Times New Roman" w:cs="Times New Roman"/>
          <w:b/>
          <w:szCs w:val="24"/>
          <w:lang w:val="sr-Cyrl-RS"/>
        </w:rPr>
        <w:t>квот</w:t>
      </w:r>
      <w:r>
        <w:rPr>
          <w:rFonts w:eastAsia="Times New Roman" w:cs="Times New Roman"/>
          <w:b/>
          <w:szCs w:val="24"/>
          <w:lang w:val="sr-Cyrl-RS"/>
        </w:rPr>
        <w:t>а</w:t>
      </w:r>
      <w:r w:rsidRPr="00A6164C">
        <w:rPr>
          <w:rFonts w:eastAsia="Times New Roman" w:cs="Times New Roman"/>
          <w:b/>
          <w:szCs w:val="24"/>
          <w:lang w:val="sr-Cyrl-RS"/>
        </w:rPr>
        <w:t xml:space="preserve"> за увоз</w:t>
      </w:r>
      <w:r w:rsidRPr="00A6164C">
        <w:rPr>
          <w:rFonts w:eastAsia="Times New Roman" w:cs="Times New Roman"/>
          <w:szCs w:val="24"/>
          <w:lang w:val="sr-Cyrl-RS"/>
        </w:rPr>
        <w:t xml:space="preserve">) </w:t>
      </w:r>
      <w:r>
        <w:rPr>
          <w:rFonts w:eastAsia="Times New Roman" w:cs="Times New Roman"/>
          <w:szCs w:val="24"/>
          <w:lang w:val="sr-Cyrl-RS"/>
        </w:rPr>
        <w:t>од стране ЕУ у</w:t>
      </w:r>
      <w:r w:rsidRPr="00A6164C">
        <w:rPr>
          <w:rFonts w:eastAsia="Times New Roman" w:cs="Times New Roman"/>
          <w:szCs w:val="24"/>
          <w:lang w:val="sr-Cyrl-RS"/>
        </w:rPr>
        <w:t xml:space="preserve"> јануару 2019. на одређене групе производа од челика и гвожђа, на период од три године</w:t>
      </w:r>
      <w:r>
        <w:rPr>
          <w:rFonts w:eastAsia="Times New Roman" w:cs="Times New Roman"/>
          <w:szCs w:val="24"/>
          <w:lang w:val="sr-Cyrl-RS"/>
        </w:rPr>
        <w:t>, још увек се осећају</w:t>
      </w:r>
      <w:r w:rsidRPr="00A6164C">
        <w:rPr>
          <w:rFonts w:eastAsia="Times New Roman" w:cs="Times New Roman"/>
          <w:szCs w:val="24"/>
          <w:lang w:val="sr-Cyrl-RS"/>
        </w:rPr>
        <w:t xml:space="preserve">. Због </w:t>
      </w:r>
      <w:r>
        <w:rPr>
          <w:rFonts w:eastAsia="Times New Roman" w:cs="Times New Roman"/>
          <w:szCs w:val="24"/>
          <w:lang w:val="sr-Cyrl-RS"/>
        </w:rPr>
        <w:t>уведених квота и због п</w:t>
      </w:r>
      <w:r w:rsidRPr="00A6164C">
        <w:rPr>
          <w:rFonts w:eastAsia="Times New Roman" w:cs="Times New Roman"/>
          <w:szCs w:val="24"/>
          <w:lang w:val="sr-Cyrl-RS"/>
        </w:rPr>
        <w:t>ад</w:t>
      </w:r>
      <w:r>
        <w:rPr>
          <w:rFonts w:eastAsia="Times New Roman" w:cs="Times New Roman"/>
          <w:szCs w:val="24"/>
          <w:lang w:val="sr-Cyrl-RS"/>
        </w:rPr>
        <w:t>а</w:t>
      </w:r>
      <w:r w:rsidRPr="00A6164C">
        <w:rPr>
          <w:rFonts w:eastAsia="Times New Roman" w:cs="Times New Roman"/>
          <w:szCs w:val="24"/>
          <w:lang w:val="sr-Cyrl-RS"/>
        </w:rPr>
        <w:t xml:space="preserve"> међународне тражње за овим производима</w:t>
      </w:r>
      <w:r>
        <w:rPr>
          <w:rFonts w:eastAsia="Times New Roman" w:cs="Times New Roman"/>
          <w:szCs w:val="24"/>
          <w:lang w:val="sr-Cyrl-RS"/>
        </w:rPr>
        <w:t xml:space="preserve">, услед избијања </w:t>
      </w:r>
      <w:r w:rsidRPr="00A6164C">
        <w:rPr>
          <w:rFonts w:eastAsia="Times New Roman" w:cs="Times New Roman"/>
          <w:szCs w:val="24"/>
          <w:lang w:val="sr-Cyrl-RS"/>
        </w:rPr>
        <w:t>пандемије Ковид-19</w:t>
      </w:r>
      <w:r>
        <w:rPr>
          <w:rFonts w:eastAsia="Times New Roman" w:cs="Times New Roman"/>
          <w:szCs w:val="24"/>
          <w:lang w:val="sr-Cyrl-RS"/>
        </w:rPr>
        <w:t xml:space="preserve">, </w:t>
      </w:r>
      <w:r w:rsidRPr="00A6164C">
        <w:rPr>
          <w:rFonts w:eastAsia="Times New Roman" w:cs="Times New Roman"/>
          <w:szCs w:val="24"/>
          <w:lang w:val="sr-Cyrl-RS"/>
        </w:rPr>
        <w:t>извоз гвожђa и челикa из Србије у ЕУ током 20</w:t>
      </w:r>
      <w:r>
        <w:rPr>
          <w:rFonts w:eastAsia="Times New Roman" w:cs="Times New Roman"/>
          <w:szCs w:val="24"/>
        </w:rPr>
        <w:t>20</w:t>
      </w:r>
      <w:r w:rsidRPr="00A6164C">
        <w:rPr>
          <w:rFonts w:eastAsia="Times New Roman" w:cs="Times New Roman"/>
          <w:szCs w:val="24"/>
          <w:lang w:val="sr-Cyrl-RS"/>
        </w:rPr>
        <w:t xml:space="preserve">. </w:t>
      </w:r>
      <w:r>
        <w:rPr>
          <w:rFonts w:eastAsia="Times New Roman" w:cs="Times New Roman"/>
          <w:szCs w:val="24"/>
          <w:lang w:val="sr-Cyrl-RS"/>
        </w:rPr>
        <w:t>смањен је за</w:t>
      </w:r>
      <w:r w:rsidRPr="00A6164C">
        <w:rPr>
          <w:rFonts w:eastAsia="Times New Roman" w:cs="Times New Roman"/>
          <w:szCs w:val="24"/>
          <w:lang w:val="sr-Cyrl-RS"/>
        </w:rPr>
        <w:t xml:space="preserve"> </w:t>
      </w:r>
      <w:r>
        <w:rPr>
          <w:rFonts w:eastAsia="Times New Roman" w:cs="Times New Roman"/>
          <w:szCs w:val="24"/>
        </w:rPr>
        <w:t>2</w:t>
      </w:r>
      <w:r w:rsidRPr="00A6164C">
        <w:rPr>
          <w:rFonts w:eastAsia="Times New Roman" w:cs="Times New Roman"/>
          <w:szCs w:val="24"/>
          <w:lang w:val="sr-Cyrl-RS"/>
        </w:rPr>
        <w:t>9,</w:t>
      </w:r>
      <w:r>
        <w:rPr>
          <w:rFonts w:eastAsia="Times New Roman" w:cs="Times New Roman"/>
          <w:szCs w:val="24"/>
          <w:lang w:val="sr-Cyrl-RS"/>
        </w:rPr>
        <w:t>7</w:t>
      </w:r>
      <w:r w:rsidRPr="00A6164C">
        <w:rPr>
          <w:rFonts w:eastAsia="Times New Roman" w:cs="Times New Roman"/>
          <w:szCs w:val="24"/>
          <w:lang w:val="sr-Cyrl-RS"/>
        </w:rPr>
        <w:t xml:space="preserve">% </w:t>
      </w:r>
      <w:r>
        <w:rPr>
          <w:rFonts w:eastAsia="Times New Roman" w:cs="Times New Roman"/>
          <w:szCs w:val="24"/>
          <w:lang w:val="sr-Cyrl-RS"/>
        </w:rPr>
        <w:t>мг.</w:t>
      </w:r>
      <w:r w:rsidRPr="00A6164C">
        <w:rPr>
          <w:rFonts w:eastAsia="Times New Roman" w:cs="Times New Roman"/>
          <w:szCs w:val="24"/>
          <w:lang w:val="sr-Cyrl-RS"/>
        </w:rPr>
        <w:t xml:space="preserve"> </w:t>
      </w:r>
      <w:r>
        <w:rPr>
          <w:rFonts w:eastAsia="Times New Roman" w:cs="Times New Roman"/>
          <w:szCs w:val="24"/>
          <w:lang w:val="sr-Cyrl-RS"/>
        </w:rPr>
        <w:t xml:space="preserve">Ситуација је нешто повољнија током осам месеци 2021. године, када је забележен међугодишњи раст извоза ових производа за </w:t>
      </w:r>
      <w:r>
        <w:rPr>
          <w:rFonts w:eastAsia="Times New Roman" w:cs="Times New Roman"/>
          <w:szCs w:val="24"/>
        </w:rPr>
        <w:t>46,3</w:t>
      </w:r>
      <w:r>
        <w:rPr>
          <w:rFonts w:eastAsia="Times New Roman" w:cs="Times New Roman"/>
          <w:szCs w:val="24"/>
          <w:lang w:val="sr-Cyrl-RS"/>
        </w:rPr>
        <w:t xml:space="preserve">%. </w:t>
      </w:r>
      <w:r w:rsidRPr="00B908BF">
        <w:rPr>
          <w:rFonts w:eastAsia="Times New Roman" w:cs="Times New Roman"/>
          <w:szCs w:val="24"/>
          <w:lang w:val="sr-Cyrl-RS"/>
        </w:rPr>
        <w:t xml:space="preserve">Извоз челика у ЕУ је количински смањен за </w:t>
      </w:r>
      <w:r>
        <w:rPr>
          <w:rFonts w:eastAsia="Times New Roman" w:cs="Times New Roman"/>
          <w:szCs w:val="24"/>
          <w:lang w:val="sr-Cyrl-RS"/>
        </w:rPr>
        <w:t>15,3</w:t>
      </w:r>
      <w:r w:rsidRPr="00B908BF">
        <w:rPr>
          <w:rFonts w:eastAsia="Times New Roman" w:cs="Times New Roman"/>
          <w:szCs w:val="24"/>
          <w:lang w:val="sr-Cyrl-RS"/>
        </w:rPr>
        <w:t xml:space="preserve">%, док је услед веће цене вредносно повећан за </w:t>
      </w:r>
      <w:r>
        <w:rPr>
          <w:rFonts w:eastAsia="Times New Roman" w:cs="Times New Roman"/>
          <w:szCs w:val="24"/>
          <w:lang w:val="sr-Cyrl-RS"/>
        </w:rPr>
        <w:t>40</w:t>
      </w:r>
      <w:r w:rsidRPr="00B908BF">
        <w:rPr>
          <w:rFonts w:eastAsia="Times New Roman" w:cs="Times New Roman"/>
          <w:szCs w:val="24"/>
          <w:lang w:val="sr-Cyrl-RS"/>
        </w:rPr>
        <w:t>%.</w:t>
      </w:r>
      <w:r>
        <w:rPr>
          <w:rFonts w:eastAsia="Times New Roman" w:cs="Times New Roman"/>
          <w:szCs w:val="24"/>
          <w:lang w:val="sr-Cyrl-RS"/>
        </w:rPr>
        <w:t xml:space="preserve"> П</w:t>
      </w:r>
      <w:r w:rsidRPr="00CA7A31">
        <w:rPr>
          <w:rFonts w:eastAsia="Times New Roman" w:cs="Times New Roman"/>
          <w:szCs w:val="24"/>
          <w:lang w:val="sr-Cyrl-RS"/>
        </w:rPr>
        <w:t xml:space="preserve">родужење ЕУ квота на увоз челика </w:t>
      </w:r>
      <w:r>
        <w:rPr>
          <w:rFonts w:eastAsia="Times New Roman" w:cs="Times New Roman"/>
          <w:szCs w:val="24"/>
          <w:lang w:val="sr-Cyrl-RS"/>
        </w:rPr>
        <w:t>и н</w:t>
      </w:r>
      <w:r w:rsidRPr="00CA7A31">
        <w:rPr>
          <w:rFonts w:eastAsia="Times New Roman" w:cs="Times New Roman"/>
          <w:szCs w:val="24"/>
          <w:lang w:val="sr-Cyrl-RS"/>
        </w:rPr>
        <w:t xml:space="preserve">ове регулативе које се односе на контролу емисије угљен-диоксида (декарбонизација) могу </w:t>
      </w:r>
      <w:r>
        <w:rPr>
          <w:rFonts w:eastAsia="Times New Roman" w:cs="Times New Roman"/>
          <w:szCs w:val="24"/>
          <w:lang w:val="sr-Cyrl-RS"/>
        </w:rPr>
        <w:t>негативно</w:t>
      </w:r>
      <w:r w:rsidRPr="00CA7A31">
        <w:rPr>
          <w:rFonts w:eastAsia="Times New Roman" w:cs="Times New Roman"/>
          <w:szCs w:val="24"/>
          <w:lang w:val="sr-Cyrl-RS"/>
        </w:rPr>
        <w:t xml:space="preserve"> утица</w:t>
      </w:r>
      <w:r>
        <w:rPr>
          <w:rFonts w:eastAsia="Times New Roman" w:cs="Times New Roman"/>
          <w:szCs w:val="24"/>
          <w:lang w:val="sr-Cyrl-RS"/>
        </w:rPr>
        <w:t>ти</w:t>
      </w:r>
      <w:r w:rsidRPr="00CA7A31">
        <w:rPr>
          <w:rFonts w:eastAsia="Times New Roman" w:cs="Times New Roman"/>
          <w:szCs w:val="24"/>
          <w:lang w:val="sr-Cyrl-RS"/>
        </w:rPr>
        <w:t xml:space="preserve"> на извоз</w:t>
      </w:r>
      <w:r>
        <w:rPr>
          <w:rFonts w:eastAsia="Times New Roman" w:cs="Times New Roman"/>
          <w:szCs w:val="24"/>
          <w:lang w:val="sr-Cyrl-RS"/>
        </w:rPr>
        <w:t xml:space="preserve"> ових производа</w:t>
      </w:r>
      <w:r w:rsidRPr="00CA7A31">
        <w:rPr>
          <w:rFonts w:eastAsia="Times New Roman" w:cs="Times New Roman"/>
          <w:szCs w:val="24"/>
          <w:lang w:val="sr-Cyrl-RS"/>
        </w:rPr>
        <w:t xml:space="preserve"> </w:t>
      </w:r>
      <w:r>
        <w:rPr>
          <w:rFonts w:eastAsia="Times New Roman" w:cs="Times New Roman"/>
          <w:szCs w:val="24"/>
          <w:lang w:val="sr-Cyrl-RS"/>
        </w:rPr>
        <w:t>у наредном периоду.</w:t>
      </w:r>
    </w:p>
    <w:p w14:paraId="23B1A5B4" w14:textId="77777777" w:rsidR="00DC7F92" w:rsidRPr="0095446D" w:rsidRDefault="00DC7F92" w:rsidP="003F1FDD">
      <w:pPr>
        <w:widowControl w:val="0"/>
        <w:spacing w:after="60"/>
        <w:rPr>
          <w:rFonts w:eastAsia="Times New Roman" w:cs="Times New Roman"/>
          <w:szCs w:val="24"/>
          <w:lang w:val="sr-Cyrl-RS"/>
        </w:rPr>
      </w:pPr>
      <w:r w:rsidRPr="00C749A8">
        <w:rPr>
          <w:rFonts w:eastAsia="Times New Roman" w:cs="Times New Roman"/>
          <w:b/>
          <w:szCs w:val="24"/>
          <w:lang w:val="sr-Cyrl-RS"/>
        </w:rPr>
        <w:t>Важни спољнотрговински партнери су и ЦЕФТА стране</w:t>
      </w:r>
      <w:r w:rsidRPr="00C749A8">
        <w:rPr>
          <w:rFonts w:eastAsia="Times New Roman" w:cs="Times New Roman"/>
          <w:szCs w:val="24"/>
          <w:lang w:val="sr-Cyrl-RS"/>
        </w:rPr>
        <w:t>,</w:t>
      </w:r>
      <w:r w:rsidRPr="00C749A8">
        <w:rPr>
          <w:rFonts w:eastAsia="Times New Roman" w:cs="Times New Roman"/>
          <w:b/>
          <w:szCs w:val="24"/>
          <w:lang w:val="sr-Cyrl-RS"/>
        </w:rPr>
        <w:t xml:space="preserve"> </w:t>
      </w:r>
      <w:r w:rsidRPr="00C749A8">
        <w:rPr>
          <w:rFonts w:eastAsia="Times New Roman" w:cs="Times New Roman"/>
          <w:szCs w:val="24"/>
          <w:lang w:val="sr-Cyrl-RS"/>
        </w:rPr>
        <w:t>са</w:t>
      </w:r>
      <w:r w:rsidRPr="0095446D">
        <w:rPr>
          <w:rFonts w:eastAsia="Times New Roman" w:cs="Times New Roman"/>
          <w:szCs w:val="24"/>
          <w:lang w:val="sr-Cyrl-RS"/>
        </w:rPr>
        <w:t xml:space="preserve"> којима је Србија ос</w:t>
      </w:r>
      <w:r>
        <w:rPr>
          <w:rFonts w:eastAsia="Times New Roman" w:cs="Times New Roman"/>
          <w:szCs w:val="24"/>
          <w:lang w:val="sr-Cyrl-RS"/>
        </w:rPr>
        <w:t xml:space="preserve">тварила суфицит у размени од </w:t>
      </w:r>
      <w:r w:rsidRPr="00D4291B">
        <w:rPr>
          <w:rFonts w:eastAsia="Times New Roman" w:cs="Times New Roman"/>
          <w:szCs w:val="24"/>
          <w:lang w:val="sr-Cyrl-RS"/>
        </w:rPr>
        <w:t xml:space="preserve">1,8 </w:t>
      </w:r>
      <w:r>
        <w:rPr>
          <w:rFonts w:eastAsia="Times New Roman" w:cs="Times New Roman"/>
          <w:szCs w:val="24"/>
          <w:lang w:val="sr-Cyrl-RS"/>
        </w:rPr>
        <w:t>милијарди евра у 2020. години</w:t>
      </w:r>
      <w:r w:rsidRPr="0095446D">
        <w:rPr>
          <w:rFonts w:eastAsia="Times New Roman" w:cs="Times New Roman"/>
          <w:szCs w:val="24"/>
          <w:lang w:val="sr-Cyrl-RS"/>
        </w:rPr>
        <w:t>, који је резултат углавном извоза пољопривредних производа (житарице и производи од њих), електричних машина и апарата, нафте и нафтних деривата, друмских возила и пића.</w:t>
      </w:r>
    </w:p>
    <w:p w14:paraId="712EA8F4" w14:textId="77777777" w:rsidR="00DC7F92" w:rsidRPr="003B2120" w:rsidRDefault="00DC7F92" w:rsidP="00DC7F92">
      <w:pPr>
        <w:widowControl w:val="0"/>
        <w:spacing w:before="120"/>
        <w:rPr>
          <w:rFonts w:eastAsia="Times New Roman" w:cs="Times New Roman"/>
          <w:b/>
          <w:bCs/>
          <w:szCs w:val="24"/>
          <w:lang w:val="sr-Latn-RS"/>
        </w:rPr>
      </w:pPr>
      <w:r>
        <w:rPr>
          <w:rFonts w:eastAsia="Times New Roman" w:cs="Times New Roman"/>
          <w:b/>
          <w:bCs/>
          <w:szCs w:val="24"/>
          <w:lang w:val="sr-Cyrl-RS"/>
        </w:rPr>
        <w:lastRenderedPageBreak/>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26148C2F" w14:textId="77777777" w:rsidR="00DC7F92" w:rsidRPr="00BC4C91" w:rsidRDefault="00DC7F92" w:rsidP="00DC7F92">
      <w:pPr>
        <w:widowControl w:val="0"/>
        <w:spacing w:before="120"/>
        <w:rPr>
          <w:rFonts w:cs="Times New Roman"/>
          <w:b/>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16</w:t>
      </w:r>
      <w:r w:rsidRPr="00BC4C91">
        <w:rPr>
          <w:rFonts w:cs="Times New Roman"/>
          <w:b/>
          <w:szCs w:val="24"/>
          <w:lang w:val="sr-Cyrl-RS"/>
        </w:rPr>
        <w:t xml:space="preserve">: </w:t>
      </w:r>
      <w:r w:rsidRPr="00BC4C91">
        <w:rPr>
          <w:rFonts w:cs="Times New Roman"/>
          <w:szCs w:val="24"/>
          <w:lang w:val="sr-Cyrl-CS"/>
        </w:rPr>
        <w:t>УНАПРЕЂЕЊЕ УСЛОВА И УКЛАЊАЊЕ ПРЕПРЕКА ТРГОВИНИ</w:t>
      </w:r>
    </w:p>
    <w:p w14:paraId="7D529E25" w14:textId="77777777" w:rsidR="00DC7F92" w:rsidRPr="00A6164C" w:rsidRDefault="00DC7F92" w:rsidP="004D22FA">
      <w:pPr>
        <w:widowControl w:val="0"/>
        <w:numPr>
          <w:ilvl w:val="0"/>
          <w:numId w:val="39"/>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6589DEAF" w14:textId="77777777" w:rsidR="00DC7F92" w:rsidRDefault="00DC7F92" w:rsidP="003F1FDD">
      <w:pPr>
        <w:spacing w:after="60"/>
        <w:rPr>
          <w:rFonts w:eastAsia="Times New Roman" w:cs="Times New Roman"/>
          <w:szCs w:val="24"/>
          <w:lang w:val="sr-Cyrl-RS"/>
        </w:rPr>
      </w:pPr>
      <w:r w:rsidRPr="009236E4">
        <w:rPr>
          <w:rFonts w:eastAsia="Times New Roman" w:cs="Times New Roman"/>
          <w:szCs w:val="24"/>
          <w:lang w:val="sr-Cyrl-RS"/>
        </w:rPr>
        <w:t xml:space="preserve">Циљ реформе је интензивирање, унапређење, диверсификација и даљи раст спољне трговине Републике Србије како на регионалном, тако и на глобалном нивоу. Активности су усмерене и на јачање конкурентности српских компанија ради припреме за чланство у ЕУ и лакшег укључивања на јединственом европском тржишту. </w:t>
      </w:r>
      <w:r w:rsidRPr="00370079">
        <w:rPr>
          <w:rFonts w:eastAsia="Times New Roman" w:cs="Times New Roman"/>
          <w:szCs w:val="24"/>
          <w:lang w:val="sr-Cyrl-RS"/>
        </w:rPr>
        <w:t>Србија наставља активности усмерене ка остварењу чланства у СТО, а нарочито ка  решавању питања постојеће забране спољнотрговинског промета ГМО производа у Републици Србији и окончању отворених билатералних преговора са појединим чланицама СТО.</w:t>
      </w:r>
      <w:r>
        <w:rPr>
          <w:rFonts w:eastAsia="Times New Roman" w:cs="Times New Roman"/>
          <w:szCs w:val="24"/>
          <w:lang w:val="sr-Cyrl-RS"/>
        </w:rPr>
        <w:t xml:space="preserve"> </w:t>
      </w:r>
      <w:r w:rsidRPr="00370079">
        <w:rPr>
          <w:rFonts w:eastAsia="Times New Roman" w:cs="Times New Roman"/>
          <w:szCs w:val="24"/>
          <w:lang w:val="sr-Cyrl-RS"/>
        </w:rPr>
        <w:t>У циљу даље трговинске интеграције у региону предвиђене Акционим планом за Заједничко регионално тржиште (АП ЗРТ), спроводиће се активности на имплементацији обавеза из ЦЕФТА Додатног протокола 5, ЦЕФТА Додатног протокола 6 и наставку преговора о ЦЕФТА Додатном протоколу 7. Пандемија Ковид-19 условила је да се одређене активности, посебно оне везане за преговоре, временски редефинишу и прилагоде новонасталим околностима. У оквиру Националног координационог тела за олакшавање трговине (НКТОТ), а уз учешће приватног сектора, приступиће се изради, а након тога и имплементацији новог Акционог плана за 2022-2023</w:t>
      </w:r>
      <w:r>
        <w:rPr>
          <w:rFonts w:eastAsia="Times New Roman" w:cs="Times New Roman"/>
          <w:szCs w:val="24"/>
          <w:lang w:val="sr-Cyrl-RS"/>
        </w:rPr>
        <w:t>.</w:t>
      </w:r>
      <w:r w:rsidRPr="00370079">
        <w:rPr>
          <w:rFonts w:eastAsia="Times New Roman" w:cs="Times New Roman"/>
          <w:szCs w:val="24"/>
          <w:lang w:val="sr-Cyrl-RS"/>
        </w:rPr>
        <w:t xml:space="preserve"> у циљу идентификовања и уклањања препрека трговини, посебно техничких и фитосанитарних мера, као и олакшавању царинских процедура.</w:t>
      </w:r>
      <w:r>
        <w:rPr>
          <w:rFonts w:eastAsia="Times New Roman" w:cs="Times New Roman"/>
          <w:szCs w:val="24"/>
          <w:lang w:val="sr-Cyrl-RS"/>
        </w:rPr>
        <w:t xml:space="preserve"> </w:t>
      </w:r>
      <w:r w:rsidRPr="009236E4">
        <w:rPr>
          <w:rFonts w:eastAsia="Times New Roman" w:cs="Times New Roman"/>
          <w:szCs w:val="24"/>
          <w:lang w:val="sr-Cyrl-RS"/>
        </w:rPr>
        <w:t xml:space="preserve">Реформом се посебно унапређује регионална сарадња и индиректно остварује напредак у испуњењу УН </w:t>
      </w:r>
      <w:r w:rsidRPr="009236E4">
        <w:rPr>
          <w:rFonts w:eastAsia="Times New Roman" w:cs="Times New Roman"/>
          <w:b/>
          <w:szCs w:val="24"/>
          <w:lang w:val="sr-Cyrl-RS"/>
        </w:rPr>
        <w:t>ЦОР 8</w:t>
      </w:r>
      <w:r w:rsidRPr="009236E4">
        <w:rPr>
          <w:rFonts w:eastAsia="Times New Roman" w:cs="Times New Roman"/>
          <w:szCs w:val="24"/>
          <w:lang w:val="sr-Cyrl-RS"/>
        </w:rPr>
        <w:t xml:space="preserve"> – Достојанствен рад и економски раст, </w:t>
      </w:r>
      <w:r w:rsidRPr="009236E4">
        <w:rPr>
          <w:rFonts w:eastAsia="Times New Roman" w:cs="Times New Roman"/>
          <w:b/>
          <w:szCs w:val="24"/>
          <w:lang w:val="sr-Cyrl-RS"/>
        </w:rPr>
        <w:t>9</w:t>
      </w:r>
      <w:r w:rsidRPr="009236E4">
        <w:rPr>
          <w:rFonts w:eastAsia="Times New Roman" w:cs="Times New Roman"/>
          <w:szCs w:val="24"/>
          <w:lang w:val="sr-Cyrl-RS"/>
        </w:rPr>
        <w:t xml:space="preserve"> – Индустрија, иновације и инфраструктура и </w:t>
      </w:r>
      <w:r w:rsidRPr="009236E4">
        <w:rPr>
          <w:rFonts w:eastAsia="Times New Roman" w:cs="Times New Roman"/>
          <w:b/>
          <w:szCs w:val="24"/>
          <w:lang w:val="sr-Cyrl-RS"/>
        </w:rPr>
        <w:t>17</w:t>
      </w:r>
      <w:r w:rsidRPr="009236E4">
        <w:rPr>
          <w:rFonts w:eastAsia="Times New Roman" w:cs="Times New Roman"/>
          <w:szCs w:val="24"/>
          <w:lang w:val="sr-Cyrl-RS"/>
        </w:rPr>
        <w:t xml:space="preserve"> – Партнерством до циља. </w:t>
      </w:r>
    </w:p>
    <w:p w14:paraId="7530D97B" w14:textId="77777777" w:rsidR="00DC7F92" w:rsidRPr="00370079" w:rsidRDefault="00DC7F92" w:rsidP="003F1FDD">
      <w:pPr>
        <w:spacing w:after="60"/>
        <w:rPr>
          <w:rFonts w:eastAsia="Times New Roman" w:cs="Times New Roman"/>
          <w:szCs w:val="24"/>
          <w:lang w:val="sr-Cyrl-RS"/>
        </w:rPr>
      </w:pPr>
      <w:r w:rsidRPr="00370079">
        <w:rPr>
          <w:rFonts w:eastAsia="Times New Roman" w:cs="Times New Roman"/>
          <w:szCs w:val="24"/>
          <w:lang w:val="sr-Cyrl-RS"/>
        </w:rPr>
        <w:t>Структурна реформа је пренета из претходне године, пре свега имајући у виду да предвиђене активности подразумевају дужи временски оквир за спровођење (постизање договора, усаглашавање регионалних иницијатива и споразума, ратификација и спровођење договореног).</w:t>
      </w:r>
    </w:p>
    <w:p w14:paraId="6E1431D3"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21566528"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17C86C75"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7EF58144"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B6D19D2"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3845A8B"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57924463"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1F0DF44F"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0A73652F"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07FD71A7"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20FDC24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212D08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6D6570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7D5AA2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6AED17E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4BB815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85DC0E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FBDE64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3394BBA"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81AEF0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C5155F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75C67F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61AFEFF8" w14:textId="77777777" w:rsidTr="003F1FDD">
        <w:trPr>
          <w:trHeight w:val="300"/>
        </w:trPr>
        <w:tc>
          <w:tcPr>
            <w:tcW w:w="426" w:type="dxa"/>
            <w:tcBorders>
              <w:top w:val="nil"/>
              <w:left w:val="single" w:sz="8" w:space="0" w:color="auto"/>
              <w:bottom w:val="single" w:sz="4" w:space="0" w:color="auto"/>
              <w:right w:val="nil"/>
            </w:tcBorders>
            <w:shd w:val="clear" w:color="auto" w:fill="auto"/>
          </w:tcPr>
          <w:p w14:paraId="7562324B"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53305EE8"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Преговори о приступању СТО - билатерални прего</w:t>
            </w:r>
            <w:r>
              <w:rPr>
                <w:rFonts w:eastAsia="Times New Roman" w:cs="Times New Roman"/>
                <w:sz w:val="20"/>
                <w:szCs w:val="20"/>
                <w:lang w:val="sr-Cyrl-RS"/>
              </w:rPr>
              <w:t>вори, усвајање прописа усаглаше</w:t>
            </w:r>
            <w:r w:rsidRPr="00370079">
              <w:rPr>
                <w:rFonts w:eastAsia="Times New Roman" w:cs="Times New Roman"/>
                <w:sz w:val="20"/>
                <w:szCs w:val="20"/>
                <w:lang w:val="sr-Cyrl-RS"/>
              </w:rPr>
              <w:t>них са СТО правилима и принципима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1B5C74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5AA658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504CB9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40487B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D7B2C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9F3403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3F3140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F537A0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07C33B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D87B3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FB223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B5BF418"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5F015EFB" w14:textId="77777777" w:rsidTr="003F1FDD">
        <w:trPr>
          <w:trHeight w:val="300"/>
        </w:trPr>
        <w:tc>
          <w:tcPr>
            <w:tcW w:w="426" w:type="dxa"/>
            <w:tcBorders>
              <w:top w:val="single" w:sz="4" w:space="0" w:color="auto"/>
              <w:left w:val="single" w:sz="8" w:space="0" w:color="auto"/>
              <w:bottom w:val="single" w:sz="4" w:space="0" w:color="auto"/>
              <w:right w:val="nil"/>
            </w:tcBorders>
            <w:shd w:val="clear" w:color="auto" w:fill="auto"/>
          </w:tcPr>
          <w:p w14:paraId="3595E03A"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14:paraId="51C7D075"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 Имплементација Додатног протокола 5 о олакшавању трговине</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79950BF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5F8FF6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C6B429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59E5DCA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24F48B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6A6527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5B6E7A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54E23A5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5E46CA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728143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79D210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2090493"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079C58D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2A5AC75"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38D5E636"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Имплементација  Додатног протокола 6 о трговини услугама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0ED7A1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70867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4E4389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25C9DC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61E19C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BCF1D5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3A578B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4E158DE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BF0B27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BFACB1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F4DAE4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223EF34"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47F7D15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409C7E4"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564632BE"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Имплементација  Додатног протокола 7 о решавању спорова</w:t>
            </w:r>
          </w:p>
        </w:tc>
        <w:tc>
          <w:tcPr>
            <w:tcW w:w="422" w:type="dxa"/>
            <w:tcBorders>
              <w:top w:val="nil"/>
              <w:left w:val="single" w:sz="8" w:space="0" w:color="auto"/>
              <w:bottom w:val="single" w:sz="4" w:space="0" w:color="auto"/>
              <w:right w:val="single" w:sz="4" w:space="0" w:color="auto"/>
            </w:tcBorders>
            <w:shd w:val="clear" w:color="auto" w:fill="auto"/>
            <w:vAlign w:val="center"/>
          </w:tcPr>
          <w:p w14:paraId="5E1596B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D43AF5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8AA73A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E246A0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604282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885D81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C05F8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C1D57B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CBBF97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25E94E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183957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0091859"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159B8FD6"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0925F91B"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10D22AC6" w14:textId="77777777" w:rsidR="00DC7F92" w:rsidRPr="00A6164C"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 xml:space="preserve">Усвајање и спровођење новог Акционог плана НКТОТ за 2022-2023 и имплементација предвиђених активности </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69BF969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7601F71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44707F4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2ACF858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7641A75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4FBD89A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35568570"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5349F540"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575270B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0BBF05C"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500A9E7"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5582CA66" w14:textId="77777777" w:rsidR="00DC7F92" w:rsidRPr="00A6164C" w:rsidRDefault="00DC7F92" w:rsidP="00DC7F92">
            <w:pPr>
              <w:spacing w:after="0"/>
              <w:jc w:val="center"/>
              <w:rPr>
                <w:rFonts w:eastAsia="Times New Roman" w:cs="Times New Roman"/>
                <w:b/>
                <w:bCs/>
                <w:sz w:val="20"/>
                <w:szCs w:val="20"/>
                <w:lang w:val="sr-Cyrl-RS"/>
              </w:rPr>
            </w:pPr>
          </w:p>
        </w:tc>
      </w:tr>
    </w:tbl>
    <w:p w14:paraId="0BE9C3FC"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5CCBA928"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221059B7"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684E79AD"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14:paraId="259EC488"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14:paraId="56E65159"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A6164C" w14:paraId="0D1A97C6" w14:textId="77777777" w:rsidTr="00DC7F92">
        <w:trPr>
          <w:trHeight w:val="284"/>
        </w:trPr>
        <w:tc>
          <w:tcPr>
            <w:tcW w:w="4106" w:type="dxa"/>
          </w:tcPr>
          <w:p w14:paraId="0C255DF8" w14:textId="77777777" w:rsidR="00DC7F92" w:rsidRPr="00A6164C" w:rsidRDefault="00DC7F92" w:rsidP="006B76C3">
            <w:pPr>
              <w:spacing w:before="0" w:after="0"/>
              <w:ind w:left="113" w:right="113"/>
              <w:rPr>
                <w:rFonts w:cs="Times New Roman"/>
                <w:sz w:val="20"/>
                <w:lang w:val="sr-Cyrl-RS"/>
              </w:rPr>
            </w:pPr>
            <w:r w:rsidRPr="00B55028">
              <w:rPr>
                <w:rFonts w:cs="Times New Roman"/>
                <w:sz w:val="20"/>
                <w:lang w:val="sr-Cyrl-RS"/>
              </w:rPr>
              <w:lastRenderedPageBreak/>
              <w:t xml:space="preserve">Стопа раста обима спољне трговине </w:t>
            </w:r>
            <w:r>
              <w:rPr>
                <w:rFonts w:cs="Times New Roman"/>
                <w:sz w:val="20"/>
                <w:lang w:val="sr-Cyrl-RS"/>
              </w:rPr>
              <w:t xml:space="preserve">Републике </w:t>
            </w:r>
            <w:r w:rsidRPr="00B55028">
              <w:rPr>
                <w:rFonts w:cs="Times New Roman"/>
                <w:sz w:val="20"/>
                <w:lang w:val="sr-Cyrl-RS"/>
              </w:rPr>
              <w:t>Србије – свет</w:t>
            </w:r>
          </w:p>
        </w:tc>
        <w:tc>
          <w:tcPr>
            <w:tcW w:w="1842" w:type="dxa"/>
          </w:tcPr>
          <w:p w14:paraId="10929EEE"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8,4% (2019)</w:t>
            </w:r>
          </w:p>
        </w:tc>
        <w:tc>
          <w:tcPr>
            <w:tcW w:w="1843" w:type="dxa"/>
          </w:tcPr>
          <w:p w14:paraId="63E7CDE6" w14:textId="77777777" w:rsidR="00DC7F92" w:rsidRPr="00A6164C" w:rsidRDefault="00DC7F92" w:rsidP="006B76C3">
            <w:pPr>
              <w:spacing w:before="0" w:after="0"/>
              <w:ind w:left="113" w:right="113"/>
              <w:jc w:val="right"/>
              <w:rPr>
                <w:rFonts w:cs="Times New Roman"/>
                <w:sz w:val="20"/>
                <w:lang w:val="sr-Cyrl-RS"/>
              </w:rPr>
            </w:pPr>
            <w:r w:rsidRPr="00B55028">
              <w:rPr>
                <w:rFonts w:cs="Times New Roman"/>
                <w:sz w:val="20"/>
                <w:lang w:val="sr-Cyrl-RS"/>
              </w:rPr>
              <w:t>-3,4%</w:t>
            </w:r>
            <w:r>
              <w:rPr>
                <w:rStyle w:val="FootnoteReference"/>
                <w:rFonts w:cs="Times New Roman"/>
                <w:sz w:val="20"/>
                <w:lang w:val="sr-Cyrl-RS"/>
              </w:rPr>
              <w:footnoteReference w:id="79"/>
            </w:r>
            <w:r>
              <w:rPr>
                <w:rFonts w:cs="Times New Roman"/>
                <w:sz w:val="20"/>
                <w:lang w:val="sr-Cyrl-RS"/>
              </w:rPr>
              <w:t xml:space="preserve"> (2020)</w:t>
            </w:r>
          </w:p>
        </w:tc>
        <w:tc>
          <w:tcPr>
            <w:tcW w:w="1843" w:type="dxa"/>
          </w:tcPr>
          <w:p w14:paraId="4ED2EEA9" w14:textId="77777777" w:rsidR="00DC7F92" w:rsidRPr="00A6164C" w:rsidRDefault="00DC7F92" w:rsidP="006B76C3">
            <w:pPr>
              <w:spacing w:before="0" w:after="0"/>
              <w:ind w:left="113" w:right="113"/>
              <w:jc w:val="right"/>
              <w:rPr>
                <w:rFonts w:cs="Times New Roman"/>
                <w:sz w:val="20"/>
                <w:lang w:val="sr-Cyrl-RS"/>
              </w:rPr>
            </w:pPr>
            <w:r w:rsidRPr="00B55028">
              <w:rPr>
                <w:rFonts w:cs="Times New Roman"/>
                <w:sz w:val="20"/>
                <w:lang w:val="sr-Cyrl-RS"/>
              </w:rPr>
              <w:t>7%</w:t>
            </w:r>
            <w:r>
              <w:rPr>
                <w:rFonts w:cs="Times New Roman"/>
                <w:sz w:val="20"/>
                <w:lang w:val="sr-Cyrl-RS"/>
              </w:rPr>
              <w:t xml:space="preserve"> (2024)</w:t>
            </w:r>
          </w:p>
        </w:tc>
      </w:tr>
      <w:tr w:rsidR="00DC7F92" w:rsidRPr="00A6164C" w14:paraId="788F26DD" w14:textId="77777777" w:rsidTr="00DC7F92">
        <w:trPr>
          <w:trHeight w:val="284"/>
        </w:trPr>
        <w:tc>
          <w:tcPr>
            <w:tcW w:w="4106" w:type="dxa"/>
          </w:tcPr>
          <w:p w14:paraId="503D3A41" w14:textId="77777777" w:rsidR="00DC7F92" w:rsidRPr="00B55028" w:rsidRDefault="00DC7F92" w:rsidP="006B76C3">
            <w:pPr>
              <w:spacing w:before="0" w:after="0"/>
              <w:ind w:left="113" w:right="113"/>
              <w:rPr>
                <w:rFonts w:cs="Times New Roman"/>
                <w:sz w:val="20"/>
                <w:lang w:val="sr-Cyrl-RS"/>
              </w:rPr>
            </w:pPr>
            <w:r w:rsidRPr="00B55028">
              <w:rPr>
                <w:rFonts w:cs="Times New Roman"/>
                <w:sz w:val="20"/>
                <w:lang w:val="sr-Cyrl-RS"/>
              </w:rPr>
              <w:t xml:space="preserve">Оцена о испуњености мера за олакшавање трговине коју је </w:t>
            </w:r>
            <w:r>
              <w:rPr>
                <w:rFonts w:cs="Times New Roman"/>
                <w:sz w:val="20"/>
                <w:lang w:val="sr-Cyrl-RS"/>
              </w:rPr>
              <w:t xml:space="preserve">Република </w:t>
            </w:r>
            <w:r w:rsidRPr="00B55028">
              <w:rPr>
                <w:rFonts w:cs="Times New Roman"/>
                <w:sz w:val="20"/>
                <w:lang w:val="sr-Cyrl-RS"/>
              </w:rPr>
              <w:t>Србија добила према УН глобалном прегледу о дигиталном и одрживом олакшавању трговине</w:t>
            </w:r>
            <w:r>
              <w:rPr>
                <w:rStyle w:val="FootnoteReference"/>
                <w:rFonts w:cs="Times New Roman"/>
                <w:sz w:val="20"/>
                <w:lang w:val="sr-Cyrl-RS"/>
              </w:rPr>
              <w:footnoteReference w:id="80"/>
            </w:r>
          </w:p>
        </w:tc>
        <w:tc>
          <w:tcPr>
            <w:tcW w:w="1842" w:type="dxa"/>
          </w:tcPr>
          <w:p w14:paraId="57F0B9B6" w14:textId="77777777"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61,</w:t>
            </w:r>
            <w:r>
              <w:rPr>
                <w:rFonts w:cs="Times New Roman"/>
                <w:sz w:val="20"/>
                <w:lang w:val="sr-Cyrl-RS"/>
              </w:rPr>
              <w:t>3</w:t>
            </w:r>
            <w:r w:rsidRPr="00B55028">
              <w:rPr>
                <w:rFonts w:cs="Times New Roman"/>
                <w:sz w:val="20"/>
                <w:lang w:val="sr-Cyrl-RS"/>
              </w:rPr>
              <w:t>%</w:t>
            </w:r>
            <w:r>
              <w:rPr>
                <w:rFonts w:cs="Times New Roman"/>
                <w:sz w:val="20"/>
                <w:lang w:val="sr-Cyrl-RS"/>
              </w:rPr>
              <w:t xml:space="preserve"> (2019)</w:t>
            </w:r>
            <w:r w:rsidRPr="00B55028">
              <w:rPr>
                <w:rFonts w:cs="Times New Roman"/>
                <w:sz w:val="20"/>
                <w:lang w:val="sr-Cyrl-RS"/>
              </w:rPr>
              <w:t xml:space="preserve"> </w:t>
            </w:r>
          </w:p>
        </w:tc>
        <w:tc>
          <w:tcPr>
            <w:tcW w:w="1843" w:type="dxa"/>
          </w:tcPr>
          <w:p w14:paraId="49115CC0" w14:textId="77777777"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72,4%</w:t>
            </w:r>
            <w:r>
              <w:rPr>
                <w:rFonts w:cs="Times New Roman"/>
                <w:sz w:val="20"/>
                <w:lang w:val="sr-Cyrl-RS"/>
              </w:rPr>
              <w:t xml:space="preserve"> (2021)</w:t>
            </w:r>
          </w:p>
        </w:tc>
        <w:tc>
          <w:tcPr>
            <w:tcW w:w="1843" w:type="dxa"/>
          </w:tcPr>
          <w:p w14:paraId="3A1FFF3A" w14:textId="77777777"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75%</w:t>
            </w:r>
            <w:r>
              <w:rPr>
                <w:rFonts w:cs="Times New Roman"/>
                <w:sz w:val="20"/>
                <w:lang w:val="sr-Cyrl-RS"/>
              </w:rPr>
              <w:t xml:space="preserve"> (2023)</w:t>
            </w:r>
          </w:p>
        </w:tc>
      </w:tr>
    </w:tbl>
    <w:p w14:paraId="26D2E17A"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0320BC19" w14:textId="77777777" w:rsidR="00DC7F92" w:rsidRPr="00A6164C" w:rsidRDefault="00DC7F92" w:rsidP="00DC7F92">
      <w:pPr>
        <w:spacing w:after="60"/>
        <w:rPr>
          <w:rFonts w:eastAsia="Times New Roman" w:cs="Times New Roman"/>
          <w:szCs w:val="24"/>
          <w:lang w:val="sr-Cyrl-RS"/>
        </w:rPr>
      </w:pPr>
      <w:r w:rsidRPr="00CB7D8F">
        <w:rPr>
          <w:rFonts w:eastAsia="Times New Roman" w:cs="Times New Roman"/>
          <w:szCs w:val="24"/>
          <w:lang w:val="sr-Cyrl-RS"/>
        </w:rPr>
        <w:t>Ступање у чланство СТО, унапређење трговине кроз примену ЦЕФТА додатних протокола, као и активности НКТОТ на плану олакшања трговине имаће значајан утицај на уклањање трговинских баријера, а самим тим и на повећање конкурентности српских предузећа на регионалном тржишту, као и на раст и даљи развој српске економије. Позитиван утицај на конкурентност се огледа, између осталог, и на смањење трошкова обављања спољнотрговинског промета робе, скраћење временског оквира за обављање процедура на граничним прелазима, као и међусобно признавање исправа и наставак усклађивања са ЕУ регулативом у области слободног протока робе.</w:t>
      </w:r>
    </w:p>
    <w:p w14:paraId="19DCB618"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4342743D" w14:textId="77777777" w:rsidR="00DC7F92" w:rsidRPr="00CB55A4" w:rsidRDefault="00DC7F92" w:rsidP="00DC7F92">
      <w:pPr>
        <w:widowControl w:val="0"/>
        <w:spacing w:after="60"/>
        <w:rPr>
          <w:rFonts w:eastAsia="Times New Roman" w:cs="Times New Roman"/>
          <w:szCs w:val="24"/>
          <w:lang w:val="sr-Cyrl-RS"/>
        </w:rPr>
      </w:pPr>
      <w:r w:rsidRPr="00252BE4">
        <w:rPr>
          <w:rFonts w:eastAsia="Times New Roman" w:cs="Times New Roman"/>
          <w:szCs w:val="24"/>
          <w:lang w:val="sr-Cyrl-RS"/>
        </w:rPr>
        <w:t xml:space="preserve">Спровођење наведених активности утицало је на буџет само у делу који се односи на повећање броја службеника који се баве овим пословима, у односу на 2019. годину која се узима као базна година. С тим у вези, планирано је додатно запошљавање два нова службеника у 2020. години и то је испуњено у потпуности. Истовремено, обезбеђена су додатна средства за </w:t>
      </w:r>
      <w:r>
        <w:rPr>
          <w:rFonts w:eastAsia="Times New Roman" w:cs="Times New Roman"/>
          <w:szCs w:val="24"/>
          <w:lang w:val="sr-Cyrl-RS"/>
        </w:rPr>
        <w:t xml:space="preserve">помоћ у </w:t>
      </w:r>
      <w:r w:rsidRPr="00252BE4">
        <w:rPr>
          <w:rFonts w:eastAsia="Times New Roman" w:cs="Times New Roman"/>
          <w:szCs w:val="24"/>
          <w:lang w:val="sr-Cyrl-RS"/>
        </w:rPr>
        <w:t>реализациј</w:t>
      </w:r>
      <w:r>
        <w:rPr>
          <w:rFonts w:eastAsia="Times New Roman" w:cs="Times New Roman"/>
          <w:szCs w:val="24"/>
          <w:lang w:val="sr-Cyrl-RS"/>
        </w:rPr>
        <w:t>и</w:t>
      </w:r>
      <w:r w:rsidRPr="00252BE4">
        <w:rPr>
          <w:rFonts w:eastAsia="Times New Roman" w:cs="Times New Roman"/>
          <w:szCs w:val="24"/>
          <w:lang w:val="sr-Cyrl-RS"/>
        </w:rPr>
        <w:t xml:space="preserve"> </w:t>
      </w:r>
      <w:r>
        <w:rPr>
          <w:rFonts w:eastAsia="Times New Roman" w:cs="Times New Roman"/>
          <w:szCs w:val="24"/>
          <w:lang w:val="sr-Cyrl-RS"/>
        </w:rPr>
        <w:t>планираних активности</w:t>
      </w:r>
      <w:r w:rsidRPr="00252BE4">
        <w:rPr>
          <w:rFonts w:eastAsia="Times New Roman" w:cs="Times New Roman"/>
          <w:szCs w:val="24"/>
          <w:lang w:val="sr-Cyrl-RS"/>
        </w:rPr>
        <w:t xml:space="preserve"> из донације у износу од 100 хиљада </w:t>
      </w:r>
      <w:r>
        <w:rPr>
          <w:rFonts w:eastAsia="Times New Roman" w:cs="Times New Roman"/>
          <w:szCs w:val="24"/>
          <w:lang w:val="sr-Cyrl-RS"/>
        </w:rPr>
        <w:t>евра</w:t>
      </w:r>
      <w:r w:rsidRPr="00252BE4">
        <w:rPr>
          <w:rFonts w:eastAsia="Times New Roman" w:cs="Times New Roman"/>
          <w:szCs w:val="24"/>
          <w:lang w:val="sr-Cyrl-RS"/>
        </w:rPr>
        <w:t xml:space="preserve"> и то за период од 2022-2024. </w:t>
      </w:r>
      <w:r>
        <w:rPr>
          <w:rFonts w:eastAsia="Times New Roman" w:cs="Times New Roman"/>
          <w:szCs w:val="24"/>
          <w:lang w:val="sr-Cyrl-RS"/>
        </w:rPr>
        <w:t>Средства ће бити утрошена на унапређење капацитета у области трговинске политике, којима ће се подстаћи ефикасније спровођење наведених активности.</w:t>
      </w:r>
      <w:r w:rsidRPr="00CB55A4" w:rsidDel="00B24D81">
        <w:rPr>
          <w:rFonts w:eastAsia="Times New Roman" w:cs="Times New Roman"/>
          <w:szCs w:val="24"/>
          <w:lang w:val="sr-Cyrl-RS"/>
        </w:rPr>
        <w:t xml:space="preserve"> </w:t>
      </w:r>
    </w:p>
    <w:p w14:paraId="67721782" w14:textId="77777777" w:rsidR="00DC7F92" w:rsidRPr="00CB55A4" w:rsidRDefault="00DC7F92" w:rsidP="004D22FA">
      <w:pPr>
        <w:pStyle w:val="ListParagraph"/>
        <w:widowControl w:val="0"/>
        <w:numPr>
          <w:ilvl w:val="0"/>
          <w:numId w:val="39"/>
        </w:numPr>
        <w:spacing w:before="120" w:after="160" w:line="259" w:lineRule="auto"/>
        <w:rPr>
          <w:rFonts w:cs="Times New Roman"/>
          <w:b/>
          <w:sz w:val="24"/>
          <w:szCs w:val="24"/>
          <w:lang w:val="sr-Cyrl-RS" w:eastAsia="sr-Cyrl-CS" w:bidi="sr-Cyrl-CS"/>
        </w:rPr>
      </w:pPr>
      <w:r w:rsidRPr="00CB55A4">
        <w:rPr>
          <w:rFonts w:cs="Times New Roman"/>
          <w:b/>
          <w:sz w:val="24"/>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EFCBDC8" w14:textId="5BA6E231" w:rsidR="00DC7F92" w:rsidRDefault="00DC7F92" w:rsidP="00DC7F92">
      <w:pPr>
        <w:spacing w:after="60"/>
        <w:rPr>
          <w:rFonts w:eastAsia="Times New Roman" w:cs="Times New Roman"/>
          <w:szCs w:val="24"/>
          <w:lang w:val="sr-Cyrl-RS"/>
        </w:rPr>
      </w:pPr>
      <w:r w:rsidRPr="00CB7D8F">
        <w:rPr>
          <w:rFonts w:eastAsia="Times New Roman" w:cs="Times New Roman"/>
          <w:szCs w:val="24"/>
          <w:lang w:val="sr-Cyrl-RS"/>
        </w:rPr>
        <w:t>Описане активности ће имати позитиван утицај на пораст запошљавања и остваривање принципа родне равноправности. Очекује се да реформа има позитиван утицај на смањење сиромаштва, док је по питању приступа здравственој заштити неутрална.</w:t>
      </w:r>
    </w:p>
    <w:p w14:paraId="6109562E"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3E3C0937" w14:textId="77777777" w:rsidR="00DC7F92" w:rsidRPr="00A6164C" w:rsidRDefault="00DC7F92" w:rsidP="00DC7F92">
      <w:pPr>
        <w:widowControl w:val="0"/>
        <w:spacing w:after="60"/>
        <w:rPr>
          <w:rFonts w:cs="Times New Roman"/>
          <w:szCs w:val="24"/>
          <w:lang w:val="sr-Cyrl-RS" w:eastAsia="sr-Cyrl-CS" w:bidi="sr-Cyrl-CS"/>
        </w:rPr>
      </w:pPr>
      <w:r w:rsidRPr="00CB7D8F">
        <w:rPr>
          <w:rFonts w:cs="Times New Roman"/>
          <w:szCs w:val="24"/>
          <w:lang w:val="sr-Cyrl-RS" w:eastAsia="sr-Cyrl-CS" w:bidi="sr-Cyrl-CS"/>
        </w:rPr>
        <w:t>Структурна реформа је неутрална у смислу утицаја на животну средину.</w:t>
      </w:r>
    </w:p>
    <w:p w14:paraId="203A490A"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48B75A99"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7710D81A"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5C3F449F"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0238664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0B1C9936" w14:textId="77777777" w:rsidTr="00DC7F92">
        <w:trPr>
          <w:trHeight w:val="429"/>
        </w:trPr>
        <w:tc>
          <w:tcPr>
            <w:tcW w:w="3329" w:type="dxa"/>
          </w:tcPr>
          <w:p w14:paraId="3D1B8603" w14:textId="77777777" w:rsidR="00DC7F92" w:rsidRPr="00A6164C" w:rsidRDefault="00DC7F92" w:rsidP="006B76C3">
            <w:pPr>
              <w:spacing w:before="0" w:after="0"/>
              <w:ind w:left="113" w:right="113"/>
              <w:rPr>
                <w:rFonts w:cs="Times New Roman"/>
                <w:sz w:val="20"/>
                <w:lang w:val="sr-Cyrl-RS"/>
              </w:rPr>
            </w:pPr>
            <w:r w:rsidRPr="00CB7D8F">
              <w:rPr>
                <w:rFonts w:cs="Times New Roman"/>
                <w:sz w:val="20"/>
                <w:lang w:val="sr-Cyrl-RS"/>
              </w:rPr>
              <w:t xml:space="preserve">Пандемија Ковид-19 - потенцијално увођење ванредних трговинских мера од стране најзначајнијих спољнотрговинских партнера, промена структуре тражње, рецесија у </w:t>
            </w:r>
            <w:r>
              <w:rPr>
                <w:rFonts w:cs="Times New Roman"/>
                <w:sz w:val="20"/>
                <w:lang w:val="sr-Cyrl-RS"/>
              </w:rPr>
              <w:t>економијама</w:t>
            </w:r>
            <w:r w:rsidRPr="00CB7D8F">
              <w:rPr>
                <w:rFonts w:cs="Times New Roman"/>
                <w:sz w:val="20"/>
                <w:lang w:val="sr-Cyrl-RS"/>
              </w:rPr>
              <w:t xml:space="preserve"> најзначајнијим спољнотрговинским партнерима</w:t>
            </w:r>
          </w:p>
        </w:tc>
        <w:tc>
          <w:tcPr>
            <w:tcW w:w="2200" w:type="dxa"/>
          </w:tcPr>
          <w:p w14:paraId="63F0F72E"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 xml:space="preserve">Висока </w:t>
            </w:r>
            <w:r>
              <w:rPr>
                <w:rFonts w:cs="Times New Roman"/>
                <w:sz w:val="20"/>
                <w:lang w:val="sr-Cyrl-RS"/>
              </w:rPr>
              <w:br/>
            </w:r>
            <w:r w:rsidRPr="00CB7D8F">
              <w:rPr>
                <w:rFonts w:cs="Times New Roman"/>
                <w:sz w:val="20"/>
                <w:lang w:val="sr-Cyrl-RS"/>
              </w:rPr>
              <w:t>(док траје пандемија)</w:t>
            </w:r>
          </w:p>
        </w:tc>
        <w:tc>
          <w:tcPr>
            <w:tcW w:w="4165" w:type="dxa"/>
          </w:tcPr>
          <w:p w14:paraId="2E47949A" w14:textId="77777777" w:rsidR="00DC7F92" w:rsidRPr="00A6164C" w:rsidRDefault="00DC7F92" w:rsidP="006B76C3">
            <w:pPr>
              <w:spacing w:before="0" w:after="0"/>
              <w:ind w:left="113" w:right="113"/>
              <w:rPr>
                <w:rFonts w:cs="Times New Roman"/>
                <w:sz w:val="20"/>
                <w:lang w:val="sr-Cyrl-RS"/>
              </w:rPr>
            </w:pPr>
            <w:r w:rsidRPr="00CB7D8F">
              <w:rPr>
                <w:rFonts w:cs="Times New Roman"/>
                <w:sz w:val="20"/>
                <w:lang w:val="sr-Cyrl-RS"/>
              </w:rPr>
              <w:t>Координација са најважнијим трговинским партнерима у циљу амортизације негативних ефеката потенцијалних трговинских ограничења.</w:t>
            </w:r>
          </w:p>
        </w:tc>
      </w:tr>
      <w:tr w:rsidR="00DC7F92" w:rsidRPr="00A6164C" w14:paraId="35D561C4" w14:textId="77777777" w:rsidTr="00DC7F92">
        <w:trPr>
          <w:trHeight w:val="536"/>
        </w:trPr>
        <w:tc>
          <w:tcPr>
            <w:tcW w:w="3329" w:type="dxa"/>
          </w:tcPr>
          <w:p w14:paraId="632E681C" w14:textId="77777777" w:rsidR="00DC7F92" w:rsidRPr="00A6164C" w:rsidRDefault="00DC7F92" w:rsidP="006B76C3">
            <w:pPr>
              <w:spacing w:before="0" w:after="0"/>
              <w:ind w:left="113" w:right="113"/>
              <w:rPr>
                <w:rFonts w:cs="Times New Roman"/>
                <w:b/>
                <w:sz w:val="20"/>
                <w:lang w:val="sr-Cyrl-RS"/>
              </w:rPr>
            </w:pPr>
            <w:r w:rsidRPr="00CB7D8F">
              <w:rPr>
                <w:rFonts w:cs="Times New Roman"/>
                <w:sz w:val="20"/>
                <w:lang w:val="sr-Cyrl-RS"/>
              </w:rPr>
              <w:lastRenderedPageBreak/>
              <w:t>Трговинске баријере и мере са економским и трговинским утицајем које уводе ЦЕФТА стране</w:t>
            </w:r>
          </w:p>
        </w:tc>
        <w:tc>
          <w:tcPr>
            <w:tcW w:w="2200" w:type="dxa"/>
          </w:tcPr>
          <w:p w14:paraId="065CDC8E" w14:textId="77777777" w:rsidR="00DC7F92" w:rsidRPr="00597E5E" w:rsidRDefault="00DC7F92" w:rsidP="006B76C3">
            <w:pPr>
              <w:spacing w:before="0" w:after="0"/>
              <w:ind w:left="113" w:right="113"/>
              <w:rPr>
                <w:rFonts w:cs="Times New Roman"/>
                <w:sz w:val="20"/>
                <w:lang w:val="sr-Cyrl-RS"/>
              </w:rPr>
            </w:pPr>
            <w:r w:rsidRPr="00597E5E">
              <w:rPr>
                <w:rFonts w:cs="Times New Roman"/>
                <w:sz w:val="20"/>
                <w:lang w:val="sr-Cyrl-RS"/>
              </w:rPr>
              <w:t>Ниска</w:t>
            </w:r>
          </w:p>
        </w:tc>
        <w:tc>
          <w:tcPr>
            <w:tcW w:w="4165" w:type="dxa"/>
          </w:tcPr>
          <w:p w14:paraId="3385FA05" w14:textId="77777777" w:rsidR="00DC7F92" w:rsidRPr="00A6164C" w:rsidRDefault="00DC7F92" w:rsidP="006B76C3">
            <w:pPr>
              <w:spacing w:before="0" w:after="0"/>
              <w:ind w:left="113" w:right="113"/>
              <w:rPr>
                <w:rFonts w:cs="Times New Roman"/>
                <w:b/>
                <w:sz w:val="20"/>
                <w:lang w:val="sr-Cyrl-RS"/>
              </w:rPr>
            </w:pPr>
            <w:r w:rsidRPr="00CB7D8F">
              <w:rPr>
                <w:rFonts w:cs="Times New Roman"/>
                <w:sz w:val="20"/>
                <w:lang w:val="sr-Cyrl-RS"/>
              </w:rPr>
              <w:t>Координација и комуникација са партнерима ЦЕФТА, дијалог о стварању услова за отклањање трговинских баријера.</w:t>
            </w:r>
          </w:p>
        </w:tc>
      </w:tr>
      <w:tr w:rsidR="00DC7F92" w:rsidRPr="00A6164C" w14:paraId="0FF2BE26" w14:textId="77777777" w:rsidTr="00DC7F92">
        <w:trPr>
          <w:trHeight w:val="536"/>
        </w:trPr>
        <w:tc>
          <w:tcPr>
            <w:tcW w:w="3329" w:type="dxa"/>
          </w:tcPr>
          <w:p w14:paraId="56146EC6" w14:textId="77777777" w:rsidR="00DC7F92" w:rsidRPr="00CB7D8F" w:rsidRDefault="00DC7F92" w:rsidP="006B76C3">
            <w:pPr>
              <w:spacing w:before="0" w:after="0"/>
              <w:ind w:left="113" w:right="113"/>
              <w:rPr>
                <w:rFonts w:cs="Times New Roman"/>
                <w:sz w:val="20"/>
                <w:lang w:val="sr-Cyrl-RS"/>
              </w:rPr>
            </w:pPr>
            <w:r w:rsidRPr="00CB7D8F">
              <w:rPr>
                <w:rFonts w:cs="Times New Roman"/>
                <w:sz w:val="20"/>
                <w:lang w:val="sr-Cyrl-RS"/>
              </w:rPr>
              <w:t>Приступање СТО подразумева мултилатералне преговоре, па окончање процеса зависи и од других учесника (чланица СТО)</w:t>
            </w:r>
          </w:p>
        </w:tc>
        <w:tc>
          <w:tcPr>
            <w:tcW w:w="2200" w:type="dxa"/>
          </w:tcPr>
          <w:p w14:paraId="68EA8236" w14:textId="77777777" w:rsidR="00DC7F92" w:rsidRPr="00597E5E" w:rsidRDefault="00DC7F92" w:rsidP="006B76C3">
            <w:pPr>
              <w:spacing w:before="0" w:after="0"/>
              <w:ind w:left="113" w:right="113"/>
              <w:rPr>
                <w:rFonts w:cs="Times New Roman"/>
                <w:sz w:val="20"/>
                <w:lang w:val="sr-Cyrl-RS"/>
              </w:rPr>
            </w:pPr>
            <w:r w:rsidRPr="00597E5E">
              <w:rPr>
                <w:rFonts w:cs="Times New Roman"/>
                <w:sz w:val="20"/>
                <w:lang w:val="sr-Cyrl-RS"/>
              </w:rPr>
              <w:t>Висока</w:t>
            </w:r>
          </w:p>
        </w:tc>
        <w:tc>
          <w:tcPr>
            <w:tcW w:w="4165" w:type="dxa"/>
          </w:tcPr>
          <w:p w14:paraId="07923B1F" w14:textId="77777777" w:rsidR="00DC7F92" w:rsidRPr="00CB7D8F" w:rsidRDefault="00DC7F92" w:rsidP="006B76C3">
            <w:pPr>
              <w:spacing w:before="0" w:after="0"/>
              <w:ind w:left="113" w:right="113"/>
              <w:rPr>
                <w:rFonts w:cs="Times New Roman"/>
                <w:b/>
                <w:sz w:val="20"/>
                <w:lang w:val="sr-Cyrl-RS"/>
              </w:rPr>
            </w:pPr>
            <w:r w:rsidRPr="00597E5E">
              <w:rPr>
                <w:rFonts w:cs="Times New Roman"/>
                <w:sz w:val="20"/>
                <w:lang w:val="sr-Cyrl-RS"/>
              </w:rPr>
              <w:t>Затварање билатералних преговора са чланицама СТО. С тим у вези, доношење закона о ГМО олакшаће билатералне преговоре са неким чланицама СТО.</w:t>
            </w:r>
          </w:p>
        </w:tc>
      </w:tr>
      <w:tr w:rsidR="00DC7F92" w:rsidRPr="00A6164C" w14:paraId="119D9BA4" w14:textId="77777777" w:rsidTr="00DC7F92">
        <w:trPr>
          <w:trHeight w:val="536"/>
        </w:trPr>
        <w:tc>
          <w:tcPr>
            <w:tcW w:w="3329" w:type="dxa"/>
          </w:tcPr>
          <w:p w14:paraId="6E757FE2" w14:textId="77777777" w:rsidR="00DC7F92" w:rsidRPr="00CB7D8F" w:rsidRDefault="00DC7F92" w:rsidP="006B76C3">
            <w:pPr>
              <w:spacing w:before="0" w:after="0"/>
              <w:ind w:left="113" w:right="113"/>
              <w:rPr>
                <w:rFonts w:cs="Times New Roman"/>
                <w:sz w:val="20"/>
                <w:lang w:val="sr-Cyrl-RS"/>
              </w:rPr>
            </w:pPr>
            <w:r>
              <w:rPr>
                <w:rFonts w:cs="Times New Roman"/>
                <w:sz w:val="20"/>
                <w:lang w:val="sr-Cyrl-RS"/>
              </w:rPr>
              <w:t>Увођење заштитних мера ЕУ (на одређене производе од челика)</w:t>
            </w:r>
          </w:p>
        </w:tc>
        <w:tc>
          <w:tcPr>
            <w:tcW w:w="2200" w:type="dxa"/>
          </w:tcPr>
          <w:p w14:paraId="2CB7F744" w14:textId="77777777" w:rsidR="00DC7F92" w:rsidRPr="00597E5E" w:rsidRDefault="00DC7F92" w:rsidP="006B76C3">
            <w:pPr>
              <w:spacing w:before="0" w:after="0"/>
              <w:ind w:left="113" w:right="113"/>
              <w:rPr>
                <w:rFonts w:cs="Times New Roman"/>
                <w:sz w:val="20"/>
                <w:lang w:val="sr-Cyrl-RS"/>
              </w:rPr>
            </w:pPr>
            <w:r>
              <w:rPr>
                <w:rFonts w:cs="Times New Roman"/>
                <w:sz w:val="20"/>
                <w:lang w:val="sr-Cyrl-RS"/>
              </w:rPr>
              <w:t>Висока</w:t>
            </w:r>
          </w:p>
        </w:tc>
        <w:tc>
          <w:tcPr>
            <w:tcW w:w="4165" w:type="dxa"/>
          </w:tcPr>
          <w:p w14:paraId="2895B06A" w14:textId="77777777" w:rsidR="00DC7F92" w:rsidRPr="00597E5E" w:rsidRDefault="00DC7F92" w:rsidP="006B76C3">
            <w:pPr>
              <w:spacing w:before="0" w:after="0"/>
              <w:ind w:left="113" w:right="113"/>
              <w:rPr>
                <w:rFonts w:cs="Times New Roman"/>
                <w:sz w:val="20"/>
                <w:lang w:val="sr-Cyrl-RS"/>
              </w:rPr>
            </w:pPr>
            <w:r>
              <w:rPr>
                <w:rFonts w:cs="Times New Roman"/>
                <w:sz w:val="20"/>
                <w:lang w:val="sr-Cyrl-RS"/>
              </w:rPr>
              <w:t>Активности на искључивању Републике Србије са листе земаља на које се примењују ЕУ заштитне мере.</w:t>
            </w:r>
          </w:p>
        </w:tc>
      </w:tr>
    </w:tbl>
    <w:p w14:paraId="6668A0D7" w14:textId="77777777" w:rsidR="00DC7F92" w:rsidRDefault="00DC7F92" w:rsidP="00DC7F92">
      <w:pPr>
        <w:spacing w:after="240"/>
        <w:rPr>
          <w:rFonts w:cs="Times New Roman"/>
          <w:szCs w:val="24"/>
          <w:lang w:val="sr-Cyrl-RS"/>
        </w:rPr>
      </w:pPr>
    </w:p>
    <w:p w14:paraId="56EF5622" w14:textId="77777777" w:rsidR="00DC7F92" w:rsidRPr="00A6164C"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37" w:name="_Toc89375540"/>
      <w:r w:rsidRPr="008C478F">
        <w:rPr>
          <w:rFonts w:eastAsiaTheme="majorEastAsia" w:cstheme="majorBidi"/>
          <w:b/>
          <w:szCs w:val="24"/>
          <w:lang w:val="sr-Cyrl-RS"/>
        </w:rPr>
        <w:t>5.2.</w:t>
      </w:r>
      <w:r w:rsidRPr="008C478F">
        <w:rPr>
          <w:rFonts w:eastAsiaTheme="majorEastAsia" w:cstheme="majorBidi"/>
          <w:b/>
          <w:szCs w:val="24"/>
          <w:lang w:val="sr-Latn-RS"/>
        </w:rPr>
        <w:t>7</w:t>
      </w:r>
      <w:r w:rsidRPr="008C478F">
        <w:rPr>
          <w:rFonts w:eastAsiaTheme="majorEastAsia" w:cstheme="majorBidi"/>
          <w:b/>
          <w:szCs w:val="24"/>
          <w:lang w:val="sr-Cyrl-RS"/>
        </w:rPr>
        <w:t>. Област</w:t>
      </w:r>
      <w:r w:rsidRPr="008C478F">
        <w:rPr>
          <w:rFonts w:eastAsiaTheme="majorEastAsia" w:cstheme="majorBidi"/>
          <w:b/>
          <w:lang w:val="sr-Cyrl-RS"/>
        </w:rPr>
        <w:t xml:space="preserve"> РЕФОРМЕ ЕНЕРГЕТСКОГ ТРЖИШТА</w:t>
      </w:r>
      <w:bookmarkEnd w:id="37"/>
    </w:p>
    <w:p w14:paraId="36C8441F" w14:textId="77777777" w:rsidR="00DC7F92" w:rsidRDefault="00DC7F92" w:rsidP="003F1FDD">
      <w:pPr>
        <w:spacing w:after="60"/>
        <w:rPr>
          <w:szCs w:val="24"/>
          <w:lang w:val="sr-Cyrl-RS"/>
        </w:rPr>
      </w:pPr>
      <w:r w:rsidRPr="006B30A9">
        <w:rPr>
          <w:rFonts w:cs="Times New Roman"/>
          <w:noProof/>
          <w:szCs w:val="24"/>
          <w:lang w:val="sr-Cyrl-RS"/>
        </w:rPr>
        <w:t>Ова област и релевантне реформе (</w:t>
      </w:r>
      <w:r w:rsidRPr="006B30A9">
        <w:rPr>
          <w:rFonts w:cs="Times New Roman"/>
          <w:i/>
          <w:noProof/>
          <w:szCs w:val="24"/>
        </w:rPr>
        <w:t>7</w:t>
      </w:r>
      <w:r w:rsidRPr="006B30A9">
        <w:rPr>
          <w:rFonts w:cs="Times New Roman"/>
          <w:i/>
          <w:noProof/>
          <w:szCs w:val="24"/>
          <w:lang w:val="sr-Cyrl-RS"/>
        </w:rPr>
        <w:t>. Развој енергетског тржишта уз изградњу енергетске инфраструктуре</w:t>
      </w:r>
      <w:r w:rsidRPr="006B30A9">
        <w:rPr>
          <w:rFonts w:cs="Times New Roman"/>
          <w:noProof/>
          <w:szCs w:val="24"/>
          <w:lang w:val="sr-Cyrl-RS"/>
        </w:rPr>
        <w:t xml:space="preserve"> и </w:t>
      </w:r>
      <w:r w:rsidRPr="006B30A9">
        <w:rPr>
          <w:rFonts w:cs="Times New Roman"/>
          <w:i/>
          <w:noProof/>
          <w:szCs w:val="24"/>
        </w:rPr>
        <w:t>8</w:t>
      </w:r>
      <w:r w:rsidRPr="006B30A9">
        <w:rPr>
          <w:rFonts w:cs="Times New Roman"/>
          <w:i/>
          <w:noProof/>
          <w:szCs w:val="24"/>
          <w:lang w:val="sr-Cyrl-RS"/>
        </w:rPr>
        <w:t>.</w:t>
      </w:r>
      <w:r w:rsidRPr="006B30A9">
        <w:rPr>
          <w:rFonts w:cs="Times New Roman"/>
          <w:noProof/>
          <w:szCs w:val="24"/>
          <w:lang w:val="sr-Cyrl-RS"/>
        </w:rPr>
        <w:t xml:space="preserve"> </w:t>
      </w:r>
      <w:r w:rsidRPr="006B30A9">
        <w:rPr>
          <w:rFonts w:cs="Times New Roman"/>
          <w:i/>
          <w:noProof/>
          <w:szCs w:val="24"/>
          <w:lang w:val="sr-Cyrl-RS"/>
        </w:rPr>
        <w:t>Унапређење услова за повећање енергетске ефикасности кроз хармонизацију законодавног оквира са ЕУ, финансирање пројеката енергетске ефикасности и изградња капацитета управе за финаисирање и подстицање енергетске ефикасности</w:t>
      </w:r>
      <w:r w:rsidRPr="006B30A9">
        <w:rPr>
          <w:rFonts w:cs="Times New Roman"/>
          <w:noProof/>
          <w:szCs w:val="24"/>
          <w:lang w:val="sr-Cyrl-RS"/>
        </w:rPr>
        <w:t xml:space="preserve">) анализирани су у одељку 5.1. под </w:t>
      </w:r>
      <w:r w:rsidRPr="006B30A9">
        <w:rPr>
          <w:rFonts w:cs="Times New Roman"/>
          <w:i/>
          <w:noProof/>
          <w:szCs w:val="24"/>
          <w:lang w:val="sr-Cyrl-RS"/>
        </w:rPr>
        <w:t xml:space="preserve">Кључним изазовом број </w:t>
      </w:r>
      <w:r w:rsidRPr="006B30A9">
        <w:rPr>
          <w:rFonts w:cs="Times New Roman"/>
          <w:i/>
          <w:noProof/>
          <w:szCs w:val="24"/>
        </w:rPr>
        <w:t>3</w:t>
      </w:r>
      <w:r w:rsidRPr="006B30A9">
        <w:rPr>
          <w:rFonts w:cs="Times New Roman"/>
          <w:i/>
          <w:noProof/>
          <w:szCs w:val="24"/>
          <w:lang w:val="sr-Cyrl-RS"/>
        </w:rPr>
        <w:t>. Озелењавање енергетског сектора и потпуно отварање енергетског тржишта</w:t>
      </w:r>
      <w:r w:rsidRPr="006B30A9">
        <w:rPr>
          <w:rFonts w:cs="Times New Roman"/>
          <w:noProof/>
          <w:szCs w:val="24"/>
          <w:lang w:val="sr-Cyrl-RS"/>
        </w:rPr>
        <w:t>.</w:t>
      </w:r>
    </w:p>
    <w:p w14:paraId="3BEA3713" w14:textId="77777777" w:rsidR="00DC7F92" w:rsidRDefault="00DC7F92" w:rsidP="00DC7F92">
      <w:pPr>
        <w:spacing w:after="60"/>
        <w:rPr>
          <w:rFonts w:cs="Times New Roman"/>
          <w:szCs w:val="24"/>
          <w:lang w:val="sr-Cyrl-RS"/>
        </w:rPr>
      </w:pPr>
    </w:p>
    <w:p w14:paraId="234F9744" w14:textId="77777777" w:rsidR="00DC7F92" w:rsidRPr="00A6164C"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38" w:name="_Toc89375541"/>
      <w:bookmarkStart w:id="39" w:name="_Toc62458646"/>
      <w:r w:rsidRPr="008C478F">
        <w:rPr>
          <w:rFonts w:eastAsiaTheme="majorEastAsia" w:cstheme="majorBidi"/>
          <w:b/>
          <w:szCs w:val="24"/>
          <w:lang w:val="sr-Cyrl-RS"/>
        </w:rPr>
        <w:t>5.2.</w:t>
      </w:r>
      <w:r w:rsidRPr="008C478F">
        <w:rPr>
          <w:rFonts w:eastAsiaTheme="majorEastAsia" w:cstheme="majorBidi"/>
          <w:b/>
          <w:szCs w:val="24"/>
          <w:lang w:val="sr-Latn-RS"/>
        </w:rPr>
        <w:t>8</w:t>
      </w:r>
      <w:r w:rsidRPr="008C478F">
        <w:rPr>
          <w:rFonts w:eastAsiaTheme="majorEastAsia" w:cstheme="majorBidi"/>
          <w:b/>
          <w:szCs w:val="24"/>
          <w:lang w:val="sr-Cyrl-RS"/>
        </w:rPr>
        <w:t>. Област</w:t>
      </w:r>
      <w:r w:rsidRPr="008C478F">
        <w:rPr>
          <w:rFonts w:eastAsiaTheme="majorEastAsia" w:cstheme="majorBidi"/>
          <w:b/>
          <w:lang w:val="sr-Cyrl-RS"/>
        </w:rPr>
        <w:t xml:space="preserve"> РЕФОРМЕ ТРАНСПОРТНОГ ТРЖИШТА</w:t>
      </w:r>
      <w:bookmarkEnd w:id="38"/>
    </w:p>
    <w:p w14:paraId="3F6ACA7E" w14:textId="77777777" w:rsidR="00DC7F92" w:rsidRDefault="00DC7F92" w:rsidP="00DC7F92">
      <w:pPr>
        <w:spacing w:before="120"/>
        <w:rPr>
          <w:rFonts w:cs="Times New Roman"/>
          <w:b/>
          <w:noProof/>
          <w:szCs w:val="24"/>
          <w:lang w:val="sr-Cyrl-RS"/>
        </w:rPr>
      </w:pPr>
      <w:r w:rsidRPr="00C32D10">
        <w:rPr>
          <w:rFonts w:cs="Times New Roman"/>
          <w:b/>
          <w:noProof/>
          <w:szCs w:val="24"/>
          <w:lang w:val="sr-Cyrl-RS"/>
        </w:rPr>
        <w:t>а) Анализа главних препрека</w:t>
      </w:r>
    </w:p>
    <w:p w14:paraId="7EE725DA" w14:textId="77777777" w:rsidR="00DC7F92" w:rsidRPr="00A6164C" w:rsidRDefault="00DC7F92" w:rsidP="003F1FDD">
      <w:pPr>
        <w:spacing w:after="60"/>
        <w:rPr>
          <w:rFonts w:cs="Times New Roman"/>
          <w:szCs w:val="24"/>
          <w:lang w:val="sr-Cyrl-RS"/>
        </w:rPr>
      </w:pPr>
      <w:r w:rsidRPr="0001379F">
        <w:rPr>
          <w:rFonts w:cs="Times New Roman"/>
          <w:b/>
          <w:szCs w:val="24"/>
          <w:lang w:val="sr-Cyrl-RS"/>
        </w:rPr>
        <w:t>У области транспорта постоји висока усаглашеност са правним тековинама ЕУ</w:t>
      </w:r>
      <w:r w:rsidRPr="0001379F">
        <w:rPr>
          <w:rFonts w:cs="Times New Roman"/>
          <w:szCs w:val="24"/>
          <w:lang w:val="sr-Cyrl-RS"/>
        </w:rPr>
        <w:t>. Потребно је усвојити свеобухватну стратегију развоја с</w:t>
      </w:r>
      <w:r>
        <w:rPr>
          <w:rFonts w:cs="Times New Roman"/>
          <w:szCs w:val="24"/>
          <w:lang w:val="sr-Cyrl-RS"/>
        </w:rPr>
        <w:t xml:space="preserve">аобраћаја и општи мастер план, </w:t>
      </w:r>
      <w:r w:rsidRPr="0001379F">
        <w:rPr>
          <w:rFonts w:cs="Times New Roman"/>
          <w:szCs w:val="24"/>
          <w:lang w:val="sr-Cyrl-RS"/>
        </w:rPr>
        <w:t>изградити и модернизовати путну и железничку инфраструктуру, унапредити ниво безбедности у саобраћају, олакшати процедуре на граничним прелазима и успоставити комбиновани/интермодални транспорт.</w:t>
      </w:r>
    </w:p>
    <w:p w14:paraId="04A4137C" w14:textId="77777777" w:rsidR="00DC7F92" w:rsidRDefault="00DC7F92" w:rsidP="003F1FDD">
      <w:pPr>
        <w:spacing w:after="60"/>
        <w:rPr>
          <w:rFonts w:cs="Times New Roman"/>
          <w:b/>
          <w:szCs w:val="24"/>
          <w:lang w:val="sr-Cyrl-RS"/>
        </w:rPr>
      </w:pPr>
      <w:r w:rsidRPr="00BB146E">
        <w:rPr>
          <w:rFonts w:cs="Times New Roman"/>
          <w:b/>
          <w:szCs w:val="24"/>
        </w:rPr>
        <w:t>Неопходно је довршити реконструкцију постојећих и изградити нове деонице путева.</w:t>
      </w:r>
      <w:r>
        <w:rPr>
          <w:rFonts w:cs="Times New Roman"/>
          <w:b/>
          <w:szCs w:val="24"/>
          <w:lang w:val="sr-Cyrl-RS"/>
        </w:rPr>
        <w:t xml:space="preserve"> </w:t>
      </w:r>
      <w:r>
        <w:rPr>
          <w:rFonts w:cs="Times New Roman"/>
          <w:bCs/>
          <w:szCs w:val="24"/>
          <w:lang w:val="sr-Cyrl-RS"/>
        </w:rPr>
        <w:t>Најзначајнији ризик</w:t>
      </w:r>
      <w:r w:rsidRPr="008E1376">
        <w:rPr>
          <w:rFonts w:cs="Times New Roman"/>
          <w:bCs/>
          <w:szCs w:val="24"/>
          <w:lang w:val="sr-Cyrl-RS"/>
        </w:rPr>
        <w:t xml:space="preserve"> за све </w:t>
      </w:r>
      <w:r>
        <w:rPr>
          <w:rFonts w:cs="Times New Roman"/>
          <w:bCs/>
          <w:szCs w:val="24"/>
          <w:lang w:val="sr-Cyrl-RS"/>
        </w:rPr>
        <w:t>инфраструктурне</w:t>
      </w:r>
      <w:r w:rsidRPr="008E1376">
        <w:rPr>
          <w:rFonts w:cs="Times New Roman"/>
          <w:bCs/>
          <w:szCs w:val="24"/>
          <w:lang w:val="sr-Cyrl-RS"/>
        </w:rPr>
        <w:t xml:space="preserve"> пројекте је решавање имовинско-правних односа, односно поступци експропријације који могу да угрозе</w:t>
      </w:r>
      <w:r w:rsidRPr="008E1376">
        <w:rPr>
          <w:rFonts w:cs="Times New Roman"/>
          <w:bCs/>
          <w:szCs w:val="24"/>
          <w:lang w:val="sr-Cyrl-CS"/>
        </w:rPr>
        <w:t xml:space="preserve"> динамику реализације пројеката. </w:t>
      </w:r>
      <w:r w:rsidRPr="008E1376">
        <w:rPr>
          <w:rFonts w:cs="Times New Roman"/>
          <w:szCs w:val="24"/>
          <w:lang w:val="sr-Cyrl-RS"/>
        </w:rPr>
        <w:t>Потребно је да катастар непокретности убрза поступке решавања предмета и експропријације катастарских парцела како би се омогућило несметана реализација инфраструктурних пројеката.</w:t>
      </w:r>
      <w:r w:rsidRPr="008E1376">
        <w:rPr>
          <w:rFonts w:cs="Times New Roman"/>
          <w:szCs w:val="24"/>
          <w:vertAlign w:val="superscript"/>
          <w:lang w:val="sr-Cyrl-RS"/>
        </w:rPr>
        <w:footnoteReference w:id="81"/>
      </w:r>
      <w:r>
        <w:rPr>
          <w:rFonts w:cs="Times New Roman"/>
          <w:szCs w:val="24"/>
          <w:lang w:val="sr-Cyrl-RS"/>
        </w:rPr>
        <w:t xml:space="preserve"> Неопходно </w:t>
      </w:r>
      <w:r w:rsidRPr="008E1376">
        <w:rPr>
          <w:rFonts w:cs="Times New Roman"/>
          <w:szCs w:val="24"/>
          <w:lang w:val="sr-Cyrl-RS"/>
        </w:rPr>
        <w:t>је у већој мери извршити приоритизацију инфраструктурних пројеката на основу израде студија изводљивос</w:t>
      </w:r>
      <w:r>
        <w:rPr>
          <w:rFonts w:cs="Times New Roman"/>
          <w:szCs w:val="24"/>
          <w:lang w:val="sr-Cyrl-RS"/>
        </w:rPr>
        <w:t>ти и анализе трошкова и користи</w:t>
      </w:r>
      <w:r w:rsidRPr="008E1376">
        <w:rPr>
          <w:rFonts w:cs="Times New Roman"/>
          <w:szCs w:val="24"/>
          <w:lang w:val="sr-Cyrl-RS"/>
        </w:rPr>
        <w:t>.</w:t>
      </w:r>
      <w:r w:rsidRPr="008E1376">
        <w:rPr>
          <w:rFonts w:cs="Times New Roman"/>
          <w:szCs w:val="24"/>
          <w:vertAlign w:val="superscript"/>
          <w:lang w:val="sr-Cyrl-RS"/>
        </w:rPr>
        <w:footnoteReference w:id="82"/>
      </w:r>
      <w:r>
        <w:rPr>
          <w:rFonts w:cs="Times New Roman"/>
          <w:szCs w:val="24"/>
          <w:lang w:val="sr-Cyrl-RS"/>
        </w:rPr>
        <w:t xml:space="preserve"> </w:t>
      </w:r>
      <w:r w:rsidRPr="00E93C7B">
        <w:rPr>
          <w:rFonts w:cs="Times New Roman"/>
          <w:szCs w:val="24"/>
          <w:lang w:val="sr-Cyrl-RS"/>
        </w:rPr>
        <w:t xml:space="preserve">У оквиру инфраструктурног пројекта Рута 4 Београд-Јужни Јадран у току су </w:t>
      </w:r>
      <w:r w:rsidRPr="00E93C7B">
        <w:rPr>
          <w:rFonts w:eastAsia="Calibri" w:cs="Times New Roman"/>
          <w:szCs w:val="24"/>
          <w:lang w:val="sr-Cyrl-RS"/>
        </w:rPr>
        <w:t>радови на деоници Прељина-Пожега дужине 30,9 км, а планиран завршетак ове деонице је у јануару 2022. године.</w:t>
      </w:r>
      <w:r w:rsidRPr="00B10F4F">
        <w:rPr>
          <w:rFonts w:cs="Times New Roman"/>
          <w:szCs w:val="24"/>
          <w:lang w:val="sr-Cyrl-RS"/>
        </w:rPr>
        <w:t xml:space="preserve"> </w:t>
      </w:r>
      <w:r w:rsidRPr="00B10F4F">
        <w:rPr>
          <w:rFonts w:eastAsia="Calibri" w:cs="Times New Roman"/>
          <w:szCs w:val="24"/>
          <w:lang w:val="sr-Cyrl-RS"/>
        </w:rPr>
        <w:t xml:space="preserve">Настављена је изградња аутопута Београд-Сарајево (Сремска Рача-Кузмин 18 км), а тренутно се одвијају </w:t>
      </w:r>
      <w:r w:rsidRPr="00B10F4F">
        <w:rPr>
          <w:rFonts w:eastAsia="Calibri" w:cs="Times New Roman"/>
          <w:szCs w:val="24"/>
          <w:lang w:val="sr-Cyrl-CS"/>
        </w:rPr>
        <w:t>радови на мосту преко реке Саве</w:t>
      </w:r>
      <w:r>
        <w:rPr>
          <w:rFonts w:eastAsia="Calibri" w:cs="Times New Roman"/>
          <w:szCs w:val="24"/>
          <w:lang w:val="sr-Latn-RS"/>
        </w:rPr>
        <w:t xml:space="preserve">, </w:t>
      </w:r>
      <w:r>
        <w:rPr>
          <w:rFonts w:eastAsia="Calibri" w:cs="Times New Roman"/>
          <w:szCs w:val="24"/>
          <w:lang w:val="sr-Cyrl-RS"/>
        </w:rPr>
        <w:t>завршетак деонице до краја 2022</w:t>
      </w:r>
      <w:r>
        <w:rPr>
          <w:rFonts w:eastAsia="Calibri" w:cs="Times New Roman"/>
          <w:szCs w:val="24"/>
          <w:lang w:val="sr-Cyrl-CS"/>
        </w:rPr>
        <w:t xml:space="preserve">. </w:t>
      </w:r>
      <w:r>
        <w:rPr>
          <w:rFonts w:eastAsia="Calibri" w:cs="Times New Roman"/>
          <w:szCs w:val="24"/>
          <w:lang w:val="sr-Cyrl-RS"/>
        </w:rPr>
        <w:t>У</w:t>
      </w:r>
      <w:r w:rsidRPr="00590057">
        <w:rPr>
          <w:rFonts w:eastAsia="Calibri" w:cs="Times New Roman"/>
          <w:szCs w:val="24"/>
          <w:lang w:val="sr-Cyrl-RS"/>
        </w:rPr>
        <w:t xml:space="preserve"> оквиру Моравског кори</w:t>
      </w:r>
      <w:r>
        <w:rPr>
          <w:rFonts w:eastAsia="Calibri" w:cs="Times New Roman"/>
          <w:szCs w:val="24"/>
          <w:lang w:val="sr-Cyrl-RS"/>
        </w:rPr>
        <w:t xml:space="preserve">дора (Појате-Прељина 109,6 км) </w:t>
      </w:r>
      <w:r w:rsidRPr="00590057">
        <w:rPr>
          <w:rFonts w:eastAsia="Calibri" w:cs="Times New Roman"/>
          <w:szCs w:val="24"/>
          <w:lang w:val="sr-Cyrl-RS"/>
        </w:rPr>
        <w:t xml:space="preserve">у току су радови на релацији Појате-Крушевац, а завршетак целог пројекта </w:t>
      </w:r>
      <w:r>
        <w:rPr>
          <w:rFonts w:eastAsia="Calibri" w:cs="Times New Roman"/>
          <w:szCs w:val="24"/>
          <w:lang w:val="sr-Cyrl-RS"/>
        </w:rPr>
        <w:t xml:space="preserve">је планиран </w:t>
      </w:r>
      <w:r w:rsidRPr="00590057">
        <w:rPr>
          <w:rFonts w:eastAsia="Calibri" w:cs="Times New Roman"/>
          <w:szCs w:val="24"/>
          <w:lang w:val="sr-Cyrl-RS"/>
        </w:rPr>
        <w:t>до марта 2024</w:t>
      </w:r>
      <w:r>
        <w:rPr>
          <w:rFonts w:eastAsia="Calibri" w:cs="Times New Roman"/>
          <w:szCs w:val="24"/>
          <w:lang w:val="sr-Cyrl-RS"/>
        </w:rPr>
        <w:t xml:space="preserve">. </w:t>
      </w:r>
      <w:r w:rsidRPr="00FD2CCF">
        <w:rPr>
          <w:rFonts w:eastAsia="Calibri" w:cs="Times New Roman"/>
          <w:szCs w:val="24"/>
          <w:lang w:val="sr-Cyrl-RS"/>
        </w:rPr>
        <w:t>У оквиру аутопута Рума-Шабац-Лозница почели су радова на де</w:t>
      </w:r>
      <w:r>
        <w:rPr>
          <w:rFonts w:eastAsia="Calibri" w:cs="Times New Roman"/>
          <w:szCs w:val="24"/>
          <w:lang w:val="sr-Cyrl-RS"/>
        </w:rPr>
        <w:t xml:space="preserve">оници Рума-Шабац дужине 21,6 км. </w:t>
      </w:r>
      <w:r w:rsidRPr="00BF0472">
        <w:rPr>
          <w:rFonts w:eastAsia="Calibri" w:cs="Times New Roman"/>
          <w:szCs w:val="24"/>
          <w:lang w:val="sr-Cyrl-RS"/>
        </w:rPr>
        <w:t xml:space="preserve">Обилазница око Београда на сектору Б (31 км) је у изградњи </w:t>
      </w:r>
      <w:r w:rsidRPr="00AA12D9">
        <w:rPr>
          <w:rFonts w:eastAsia="Calibri" w:cs="Times New Roman"/>
          <w:szCs w:val="24"/>
          <w:lang w:val="sr-Cyrl-RS"/>
        </w:rPr>
        <w:t xml:space="preserve">и тренутно се обављају радови на </w:t>
      </w:r>
      <w:r>
        <w:rPr>
          <w:rFonts w:eastAsia="Calibri" w:cs="Times New Roman"/>
          <w:szCs w:val="24"/>
          <w:lang w:val="sr-Latn-RS"/>
        </w:rPr>
        <w:t>деониц</w:t>
      </w:r>
      <w:r>
        <w:rPr>
          <w:rFonts w:eastAsia="Calibri" w:cs="Times New Roman"/>
          <w:szCs w:val="24"/>
          <w:lang w:val="sr-Cyrl-RS"/>
        </w:rPr>
        <w:t>и</w:t>
      </w:r>
      <w:r w:rsidRPr="00AA12D9">
        <w:rPr>
          <w:rFonts w:eastAsia="Calibri" w:cs="Times New Roman"/>
          <w:szCs w:val="24"/>
          <w:lang w:val="sr-Latn-RS"/>
        </w:rPr>
        <w:t xml:space="preserve"> Мост преко реке Саве код Остружнице - Бубањ поток</w:t>
      </w:r>
      <w:r w:rsidRPr="00AA12D9">
        <w:rPr>
          <w:rFonts w:eastAsia="Calibri" w:cs="Times New Roman"/>
          <w:szCs w:val="24"/>
          <w:lang w:val="sr-Cyrl-RS"/>
        </w:rPr>
        <w:t>.</w:t>
      </w:r>
      <w:r w:rsidRPr="00AA12D9">
        <w:rPr>
          <w:rFonts w:cs="Times New Roman"/>
          <w:szCs w:val="24"/>
          <w:lang w:val="sr-Cyrl-RS"/>
        </w:rPr>
        <w:t xml:space="preserve"> </w:t>
      </w:r>
      <w:r w:rsidRPr="00AA12D9">
        <w:rPr>
          <w:rFonts w:eastAsia="Calibri" w:cs="Times New Roman"/>
          <w:szCs w:val="24"/>
          <w:lang w:val="sr-Cyrl-RS"/>
        </w:rPr>
        <w:t>Интензивирани су радови на реконструкција 5.000 км локалних путева</w:t>
      </w:r>
      <w:r>
        <w:rPr>
          <w:rFonts w:eastAsia="Calibri" w:cs="Times New Roman"/>
          <w:szCs w:val="24"/>
          <w:lang w:val="sr-Cyrl-RS"/>
        </w:rPr>
        <w:t xml:space="preserve"> и изградњ</w:t>
      </w:r>
      <w:r w:rsidRPr="00AA12D9">
        <w:rPr>
          <w:rFonts w:eastAsia="Calibri" w:cs="Times New Roman"/>
          <w:szCs w:val="24"/>
          <w:lang w:val="sr-Cyrl-RS"/>
        </w:rPr>
        <w:t>и обилазница око већих насељених места.</w:t>
      </w:r>
      <w:r>
        <w:rPr>
          <w:rFonts w:eastAsia="Calibri" w:cs="Times New Roman"/>
          <w:szCs w:val="24"/>
          <w:lang w:val="sr-Cyrl-RS"/>
        </w:rPr>
        <w:t xml:space="preserve"> </w:t>
      </w:r>
      <w:r w:rsidRPr="00FD2CCF">
        <w:rPr>
          <w:rFonts w:eastAsia="Calibri" w:cs="Times New Roman"/>
          <w:szCs w:val="24"/>
          <w:lang w:val="sr-Cyrl-RS"/>
        </w:rPr>
        <w:t xml:space="preserve">Планиран је почетак радова на Гружанском и </w:t>
      </w:r>
      <w:r w:rsidRPr="00FD2CCF">
        <w:rPr>
          <w:rFonts w:eastAsia="Calibri" w:cs="Times New Roman"/>
          <w:szCs w:val="24"/>
        </w:rPr>
        <w:t>Фрушкогорском</w:t>
      </w:r>
      <w:r w:rsidRPr="00FD2CCF">
        <w:rPr>
          <w:rFonts w:eastAsia="Calibri" w:cs="Times New Roman"/>
          <w:szCs w:val="24"/>
          <w:lang w:val="sr-Cyrl-RS"/>
        </w:rPr>
        <w:t xml:space="preserve"> коридору и на аутопуту Београд</w:t>
      </w:r>
      <w:r>
        <w:rPr>
          <w:rFonts w:eastAsia="Calibri" w:cs="Times New Roman"/>
          <w:szCs w:val="24"/>
          <w:lang w:val="sr-Cyrl-RS"/>
        </w:rPr>
        <w:t>-Зрењанин-</w:t>
      </w:r>
      <w:r w:rsidRPr="009D4FA6">
        <w:rPr>
          <w:rFonts w:eastAsia="Calibri" w:cs="Times New Roman"/>
          <w:szCs w:val="24"/>
          <w:lang w:val="sr-Cyrl-RS"/>
        </w:rPr>
        <w:t xml:space="preserve">Нови Сад. Морају се узети у обзир економски, безбедносни и еколошки </w:t>
      </w:r>
      <w:r w:rsidRPr="009D4FA6">
        <w:rPr>
          <w:rFonts w:eastAsia="Calibri" w:cs="Times New Roman"/>
          <w:szCs w:val="24"/>
          <w:lang w:val="sr-Cyrl-RS"/>
        </w:rPr>
        <w:lastRenderedPageBreak/>
        <w:t xml:space="preserve">аспекти приликом </w:t>
      </w:r>
      <w:r>
        <w:rPr>
          <w:rFonts w:eastAsia="Calibri" w:cs="Times New Roman"/>
          <w:szCs w:val="24"/>
          <w:lang w:val="sr-Cyrl-RS"/>
        </w:rPr>
        <w:t xml:space="preserve">даљег </w:t>
      </w:r>
      <w:r w:rsidRPr="009D4FA6">
        <w:rPr>
          <w:rFonts w:eastAsia="Calibri" w:cs="Times New Roman"/>
          <w:szCs w:val="24"/>
          <w:lang w:val="sr-Cyrl-RS"/>
        </w:rPr>
        <w:t xml:space="preserve">улагања у путну </w:t>
      </w:r>
      <w:r w:rsidRPr="00D43BD4">
        <w:rPr>
          <w:rFonts w:eastAsia="Calibri" w:cs="Times New Roman"/>
          <w:szCs w:val="24"/>
          <w:lang w:val="sr-Cyrl-RS"/>
        </w:rPr>
        <w:t>инфрастр</w:t>
      </w:r>
      <w:r>
        <w:rPr>
          <w:rFonts w:eastAsia="Calibri" w:cs="Times New Roman"/>
          <w:szCs w:val="24"/>
          <w:lang w:val="sr-Cyrl-RS"/>
        </w:rPr>
        <w:t>уктуру. Изградња и модернизација</w:t>
      </w:r>
      <w:r w:rsidRPr="00D43BD4">
        <w:rPr>
          <w:rFonts w:eastAsia="Calibri" w:cs="Times New Roman"/>
          <w:szCs w:val="24"/>
          <w:lang w:val="sr-Cyrl-RS"/>
        </w:rPr>
        <w:t xml:space="preserve"> путева је неопходна како би се унапредио проток и смањило задржавање друмских возила.</w:t>
      </w:r>
    </w:p>
    <w:p w14:paraId="258C361E" w14:textId="77777777" w:rsidR="00DC7F92" w:rsidRPr="002E6D82" w:rsidRDefault="00DC7F92" w:rsidP="003F1FDD">
      <w:pPr>
        <w:spacing w:after="60"/>
        <w:rPr>
          <w:rFonts w:cs="Times New Roman"/>
          <w:b/>
          <w:szCs w:val="24"/>
          <w:lang w:val="sr-Cyrl-RS"/>
        </w:rPr>
      </w:pPr>
      <w:r>
        <w:rPr>
          <w:rFonts w:cs="Times New Roman"/>
          <w:b/>
          <w:bCs/>
          <w:szCs w:val="24"/>
          <w:lang w:val="sr-Cyrl-RS"/>
        </w:rPr>
        <w:t>Потребно</w:t>
      </w:r>
      <w:r w:rsidRPr="00B7319E">
        <w:rPr>
          <w:rFonts w:cs="Times New Roman"/>
          <w:b/>
          <w:bCs/>
          <w:szCs w:val="24"/>
          <w:lang w:val="sr-Cyrl-RS"/>
        </w:rPr>
        <w:t xml:space="preserve"> је додатно ојачати и унапредити комуналну инфраструктуру. </w:t>
      </w:r>
      <w:r w:rsidRPr="00B7319E">
        <w:rPr>
          <w:rFonts w:cs="Times New Roman"/>
          <w:bCs/>
          <w:szCs w:val="24"/>
        </w:rPr>
        <w:t xml:space="preserve">Пројектом „Чиста </w:t>
      </w:r>
      <w:r w:rsidRPr="00356AC3">
        <w:rPr>
          <w:rFonts w:cs="Times New Roman"/>
          <w:bCs/>
          <w:szCs w:val="24"/>
          <w:lang w:val="sr-Cyrl-RS"/>
        </w:rPr>
        <w:t>Србија“</w:t>
      </w:r>
      <w:r>
        <w:rPr>
          <w:rFonts w:cs="Times New Roman"/>
          <w:bCs/>
          <w:szCs w:val="24"/>
        </w:rPr>
        <w:t xml:space="preserve"> </w:t>
      </w:r>
      <w:r w:rsidRPr="00356AC3">
        <w:rPr>
          <w:rFonts w:cs="Times New Roman"/>
          <w:bCs/>
          <w:szCs w:val="24"/>
          <w:lang w:val="sr-Cyrl-RS"/>
        </w:rPr>
        <w:t>чија је реализација зап</w:t>
      </w:r>
      <w:r>
        <w:rPr>
          <w:rFonts w:cs="Times New Roman"/>
          <w:bCs/>
          <w:szCs w:val="24"/>
          <w:lang w:val="sr-Cyrl-RS"/>
        </w:rPr>
        <w:t>очета у 2021. години, предвиђена</w:t>
      </w:r>
      <w:r w:rsidRPr="00356AC3">
        <w:rPr>
          <w:rFonts w:cs="Times New Roman"/>
          <w:bCs/>
          <w:szCs w:val="24"/>
          <w:lang w:val="sr-Cyrl-RS"/>
        </w:rPr>
        <w:t xml:space="preserve"> је изградња система за пречишћавање отпадних</w:t>
      </w:r>
      <w:r w:rsidRPr="00B7319E">
        <w:rPr>
          <w:rFonts w:cs="Times New Roman"/>
          <w:bCs/>
          <w:szCs w:val="24"/>
          <w:lang w:val="sr-Cyrl-RS"/>
        </w:rPr>
        <w:t xml:space="preserve"> вода и канализационе мреже на нивоу општина и градова. Планирано је да </w:t>
      </w:r>
      <w:r>
        <w:rPr>
          <w:rFonts w:cs="Times New Roman"/>
          <w:bCs/>
          <w:szCs w:val="24"/>
          <w:lang w:val="sr-Cyrl-RS"/>
        </w:rPr>
        <w:t>пројектом буде обухваћено 65 јединица локалне самоуправе</w:t>
      </w:r>
      <w:r w:rsidRPr="00B7319E">
        <w:rPr>
          <w:rFonts w:cs="Times New Roman"/>
          <w:bCs/>
          <w:szCs w:val="24"/>
          <w:lang w:val="sr-Cyrl-RS"/>
        </w:rPr>
        <w:t xml:space="preserve">. </w:t>
      </w:r>
      <w:r>
        <w:rPr>
          <w:rFonts w:cs="Times New Roman"/>
          <w:bCs/>
          <w:szCs w:val="24"/>
          <w:lang w:val="sr-Cyrl-RS"/>
        </w:rPr>
        <w:t>Пројектом је обухваћена</w:t>
      </w:r>
      <w:r w:rsidRPr="00B7319E">
        <w:rPr>
          <w:rFonts w:cs="Times New Roman"/>
          <w:bCs/>
          <w:szCs w:val="24"/>
          <w:lang w:val="sr-Cyrl-RS"/>
        </w:rPr>
        <w:t xml:space="preserve"> и </w:t>
      </w:r>
      <w:r w:rsidRPr="00B7319E">
        <w:rPr>
          <w:rFonts w:cs="Times New Roman"/>
          <w:bCs/>
          <w:szCs w:val="24"/>
        </w:rPr>
        <w:t>санација или изградња регионалних депонија на шест локација</w:t>
      </w:r>
      <w:r w:rsidRPr="00B7319E">
        <w:rPr>
          <w:rFonts w:cs="Times New Roman"/>
          <w:bCs/>
          <w:szCs w:val="24"/>
          <w:lang w:val="sr-Cyrl-RS"/>
        </w:rPr>
        <w:t>.</w:t>
      </w:r>
      <w:r w:rsidRPr="00B7319E">
        <w:rPr>
          <w:rFonts w:cs="Times New Roman"/>
          <w:bCs/>
          <w:szCs w:val="24"/>
        </w:rPr>
        <w:t xml:space="preserve"> </w:t>
      </w:r>
      <w:r>
        <w:rPr>
          <w:rFonts w:cs="Times New Roman"/>
          <w:bCs/>
          <w:szCs w:val="24"/>
          <w:lang w:val="sr-Cyrl-RS"/>
        </w:rPr>
        <w:t>Р</w:t>
      </w:r>
      <w:r w:rsidRPr="00B7319E">
        <w:rPr>
          <w:rFonts w:cs="Times New Roman"/>
          <w:bCs/>
          <w:szCs w:val="24"/>
          <w:lang w:val="sr-Cyrl-RS"/>
        </w:rPr>
        <w:t>ок за реализацију сваког појединачног пројекта износ</w:t>
      </w:r>
      <w:r>
        <w:rPr>
          <w:rFonts w:cs="Times New Roman"/>
          <w:bCs/>
          <w:szCs w:val="24"/>
          <w:lang w:val="sr-Cyrl-RS"/>
        </w:rPr>
        <w:t>и 39 месеци</w:t>
      </w:r>
      <w:r w:rsidRPr="00B7319E">
        <w:rPr>
          <w:rFonts w:cs="Times New Roman"/>
          <w:bCs/>
          <w:szCs w:val="24"/>
          <w:lang w:val="sr-Cyrl-RS"/>
        </w:rPr>
        <w:t xml:space="preserve"> </w:t>
      </w:r>
      <w:r>
        <w:rPr>
          <w:rFonts w:cs="Times New Roman"/>
          <w:bCs/>
          <w:szCs w:val="24"/>
          <w:lang w:val="sr-Cyrl-RS"/>
        </w:rPr>
        <w:t>о</w:t>
      </w:r>
      <w:r w:rsidRPr="00B7319E">
        <w:rPr>
          <w:rFonts w:cs="Times New Roman"/>
          <w:bCs/>
          <w:szCs w:val="24"/>
        </w:rPr>
        <w:t>д дана издавања прве грађевинске дозволе</w:t>
      </w:r>
      <w:r w:rsidRPr="00B7319E">
        <w:rPr>
          <w:rStyle w:val="FootnoteReference"/>
          <w:rFonts w:cs="Times New Roman"/>
          <w:bCs/>
          <w:szCs w:val="24"/>
          <w:lang w:val="sr-Cyrl-RS"/>
        </w:rPr>
        <w:footnoteReference w:id="83"/>
      </w:r>
      <w:r>
        <w:rPr>
          <w:rFonts w:cs="Times New Roman"/>
          <w:bCs/>
          <w:szCs w:val="24"/>
          <w:lang w:val="sr-Cyrl-RS"/>
        </w:rPr>
        <w:t>.</w:t>
      </w:r>
    </w:p>
    <w:p w14:paraId="0F04EDF9" w14:textId="77777777" w:rsidR="00DC7F92" w:rsidRDefault="00DC7F92" w:rsidP="003F1FDD">
      <w:pPr>
        <w:spacing w:after="60"/>
        <w:rPr>
          <w:rFonts w:cs="Times New Roman"/>
          <w:szCs w:val="24"/>
          <w:lang w:val="sr-Cyrl-RS"/>
        </w:rPr>
      </w:pPr>
      <w:r w:rsidRPr="00B663FF">
        <w:rPr>
          <w:rFonts w:cs="Times New Roman"/>
          <w:b/>
          <w:bCs/>
          <w:szCs w:val="24"/>
          <w:lang w:val="sr-Cyrl-RS"/>
        </w:rPr>
        <w:t xml:space="preserve">Неопходно је ускладити цену путарине, </w:t>
      </w:r>
      <w:r w:rsidRPr="00B663FF">
        <w:rPr>
          <w:rFonts w:cs="Times New Roman"/>
          <w:b/>
          <w:bCs/>
          <w:szCs w:val="24"/>
        </w:rPr>
        <w:t>повећати пропусну моћ наплатних станица</w:t>
      </w:r>
      <w:r>
        <w:rPr>
          <w:rFonts w:cs="Times New Roman"/>
          <w:b/>
          <w:bCs/>
          <w:szCs w:val="24"/>
        </w:rPr>
        <w:t xml:space="preserve"> и </w:t>
      </w:r>
      <w:r w:rsidRPr="00B663FF">
        <w:rPr>
          <w:rFonts w:cs="Times New Roman"/>
          <w:b/>
          <w:bCs/>
          <w:szCs w:val="24"/>
        </w:rPr>
        <w:t>број канала предвиђених за електронску наплату путарине и решити проблем повремених застоја.</w:t>
      </w:r>
      <w:r w:rsidRPr="00B663FF">
        <w:rPr>
          <w:rFonts w:cs="Times New Roman"/>
          <w:b/>
          <w:bCs/>
          <w:szCs w:val="24"/>
          <w:lang w:val="sr-Cyrl-RS"/>
        </w:rPr>
        <w:t xml:space="preserve"> </w:t>
      </w:r>
      <w:r w:rsidRPr="00B663FF">
        <w:rPr>
          <w:rFonts w:cs="Times New Roman"/>
          <w:bCs/>
          <w:szCs w:val="24"/>
          <w:lang w:val="sr-Cyrl-RS"/>
        </w:rPr>
        <w:t xml:space="preserve">Прелазак на нов систем редовног одржавања путева заснованог на учинку је у току. Под наплатом путарине је 820 км аутопутева (систем наплате се састоји од 65 наплатних станица) и у експанзији је број корисника електронске наплате путарине (преко 400.000 активних корисника ТАГ-уређаја и више од 250 дистрибутивних места). Омогућено је повезивање целокупног система наплате путарина увођењем </w:t>
      </w:r>
      <w:r w:rsidRPr="00B663FF">
        <w:rPr>
          <w:rFonts w:cs="Times New Roman"/>
          <w:bCs/>
          <w:szCs w:val="24"/>
          <w:lang w:val="sr-Latn-RS"/>
        </w:rPr>
        <w:t xml:space="preserve">TMSS </w:t>
      </w:r>
      <w:r w:rsidRPr="00B663FF">
        <w:rPr>
          <w:rFonts w:cs="Times New Roman"/>
          <w:bCs/>
          <w:szCs w:val="24"/>
          <w:lang w:val="sr-Cyrl-RS"/>
        </w:rPr>
        <w:t xml:space="preserve">система преноса података и повезивање са центром обраде података. </w:t>
      </w:r>
      <w:r>
        <w:rPr>
          <w:rFonts w:cs="Times New Roman"/>
          <w:szCs w:val="24"/>
          <w:lang w:val="sr-Cyrl-RS"/>
        </w:rPr>
        <w:t>П</w:t>
      </w:r>
      <w:r w:rsidRPr="00B663FF">
        <w:rPr>
          <w:rFonts w:cs="Times New Roman"/>
          <w:szCs w:val="24"/>
          <w:lang w:val="sr-Cyrl-RS"/>
        </w:rPr>
        <w:t xml:space="preserve">риходи од путарина </w:t>
      </w:r>
      <w:r>
        <w:rPr>
          <w:rFonts w:cs="Times New Roman"/>
          <w:szCs w:val="24"/>
          <w:lang w:val="sr-Cyrl-RS"/>
        </w:rPr>
        <w:t>с</w:t>
      </w:r>
      <w:r w:rsidRPr="00B663FF">
        <w:rPr>
          <w:rFonts w:cs="Times New Roman"/>
          <w:szCs w:val="24"/>
          <w:lang w:val="sr-Cyrl-RS"/>
        </w:rPr>
        <w:t>мањени су за 6%</w:t>
      </w:r>
      <w:r>
        <w:rPr>
          <w:rFonts w:cs="Times New Roman"/>
          <w:szCs w:val="24"/>
          <w:lang w:val="sr-Cyrl-RS"/>
        </w:rPr>
        <w:t>, док је</w:t>
      </w:r>
      <w:r w:rsidRPr="00B663FF">
        <w:rPr>
          <w:rFonts w:cs="Times New Roman"/>
          <w:szCs w:val="24"/>
          <w:lang w:val="sr-Cyrl-RS"/>
        </w:rPr>
        <w:t xml:space="preserve"> број возила у друмском саобраћају </w:t>
      </w:r>
      <w:r>
        <w:rPr>
          <w:rFonts w:cs="Times New Roman"/>
          <w:szCs w:val="24"/>
          <w:lang w:val="sr-Cyrl-RS"/>
        </w:rPr>
        <w:t xml:space="preserve">мањи </w:t>
      </w:r>
      <w:r w:rsidRPr="00B663FF">
        <w:rPr>
          <w:rFonts w:cs="Times New Roman"/>
          <w:szCs w:val="24"/>
          <w:lang w:val="sr-Cyrl-RS"/>
        </w:rPr>
        <w:t>за око 8 милиона (пад од 14,22%) у 2020.</w:t>
      </w:r>
      <w:r w:rsidRPr="00B663FF">
        <w:rPr>
          <w:rStyle w:val="FootnoteReference"/>
          <w:rFonts w:cs="Times New Roman"/>
          <w:szCs w:val="24"/>
          <w:lang w:val="sr-Cyrl-RS"/>
        </w:rPr>
        <w:footnoteReference w:id="84"/>
      </w:r>
      <w:r w:rsidRPr="00B663FF">
        <w:rPr>
          <w:rFonts w:cs="Times New Roman"/>
          <w:szCs w:val="24"/>
          <w:lang w:val="sr-Cyrl-RS"/>
        </w:rPr>
        <w:t xml:space="preserve"> Број електронских наплата путарина је минимално смањен</w:t>
      </w:r>
      <w:r>
        <w:rPr>
          <w:rFonts w:cs="Times New Roman"/>
          <w:szCs w:val="24"/>
          <w:lang w:val="sr-Cyrl-RS"/>
        </w:rPr>
        <w:t>,</w:t>
      </w:r>
      <w:r w:rsidRPr="00B663FF">
        <w:rPr>
          <w:rFonts w:cs="Times New Roman"/>
          <w:szCs w:val="24"/>
          <w:lang w:val="sr-Cyrl-RS"/>
        </w:rPr>
        <w:t xml:space="preserve"> за 0,4%. Због утицаја пандемије Ковид-19 остварен ј</w:t>
      </w:r>
      <w:r>
        <w:rPr>
          <w:rFonts w:cs="Times New Roman"/>
          <w:szCs w:val="24"/>
          <w:lang w:val="sr-Cyrl-RS"/>
        </w:rPr>
        <w:t>е мањи обим путничких (пад од 33,8</w:t>
      </w:r>
      <w:r w:rsidRPr="00B663FF">
        <w:rPr>
          <w:rFonts w:cs="Times New Roman"/>
          <w:szCs w:val="24"/>
          <w:lang w:val="sr-Cyrl-RS"/>
        </w:rPr>
        <w:t>%) и нетотонских километара (пад од 5,3%) у друмском саобраћају</w:t>
      </w:r>
      <w:r w:rsidRPr="00B663FF">
        <w:rPr>
          <w:rFonts w:cs="Times New Roman"/>
          <w:szCs w:val="24"/>
          <w:vertAlign w:val="superscript"/>
          <w:lang w:val="sr-Cyrl-RS"/>
        </w:rPr>
        <w:footnoteReference w:id="85"/>
      </w:r>
      <w:r>
        <w:rPr>
          <w:rFonts w:cs="Times New Roman"/>
          <w:szCs w:val="24"/>
          <w:lang w:val="sr-Cyrl-RS"/>
        </w:rPr>
        <w:t>.</w:t>
      </w:r>
      <w:r w:rsidRPr="00B663FF">
        <w:rPr>
          <w:rFonts w:cs="Times New Roman"/>
          <w:szCs w:val="24"/>
          <w:lang w:val="sr-Cyrl-RS"/>
        </w:rPr>
        <w:t xml:space="preserve"> Смањен је</w:t>
      </w:r>
      <w:r>
        <w:rPr>
          <w:rFonts w:cs="Times New Roman"/>
          <w:szCs w:val="24"/>
          <w:lang w:val="sr-Cyrl-RS"/>
        </w:rPr>
        <w:t xml:space="preserve"> и</w:t>
      </w:r>
      <w:r w:rsidRPr="00B663FF">
        <w:rPr>
          <w:rFonts w:cs="Times New Roman"/>
          <w:szCs w:val="24"/>
          <w:lang w:val="sr-Cyrl-RS"/>
        </w:rPr>
        <w:t xml:space="preserve"> обим међународног транспорта. Укупан број путничких возила која су ушла у Србију мањи је за 46,7%, а излаз путничких возила из Србије за </w:t>
      </w:r>
      <w:r>
        <w:rPr>
          <w:rFonts w:cs="Times New Roman"/>
          <w:szCs w:val="24"/>
          <w:lang w:val="sr-Latn-RS"/>
        </w:rPr>
        <w:t>49,4</w:t>
      </w:r>
      <w:r w:rsidRPr="00B663FF">
        <w:rPr>
          <w:rFonts w:cs="Times New Roman"/>
          <w:szCs w:val="24"/>
          <w:lang w:val="sr-Cyrl-RS"/>
        </w:rPr>
        <w:t>% у 2020</w:t>
      </w:r>
      <w:r>
        <w:rPr>
          <w:rFonts w:cs="Times New Roman"/>
          <w:szCs w:val="24"/>
          <w:lang w:val="sr-Cyrl-RS"/>
        </w:rPr>
        <w:t>.</w:t>
      </w:r>
      <w:r w:rsidRPr="00B663FF">
        <w:rPr>
          <w:rFonts w:cs="Times New Roman"/>
          <w:szCs w:val="24"/>
          <w:lang w:val="sr-Cyrl-RS"/>
        </w:rPr>
        <w:t xml:space="preserve"> (пад улаза за 25,3% и пад излаза за 33,8% у </w:t>
      </w:r>
      <w:r w:rsidRPr="00B663FF">
        <w:rPr>
          <w:rFonts w:cs="Times New Roman"/>
          <w:szCs w:val="24"/>
          <w:lang w:val="sr-Latn-RS"/>
        </w:rPr>
        <w:t>Q1 2021</w:t>
      </w:r>
      <w:r>
        <w:rPr>
          <w:rFonts w:cs="Times New Roman"/>
          <w:szCs w:val="24"/>
          <w:lang w:val="sr-Cyrl-RS"/>
        </w:rPr>
        <w:t>)</w:t>
      </w:r>
      <w:r w:rsidRPr="00B663FF">
        <w:rPr>
          <w:rStyle w:val="FootnoteReference"/>
          <w:rFonts w:cs="Times New Roman"/>
          <w:szCs w:val="24"/>
          <w:lang w:val="sr-Cyrl-RS"/>
        </w:rPr>
        <w:footnoteReference w:id="86"/>
      </w:r>
      <w:r>
        <w:rPr>
          <w:rFonts w:cs="Times New Roman"/>
          <w:szCs w:val="24"/>
          <w:lang w:val="sr-Cyrl-RS"/>
        </w:rPr>
        <w:t>.</w:t>
      </w:r>
      <w:r w:rsidRPr="00B663FF">
        <w:rPr>
          <w:rFonts w:cs="Times New Roman"/>
          <w:szCs w:val="24"/>
          <w:lang w:val="sr-Cyrl-RS"/>
        </w:rPr>
        <w:t xml:space="preserve"> Континуитет и редовност превоза робе и путника зависиће у великој мери од отворености граничних прелаза.</w:t>
      </w:r>
    </w:p>
    <w:p w14:paraId="4B2A3176" w14:textId="77777777" w:rsidR="00DC7F92" w:rsidRDefault="00DC7F92" w:rsidP="003F1FDD">
      <w:pPr>
        <w:spacing w:after="60"/>
        <w:rPr>
          <w:rFonts w:cs="Times New Roman"/>
          <w:szCs w:val="24"/>
          <w:lang w:val="sr-Cyrl-RS"/>
        </w:rPr>
      </w:pPr>
      <w:r w:rsidRPr="007C066B">
        <w:rPr>
          <w:rFonts w:cs="Times New Roman"/>
          <w:b/>
          <w:szCs w:val="24"/>
          <w:lang w:val="sr-Cyrl-RS"/>
        </w:rPr>
        <w:t>Застарела железничка мрежа ограничава путнички и теретни железнички саобраћај</w:t>
      </w:r>
      <w:r w:rsidRPr="007C066B">
        <w:rPr>
          <w:rFonts w:cs="Times New Roman"/>
          <w:szCs w:val="24"/>
          <w:lang w:val="sr-Cyrl-RS"/>
        </w:rPr>
        <w:t xml:space="preserve">. </w:t>
      </w:r>
      <w:r w:rsidRPr="007C066B">
        <w:rPr>
          <w:rFonts w:cs="Times New Roman"/>
          <w:bCs/>
          <w:szCs w:val="24"/>
          <w:lang w:val="sr-Cyrl-RS"/>
        </w:rPr>
        <w:t xml:space="preserve">Модернизација железничке инфраструктуре је </w:t>
      </w:r>
      <w:r>
        <w:rPr>
          <w:rFonts w:cs="Times New Roman"/>
          <w:bCs/>
          <w:szCs w:val="24"/>
          <w:lang w:val="sr-Cyrl-RS"/>
        </w:rPr>
        <w:t xml:space="preserve">предуслов </w:t>
      </w:r>
      <w:r w:rsidRPr="007C066B">
        <w:rPr>
          <w:rFonts w:cs="Times New Roman"/>
          <w:bCs/>
          <w:szCs w:val="24"/>
          <w:lang w:val="sr-Cyrl-RS"/>
        </w:rPr>
        <w:t xml:space="preserve">за унапређење </w:t>
      </w:r>
      <w:r w:rsidRPr="007C066B">
        <w:rPr>
          <w:rFonts w:cs="Times New Roman"/>
          <w:bCs/>
          <w:szCs w:val="24"/>
        </w:rPr>
        <w:t>безбедност</w:t>
      </w:r>
      <w:r w:rsidRPr="007C066B">
        <w:rPr>
          <w:rFonts w:cs="Times New Roman"/>
          <w:bCs/>
          <w:szCs w:val="24"/>
          <w:lang w:val="sr-Cyrl-RS"/>
        </w:rPr>
        <w:t>и</w:t>
      </w:r>
      <w:r w:rsidRPr="007C066B">
        <w:rPr>
          <w:rFonts w:cs="Times New Roman"/>
          <w:bCs/>
          <w:szCs w:val="24"/>
        </w:rPr>
        <w:t>, ефикасност</w:t>
      </w:r>
      <w:r w:rsidRPr="007C066B">
        <w:rPr>
          <w:rFonts w:cs="Times New Roman"/>
          <w:bCs/>
          <w:szCs w:val="24"/>
          <w:lang w:val="sr-Cyrl-RS"/>
        </w:rPr>
        <w:t>и</w:t>
      </w:r>
      <w:r w:rsidRPr="007C066B">
        <w:rPr>
          <w:rFonts w:cs="Times New Roman"/>
          <w:bCs/>
          <w:szCs w:val="24"/>
        </w:rPr>
        <w:t>, еколошке одрживост</w:t>
      </w:r>
      <w:r w:rsidRPr="007C066B">
        <w:rPr>
          <w:rFonts w:cs="Times New Roman"/>
          <w:bCs/>
          <w:szCs w:val="24"/>
          <w:lang w:val="sr-Cyrl-RS"/>
        </w:rPr>
        <w:t>и</w:t>
      </w:r>
      <w:r w:rsidRPr="007C066B">
        <w:rPr>
          <w:rFonts w:cs="Times New Roman"/>
          <w:bCs/>
          <w:szCs w:val="24"/>
        </w:rPr>
        <w:t xml:space="preserve"> и регионалне повезаност</w:t>
      </w:r>
      <w:r w:rsidRPr="007C066B">
        <w:rPr>
          <w:rFonts w:cs="Times New Roman"/>
          <w:bCs/>
          <w:szCs w:val="24"/>
          <w:lang w:val="sr-Cyrl-RS"/>
        </w:rPr>
        <w:t xml:space="preserve">и. Потребно је </w:t>
      </w:r>
      <w:r>
        <w:rPr>
          <w:rFonts w:cs="Times New Roman"/>
          <w:bCs/>
          <w:szCs w:val="24"/>
          <w:lang w:val="sr-Cyrl-RS"/>
        </w:rPr>
        <w:t>повећати удео електрифицираних пруга</w:t>
      </w:r>
      <w:r w:rsidRPr="007C066B">
        <w:rPr>
          <w:rFonts w:cs="Times New Roman"/>
          <w:bCs/>
          <w:szCs w:val="24"/>
        </w:rPr>
        <w:t xml:space="preserve">, </w:t>
      </w:r>
      <w:r w:rsidRPr="007C066B">
        <w:rPr>
          <w:rFonts w:cs="Times New Roman"/>
          <w:bCs/>
          <w:szCs w:val="24"/>
          <w:lang w:val="sr-Cyrl-RS"/>
        </w:rPr>
        <w:t>остварити</w:t>
      </w:r>
      <w:r w:rsidRPr="007C066B">
        <w:rPr>
          <w:rFonts w:cs="Times New Roman"/>
          <w:bCs/>
          <w:szCs w:val="24"/>
        </w:rPr>
        <w:t xml:space="preserve"> пуну примену Европског система за управљање железничким саобраћајем</w:t>
      </w:r>
      <w:r>
        <w:rPr>
          <w:rFonts w:cs="Times New Roman"/>
          <w:bCs/>
          <w:szCs w:val="24"/>
          <w:lang w:val="sr-Cyrl-RS"/>
        </w:rPr>
        <w:t xml:space="preserve"> </w:t>
      </w:r>
      <w:r>
        <w:rPr>
          <w:rFonts w:cs="Times New Roman"/>
          <w:bCs/>
          <w:szCs w:val="24"/>
          <w:lang w:val="sr-Cyrl-CS"/>
        </w:rPr>
        <w:t>пре свега на пругама коридора 10</w:t>
      </w:r>
      <w:r w:rsidRPr="007C066B">
        <w:rPr>
          <w:rFonts w:cs="Times New Roman"/>
          <w:bCs/>
          <w:szCs w:val="24"/>
        </w:rPr>
        <w:t xml:space="preserve">, </w:t>
      </w:r>
      <w:r>
        <w:rPr>
          <w:rFonts w:cs="Times New Roman"/>
          <w:bCs/>
          <w:szCs w:val="24"/>
          <w:lang w:val="sr-Cyrl-RS"/>
        </w:rPr>
        <w:t xml:space="preserve">смањити број и тежити </w:t>
      </w:r>
      <w:r w:rsidRPr="007C066B">
        <w:rPr>
          <w:rFonts w:cs="Times New Roman"/>
          <w:bCs/>
          <w:szCs w:val="24"/>
        </w:rPr>
        <w:t>уки</w:t>
      </w:r>
      <w:r>
        <w:rPr>
          <w:rFonts w:cs="Times New Roman"/>
          <w:bCs/>
          <w:szCs w:val="24"/>
          <w:lang w:val="sr-Cyrl-RS"/>
        </w:rPr>
        <w:t>дању</w:t>
      </w:r>
      <w:r w:rsidRPr="007C066B">
        <w:rPr>
          <w:rFonts w:cs="Times New Roman"/>
          <w:bCs/>
          <w:szCs w:val="24"/>
        </w:rPr>
        <w:t xml:space="preserve"> ограничења брзине</w:t>
      </w:r>
      <w:r>
        <w:rPr>
          <w:rFonts w:cs="Times New Roman"/>
          <w:bCs/>
          <w:szCs w:val="24"/>
          <w:lang w:val="sr-Cyrl-RS"/>
        </w:rPr>
        <w:t xml:space="preserve"> и „лаганих вожњи“</w:t>
      </w:r>
      <w:r w:rsidRPr="007C066B">
        <w:rPr>
          <w:rFonts w:cs="Times New Roman"/>
          <w:bCs/>
          <w:szCs w:val="24"/>
        </w:rPr>
        <w:t>, повећати капацитет траса за превоз робе у оквиру стратешке мреже пруга и унапреди</w:t>
      </w:r>
      <w:r w:rsidRPr="007C066B">
        <w:rPr>
          <w:rFonts w:cs="Times New Roman"/>
          <w:bCs/>
          <w:szCs w:val="24"/>
          <w:lang w:val="sr-Cyrl-RS"/>
        </w:rPr>
        <w:t>ти</w:t>
      </w:r>
      <w:r w:rsidRPr="007C066B">
        <w:rPr>
          <w:rFonts w:cs="Times New Roman"/>
          <w:bCs/>
          <w:szCs w:val="24"/>
        </w:rPr>
        <w:t xml:space="preserve"> управљање имовином железнице.</w:t>
      </w:r>
      <w:r w:rsidRPr="007C066B">
        <w:rPr>
          <w:rFonts w:cs="Times New Roman"/>
          <w:bCs/>
          <w:szCs w:val="24"/>
          <w:lang w:val="sr-Cyrl-RS"/>
        </w:rPr>
        <w:t xml:space="preserve"> Већи степен коришћења железничког саобраћаја би допринео растерећењу друмске инфраструктуре и очувању животне средине. </w:t>
      </w:r>
      <w:r w:rsidRPr="007C066B">
        <w:rPr>
          <w:rFonts w:cs="Times New Roman"/>
          <w:szCs w:val="24"/>
          <w:lang w:val="sr-Cyrl-RS"/>
        </w:rPr>
        <w:t>Укупна дужина железничке мреже у Србији износи 3.333,4 км (електрифицирано 1.273,7 км)</w:t>
      </w:r>
      <w:r w:rsidRPr="007C066B">
        <w:rPr>
          <w:rStyle w:val="FootnoteReference"/>
          <w:rFonts w:cs="Times New Roman"/>
          <w:szCs w:val="24"/>
          <w:lang w:val="sr-Cyrl-RS"/>
        </w:rPr>
        <w:footnoteReference w:id="87"/>
      </w:r>
      <w:r>
        <w:rPr>
          <w:rFonts w:cs="Times New Roman"/>
          <w:szCs w:val="24"/>
          <w:lang w:val="sr-Cyrl-RS"/>
        </w:rPr>
        <w:t>.</w:t>
      </w:r>
      <w:r w:rsidRPr="007C066B">
        <w:rPr>
          <w:rFonts w:cs="Times New Roman"/>
          <w:szCs w:val="24"/>
          <w:lang w:val="sr-Cyrl-RS"/>
        </w:rPr>
        <w:t xml:space="preserve"> </w:t>
      </w:r>
      <w:r>
        <w:rPr>
          <w:rFonts w:cs="Times New Roman"/>
          <w:szCs w:val="24"/>
          <w:lang w:val="sr-Cyrl-RS"/>
        </w:rPr>
        <w:t>О</w:t>
      </w:r>
      <w:r w:rsidRPr="007C066B">
        <w:rPr>
          <w:rFonts w:cs="Times New Roman"/>
          <w:szCs w:val="24"/>
          <w:lang w:val="sr-Cyrl-RS"/>
        </w:rPr>
        <w:t xml:space="preserve">стварено је 157 милиона путничких км и 2,7 милијарде нетотонских км </w:t>
      </w:r>
      <w:r>
        <w:rPr>
          <w:rFonts w:cs="Times New Roman"/>
          <w:szCs w:val="24"/>
          <w:lang w:val="sr-Cyrl-RS"/>
        </w:rPr>
        <w:t>у</w:t>
      </w:r>
      <w:r w:rsidRPr="007C066B">
        <w:rPr>
          <w:rFonts w:cs="Times New Roman"/>
          <w:szCs w:val="24"/>
          <w:lang w:val="sr-Cyrl-RS"/>
        </w:rPr>
        <w:t xml:space="preserve"> 2020. (смањење у односу на 2019. узроковано је пандемијом Ковид</w:t>
      </w:r>
      <w:r w:rsidRPr="007C066B">
        <w:rPr>
          <w:rFonts w:cs="Times New Roman"/>
          <w:szCs w:val="24"/>
          <w:lang w:val="sr-Latn-RS"/>
        </w:rPr>
        <w:t xml:space="preserve">-19 </w:t>
      </w:r>
      <w:r w:rsidRPr="007C066B">
        <w:rPr>
          <w:rFonts w:cs="Times New Roman"/>
          <w:szCs w:val="24"/>
          <w:lang w:val="sr-Cyrl-CS"/>
        </w:rPr>
        <w:t>и великим обимом инфраструктурних радова)</w:t>
      </w:r>
      <w:r w:rsidRPr="007C066B">
        <w:rPr>
          <w:rStyle w:val="FootnoteReference"/>
          <w:rFonts w:cs="Times New Roman"/>
          <w:szCs w:val="24"/>
          <w:lang w:val="sr-Cyrl-CS"/>
        </w:rPr>
        <w:footnoteReference w:id="88"/>
      </w:r>
      <w:r>
        <w:rPr>
          <w:rFonts w:cs="Times New Roman"/>
          <w:szCs w:val="24"/>
          <w:lang w:val="sr-Cyrl-CS"/>
        </w:rPr>
        <w:t>.</w:t>
      </w:r>
      <w:r w:rsidRPr="007C066B">
        <w:rPr>
          <w:rFonts w:cs="Times New Roman"/>
          <w:szCs w:val="24"/>
          <w:lang w:val="sr-Cyrl-RS"/>
        </w:rPr>
        <w:t xml:space="preserve"> Н</w:t>
      </w:r>
      <w:r w:rsidRPr="007C066B">
        <w:rPr>
          <w:rFonts w:cs="Times New Roman"/>
          <w:szCs w:val="24"/>
        </w:rPr>
        <w:t>ајвећи удео у броју реализованих траса</w:t>
      </w:r>
      <w:r w:rsidRPr="007C066B">
        <w:rPr>
          <w:rFonts w:cs="Times New Roman"/>
          <w:szCs w:val="24"/>
          <w:lang w:val="sr-Cyrl-RS"/>
        </w:rPr>
        <w:t xml:space="preserve"> имају </w:t>
      </w:r>
      <w:r>
        <w:rPr>
          <w:rFonts w:cs="Times New Roman"/>
          <w:szCs w:val="24"/>
        </w:rPr>
        <w:t>„Србија Воз“ а.д. (</w:t>
      </w:r>
      <w:r w:rsidRPr="00D64477">
        <w:rPr>
          <w:rFonts w:cs="Times New Roman"/>
          <w:szCs w:val="24"/>
          <w:lang w:val="sr-Cyrl-RS"/>
        </w:rPr>
        <w:t>56,20%) и „Србија Карго“ а.д. (34,75%), док приватни превозници имају удео од 9,05%.</w:t>
      </w:r>
      <w:r w:rsidRPr="00D64477">
        <w:rPr>
          <w:rStyle w:val="FootnoteReference"/>
          <w:rFonts w:cs="Times New Roman"/>
          <w:szCs w:val="24"/>
          <w:lang w:val="sr-Cyrl-RS"/>
        </w:rPr>
        <w:footnoteReference w:id="89"/>
      </w:r>
      <w:r w:rsidRPr="00D64477">
        <w:rPr>
          <w:rFonts w:cs="Times New Roman"/>
          <w:szCs w:val="24"/>
          <w:lang w:val="sr-Cyrl-RS"/>
        </w:rPr>
        <w:t xml:space="preserve"> Укупно је присутно</w:t>
      </w:r>
      <w:r w:rsidRPr="007C066B">
        <w:rPr>
          <w:rFonts w:cs="Times New Roman"/>
          <w:szCs w:val="24"/>
          <w:lang w:val="sr-Cyrl-RS"/>
        </w:rPr>
        <w:t xml:space="preserve"> </w:t>
      </w:r>
      <w:r w:rsidRPr="00D64477">
        <w:rPr>
          <w:rFonts w:cs="Times New Roman"/>
          <w:b/>
          <w:szCs w:val="24"/>
          <w:lang w:val="sr-Cyrl-RS"/>
        </w:rPr>
        <w:t>13 железничких превозника на тржишту</w:t>
      </w:r>
      <w:r w:rsidRPr="007C066B">
        <w:rPr>
          <w:rFonts w:cs="Times New Roman"/>
          <w:szCs w:val="24"/>
          <w:lang w:val="sr-Cyrl-RS"/>
        </w:rPr>
        <w:t xml:space="preserve"> у 2020. На већини деоница које су у фази реконструкције максимална носивост пруга износи 22,5 тона уз максималну </w:t>
      </w:r>
      <w:r w:rsidRPr="007C066B">
        <w:rPr>
          <w:rFonts w:cs="Times New Roman"/>
          <w:szCs w:val="24"/>
          <w:lang w:val="sr-Cyrl-RS"/>
        </w:rPr>
        <w:lastRenderedPageBreak/>
        <w:t>брзину возова 10-30 км/ч. Укупно је реконструисано и изграђено 32</w:t>
      </w:r>
      <w:r>
        <w:rPr>
          <w:rFonts w:cs="Times New Roman"/>
          <w:szCs w:val="24"/>
          <w:lang w:val="sr-Cyrl-RS"/>
        </w:rPr>
        <w:t>5</w:t>
      </w:r>
      <w:r w:rsidRPr="007C066B">
        <w:rPr>
          <w:rFonts w:cs="Times New Roman"/>
          <w:szCs w:val="24"/>
          <w:lang w:val="sr-Cyrl-RS"/>
        </w:rPr>
        <w:t>,</w:t>
      </w:r>
      <w:r>
        <w:rPr>
          <w:rFonts w:cs="Times New Roman"/>
          <w:szCs w:val="24"/>
          <w:lang w:val="sr-Cyrl-RS"/>
        </w:rPr>
        <w:t>6</w:t>
      </w:r>
      <w:r w:rsidRPr="007C066B">
        <w:rPr>
          <w:rFonts w:cs="Times New Roman"/>
          <w:szCs w:val="24"/>
          <w:lang w:val="sr-Cyrl-RS"/>
        </w:rPr>
        <w:t xml:space="preserve"> км регионалних и локалних, док је реконструисано, модернизовано и изграђено </w:t>
      </w:r>
      <w:r>
        <w:rPr>
          <w:rFonts w:cs="Times New Roman"/>
          <w:szCs w:val="24"/>
          <w:lang w:val="sr-Cyrl-RS"/>
        </w:rPr>
        <w:t>254,9</w:t>
      </w:r>
      <w:r w:rsidRPr="007C066B">
        <w:rPr>
          <w:rFonts w:cs="Times New Roman"/>
          <w:szCs w:val="24"/>
          <w:lang w:val="sr-Cyrl-RS"/>
        </w:rPr>
        <w:t xml:space="preserve"> км магистралних пруга, а у току су радови на још </w:t>
      </w:r>
      <w:r>
        <w:rPr>
          <w:rFonts w:cs="Times New Roman"/>
          <w:szCs w:val="24"/>
          <w:lang w:val="sr-Cyrl-RS"/>
        </w:rPr>
        <w:t>53,9</w:t>
      </w:r>
      <w:r w:rsidRPr="007C066B">
        <w:rPr>
          <w:rFonts w:cs="Times New Roman"/>
          <w:szCs w:val="24"/>
          <w:lang w:val="sr-Cyrl-RS"/>
        </w:rPr>
        <w:t xml:space="preserve"> км регионалних и локалних, као и на </w:t>
      </w:r>
      <w:r>
        <w:rPr>
          <w:rFonts w:cs="Times New Roman"/>
          <w:szCs w:val="24"/>
          <w:lang w:val="sr-Cyrl-RS"/>
        </w:rPr>
        <w:t>100</w:t>
      </w:r>
      <w:r w:rsidRPr="007C066B">
        <w:rPr>
          <w:rFonts w:cs="Times New Roman"/>
          <w:szCs w:val="24"/>
          <w:lang w:val="sr-Cyrl-RS"/>
        </w:rPr>
        <w:t xml:space="preserve"> км магистралних пруга. </w:t>
      </w:r>
    </w:p>
    <w:p w14:paraId="2CB86B10" w14:textId="77777777" w:rsidR="00DC7F92" w:rsidRDefault="00DC7F92" w:rsidP="003F1FDD">
      <w:pPr>
        <w:spacing w:after="60"/>
        <w:rPr>
          <w:rFonts w:cs="Times New Roman"/>
          <w:szCs w:val="24"/>
          <w:lang w:val="sr-Cyrl-RS"/>
        </w:rPr>
      </w:pPr>
      <w:r w:rsidRPr="00B07B44">
        <w:rPr>
          <w:rFonts w:cs="Times New Roman"/>
          <w:szCs w:val="24"/>
          <w:lang w:val="sr-Cyrl-RS"/>
        </w:rPr>
        <w:t xml:space="preserve">У 2021. години завршени су радови на још 158, 7 км магистралних, регионалних и локалних пруга (магистралне 73 км, регионалне и локалне 85,7 км). До краја 2021. године очекује се почетак радова на још 108 км магистралних пруга (Нови Сад - Суботица). </w:t>
      </w:r>
    </w:p>
    <w:p w14:paraId="39F00D92" w14:textId="77777777" w:rsidR="00DC7F92" w:rsidRPr="00A2768E" w:rsidRDefault="00DC7F92" w:rsidP="003F1FDD">
      <w:pPr>
        <w:spacing w:after="60"/>
        <w:rPr>
          <w:rFonts w:cs="Times New Roman"/>
          <w:szCs w:val="24"/>
          <w:lang w:val="sr-Cyrl-RS"/>
        </w:rPr>
      </w:pPr>
      <w:r w:rsidRPr="007C066B">
        <w:rPr>
          <w:rFonts w:cs="Times New Roman"/>
          <w:szCs w:val="24"/>
          <w:lang w:val="sr-Cyrl-RS"/>
        </w:rPr>
        <w:t>У оквиру пројеката изградње брзе железнице Београд-Будимпешта, интензивирани су радови на прузи Београд-Нови Сад</w:t>
      </w:r>
      <w:r>
        <w:rPr>
          <w:rFonts w:cs="Times New Roman"/>
          <w:szCs w:val="24"/>
          <w:lang w:val="sr-Cyrl-RS"/>
        </w:rPr>
        <w:t xml:space="preserve"> и</w:t>
      </w:r>
      <w:r w:rsidRPr="007C066B">
        <w:rPr>
          <w:rFonts w:cs="Times New Roman"/>
          <w:szCs w:val="24"/>
          <w:lang w:val="sr-Latn-RS"/>
        </w:rPr>
        <w:t xml:space="preserve"> </w:t>
      </w:r>
      <w:r>
        <w:rPr>
          <w:rFonts w:cs="Times New Roman"/>
          <w:szCs w:val="24"/>
          <w:lang w:val="sr-Cyrl-RS"/>
        </w:rPr>
        <w:t>о</w:t>
      </w:r>
      <w:r w:rsidRPr="007C066B">
        <w:rPr>
          <w:rFonts w:cs="Times New Roman"/>
          <w:szCs w:val="24"/>
          <w:lang w:val="sr-Cyrl-RS"/>
        </w:rPr>
        <w:t>чекује се завршетак грађевинских радова до краја 2021.</w:t>
      </w:r>
      <w:r>
        <w:rPr>
          <w:rFonts w:cs="Times New Roman"/>
          <w:szCs w:val="24"/>
          <w:lang w:val="sr-Cyrl-RS"/>
        </w:rPr>
        <w:t xml:space="preserve"> године</w:t>
      </w:r>
      <w:r w:rsidRPr="007C066B">
        <w:rPr>
          <w:rFonts w:cs="Times New Roman"/>
          <w:szCs w:val="24"/>
          <w:lang w:val="sr-Cyrl-RS"/>
        </w:rPr>
        <w:t xml:space="preserve">, док је пуштање у саобраћај предвиђено </w:t>
      </w:r>
      <w:r w:rsidRPr="00B41DF2">
        <w:rPr>
          <w:rFonts w:cs="Times New Roman"/>
          <w:szCs w:val="24"/>
          <w:lang w:val="sr-Cyrl-RS"/>
        </w:rPr>
        <w:t xml:space="preserve">средином марта 2022. </w:t>
      </w:r>
      <w:r w:rsidRPr="007C066B">
        <w:rPr>
          <w:rFonts w:cs="Times New Roman"/>
          <w:szCs w:val="24"/>
          <w:lang w:val="sr-Cyrl-RS"/>
        </w:rPr>
        <w:t>Започети су радови на прузи Суботица-Хоргош дужине 26,</w:t>
      </w:r>
      <w:r>
        <w:rPr>
          <w:rFonts w:cs="Times New Roman"/>
          <w:szCs w:val="24"/>
          <w:lang w:val="sr-Cyrl-RS"/>
        </w:rPr>
        <w:t>4</w:t>
      </w:r>
      <w:r w:rsidRPr="007C066B">
        <w:rPr>
          <w:rFonts w:cs="Times New Roman"/>
          <w:szCs w:val="24"/>
          <w:lang w:val="sr-Cyrl-RS"/>
        </w:rPr>
        <w:t xml:space="preserve"> км</w:t>
      </w:r>
      <w:r w:rsidRPr="007C066B">
        <w:rPr>
          <w:rFonts w:cs="Times New Roman"/>
          <w:szCs w:val="24"/>
          <w:vertAlign w:val="superscript"/>
          <w:lang w:val="sr-Cyrl-RS"/>
        </w:rPr>
        <w:footnoteReference w:id="90"/>
      </w:r>
      <w:r w:rsidRPr="00B41DF2">
        <w:rPr>
          <w:rFonts w:cs="Times New Roman"/>
          <w:szCs w:val="24"/>
          <w:lang w:val="sr-Cyrl-RS"/>
        </w:rPr>
        <w:t xml:space="preserve"> </w:t>
      </w:r>
      <w:r>
        <w:rPr>
          <w:rFonts w:cs="Times New Roman"/>
          <w:szCs w:val="24"/>
          <w:lang w:val="sr-Cyrl-RS"/>
        </w:rPr>
        <w:t>као и на прузи Нови Сад - Суботица.</w:t>
      </w:r>
      <w:r w:rsidRPr="007C066B">
        <w:rPr>
          <w:rFonts w:cs="Times New Roman"/>
          <w:szCs w:val="24"/>
          <w:lang w:val="sr-Cyrl-RS"/>
        </w:rPr>
        <w:t xml:space="preserve"> У плану је почетак радова на прузи  Београд-Ниш</w:t>
      </w:r>
      <w:r w:rsidRPr="007C066B">
        <w:rPr>
          <w:rFonts w:cs="Times New Roman"/>
          <w:szCs w:val="24"/>
          <w:lang w:val="sr-Latn-RS"/>
        </w:rPr>
        <w:t xml:space="preserve"> (</w:t>
      </w:r>
      <w:r w:rsidRPr="007C066B">
        <w:rPr>
          <w:rFonts w:cs="Times New Roman"/>
          <w:szCs w:val="24"/>
          <w:lang w:val="sr-Cyrl-RS"/>
        </w:rPr>
        <w:t xml:space="preserve">потписивање уговора </w:t>
      </w:r>
      <w:r>
        <w:rPr>
          <w:rFonts w:cs="Times New Roman"/>
          <w:szCs w:val="24"/>
          <w:lang w:val="sr-Cyrl-RS"/>
        </w:rPr>
        <w:t>деоницу Сталаћ-Ђунис, лот 1, тунел бр. 4,</w:t>
      </w:r>
      <w:r w:rsidRPr="007C066B">
        <w:rPr>
          <w:rFonts w:cs="Times New Roman"/>
          <w:szCs w:val="24"/>
          <w:lang w:val="sr-Cyrl-RS"/>
        </w:rPr>
        <w:t xml:space="preserve"> планиран</w:t>
      </w:r>
      <w:r>
        <w:rPr>
          <w:rFonts w:cs="Times New Roman"/>
          <w:szCs w:val="24"/>
          <w:lang w:val="sr-Cyrl-RS"/>
        </w:rPr>
        <w:t>о је</w:t>
      </w:r>
      <w:r w:rsidRPr="007C066B">
        <w:rPr>
          <w:rFonts w:cs="Times New Roman"/>
          <w:szCs w:val="24"/>
          <w:lang w:val="sr-Cyrl-RS"/>
        </w:rPr>
        <w:t xml:space="preserve"> за </w:t>
      </w:r>
      <w:r>
        <w:rPr>
          <w:rFonts w:cs="Times New Roman"/>
          <w:szCs w:val="24"/>
          <w:lang w:val="sr-Cyrl-RS"/>
        </w:rPr>
        <w:t xml:space="preserve">средину </w:t>
      </w:r>
      <w:r w:rsidRPr="007C066B">
        <w:rPr>
          <w:rFonts w:cs="Times New Roman"/>
          <w:szCs w:val="24"/>
          <w:lang w:val="sr-Cyrl-RS"/>
        </w:rPr>
        <w:t>202</w:t>
      </w:r>
      <w:r>
        <w:rPr>
          <w:rFonts w:cs="Times New Roman"/>
          <w:szCs w:val="24"/>
          <w:lang w:val="sr-Cyrl-RS"/>
        </w:rPr>
        <w:t>2)</w:t>
      </w:r>
      <w:r w:rsidRPr="007C066B">
        <w:rPr>
          <w:rFonts w:cs="Times New Roman"/>
          <w:szCs w:val="24"/>
          <w:lang w:val="sr-Cyrl-RS"/>
        </w:rPr>
        <w:t xml:space="preserve">. </w:t>
      </w:r>
      <w:r>
        <w:rPr>
          <w:rFonts w:cs="Times New Roman"/>
          <w:bCs/>
          <w:szCs w:val="24"/>
          <w:lang w:val="sr-Cyrl-RS"/>
        </w:rPr>
        <w:t>Завршени</w:t>
      </w:r>
      <w:r w:rsidRPr="007C066B">
        <w:rPr>
          <w:rFonts w:cs="Times New Roman"/>
          <w:bCs/>
          <w:szCs w:val="24"/>
          <w:lang w:val="sr-Cyrl-RS"/>
        </w:rPr>
        <w:t xml:space="preserve"> су радови на модернизац</w:t>
      </w:r>
      <w:r>
        <w:rPr>
          <w:rFonts w:cs="Times New Roman"/>
          <w:bCs/>
          <w:szCs w:val="24"/>
          <w:lang w:val="sr-Cyrl-RS"/>
        </w:rPr>
        <w:t>ији пруге Јајинци – Мала Крсна дужине 68,8 км</w:t>
      </w:r>
      <w:r w:rsidRPr="007C066B">
        <w:rPr>
          <w:rFonts w:cs="Times New Roman"/>
          <w:bCs/>
          <w:szCs w:val="24"/>
          <w:lang w:val="sr-Cyrl-RS"/>
        </w:rPr>
        <w:t>. Обезбеђена су средства</w:t>
      </w:r>
      <w:r>
        <w:rPr>
          <w:rFonts w:cs="Times New Roman"/>
          <w:bCs/>
          <w:szCs w:val="24"/>
          <w:lang w:val="sr-Cyrl-RS"/>
        </w:rPr>
        <w:t>, потписани споразуми о зајму и проглашена ефиктивност кредита</w:t>
      </w:r>
      <w:r w:rsidRPr="007C066B">
        <w:rPr>
          <w:rFonts w:cs="Times New Roman"/>
          <w:bCs/>
          <w:szCs w:val="24"/>
          <w:lang w:val="sr-Cyrl-RS"/>
        </w:rPr>
        <w:t xml:space="preserve"> за пројекат модернизација железничк</w:t>
      </w:r>
      <w:r>
        <w:rPr>
          <w:rFonts w:cs="Times New Roman"/>
          <w:bCs/>
          <w:szCs w:val="24"/>
          <w:lang w:val="sr-Cyrl-RS"/>
        </w:rPr>
        <w:t>ог</w:t>
      </w:r>
      <w:r w:rsidRPr="007C066B">
        <w:rPr>
          <w:rFonts w:cs="Times New Roman"/>
          <w:bCs/>
          <w:szCs w:val="24"/>
          <w:lang w:val="sr-Cyrl-RS"/>
        </w:rPr>
        <w:t xml:space="preserve"> </w:t>
      </w:r>
      <w:r>
        <w:rPr>
          <w:rFonts w:cs="Times New Roman"/>
          <w:bCs/>
          <w:szCs w:val="24"/>
          <w:lang w:val="sr-Cyrl-RS"/>
        </w:rPr>
        <w:t xml:space="preserve">сектора </w:t>
      </w:r>
      <w:r w:rsidRPr="007C066B">
        <w:rPr>
          <w:rFonts w:cs="Times New Roman"/>
          <w:bCs/>
          <w:szCs w:val="24"/>
          <w:lang w:val="sr-Cyrl-RS"/>
        </w:rPr>
        <w:t>у Србији којим су предвиђени рехабилитација, реконструкција и изградња железничке мреже, управљање имовином железнице, успостављање интелигентних железничких система и анализу људских ресурса у железничким предузећима.</w:t>
      </w:r>
      <w:r w:rsidRPr="007C066B">
        <w:rPr>
          <w:rFonts w:cs="Times New Roman"/>
          <w:bCs/>
          <w:szCs w:val="24"/>
          <w:vertAlign w:val="superscript"/>
          <w:lang w:val="sr-Cyrl-RS"/>
        </w:rPr>
        <w:footnoteReference w:id="91"/>
      </w:r>
    </w:p>
    <w:p w14:paraId="49455BD3" w14:textId="77777777" w:rsidR="00DC7F92" w:rsidRPr="0045367E" w:rsidRDefault="00DC7F92" w:rsidP="003F1FDD">
      <w:pPr>
        <w:spacing w:after="60"/>
        <w:rPr>
          <w:rFonts w:cs="Times New Roman"/>
          <w:bCs/>
          <w:szCs w:val="24"/>
          <w:lang w:val="sr-Cyrl-RS"/>
        </w:rPr>
      </w:pPr>
      <w:r w:rsidRPr="0045367E">
        <w:rPr>
          <w:rFonts w:cs="Times New Roman"/>
          <w:bCs/>
          <w:szCs w:val="24"/>
          <w:lang w:val="sr-Cyrl-RS"/>
        </w:rPr>
        <w:t xml:space="preserve">Усвојен је </w:t>
      </w:r>
      <w:r w:rsidRPr="00CB707C">
        <w:rPr>
          <w:rFonts w:cs="Times New Roman"/>
          <w:bCs/>
          <w:i/>
          <w:szCs w:val="24"/>
          <w:lang w:val="sr-Cyrl-RS"/>
        </w:rPr>
        <w:t>Закон о метроу и градској железници</w:t>
      </w:r>
      <w:r w:rsidRPr="0045367E">
        <w:rPr>
          <w:rFonts w:cs="Times New Roman"/>
          <w:bCs/>
          <w:szCs w:val="24"/>
          <w:lang w:val="sr-Cyrl-RS"/>
        </w:rPr>
        <w:t xml:space="preserve"> (</w:t>
      </w:r>
      <w:r>
        <w:rPr>
          <w:rFonts w:cs="Times New Roman"/>
          <w:bCs/>
          <w:szCs w:val="24"/>
          <w:lang w:val="sr-Latn-RS"/>
        </w:rPr>
        <w:t>„</w:t>
      </w:r>
      <w:r w:rsidRPr="0045367E">
        <w:rPr>
          <w:rFonts w:cs="Times New Roman"/>
          <w:bCs/>
          <w:szCs w:val="24"/>
          <w:lang w:val="sr-Cyrl-RS"/>
        </w:rPr>
        <w:t>С</w:t>
      </w:r>
      <w:r>
        <w:rPr>
          <w:rFonts w:cs="Times New Roman"/>
          <w:bCs/>
          <w:szCs w:val="24"/>
          <w:lang w:val="sr-Cyrl-RS"/>
        </w:rPr>
        <w:t>л. гласник</w:t>
      </w:r>
      <w:r w:rsidRPr="0045367E">
        <w:rPr>
          <w:rFonts w:cs="Times New Roman"/>
          <w:bCs/>
          <w:szCs w:val="24"/>
          <w:lang w:val="sr-Cyrl-RS"/>
        </w:rPr>
        <w:t xml:space="preserve"> РС</w:t>
      </w:r>
      <w:r>
        <w:rPr>
          <w:rFonts w:cs="Times New Roman"/>
          <w:bCs/>
          <w:szCs w:val="24"/>
          <w:lang w:val="sr-Cyrl-RS"/>
        </w:rPr>
        <w:t>“, бр.</w:t>
      </w:r>
      <w:r w:rsidRPr="0045367E">
        <w:rPr>
          <w:rFonts w:cs="Times New Roman"/>
          <w:bCs/>
          <w:szCs w:val="24"/>
          <w:lang w:val="sr-Cyrl-RS"/>
        </w:rPr>
        <w:t xml:space="preserve"> 52/</w:t>
      </w:r>
      <w:r>
        <w:rPr>
          <w:rFonts w:cs="Times New Roman"/>
          <w:bCs/>
          <w:szCs w:val="24"/>
          <w:lang w:val="sr-Cyrl-RS"/>
        </w:rPr>
        <w:t>20</w:t>
      </w:r>
      <w:r w:rsidRPr="0045367E">
        <w:rPr>
          <w:rFonts w:cs="Times New Roman"/>
          <w:bCs/>
          <w:szCs w:val="24"/>
          <w:lang w:val="sr-Cyrl-RS"/>
        </w:rPr>
        <w:t>21) као правни оквир за успостављање метро система. Потписан је Меморандум о разумевању за пројекат „Београдски метро“ којим је предвиђено почетак радова на I фази првог пројекта укупне дужине 16,5 км крајем 2021. године. Предвиђено је да прва линија метроа буде завршена до 2028. године, док је планирани рок завршетка целог пројекта предвиђен до 2033. године.</w:t>
      </w:r>
    </w:p>
    <w:p w14:paraId="04E099ED" w14:textId="77777777" w:rsidR="00DC7F92" w:rsidRDefault="00DC7F92" w:rsidP="003F1FDD">
      <w:pPr>
        <w:spacing w:after="60"/>
        <w:rPr>
          <w:rFonts w:cs="Times New Roman"/>
          <w:szCs w:val="24"/>
          <w:lang w:val="sr-Cyrl-RS"/>
        </w:rPr>
      </w:pPr>
      <w:r w:rsidRPr="0045367E">
        <w:rPr>
          <w:rFonts w:cs="Times New Roman"/>
          <w:b/>
          <w:szCs w:val="24"/>
          <w:lang w:val="sr-Cyrl-RS"/>
        </w:rPr>
        <w:t xml:space="preserve">Неопходно је унапредити безбедност саобраћаја и јачати капацитете инспекцијских служби. </w:t>
      </w:r>
      <w:r w:rsidRPr="0045367E">
        <w:rPr>
          <w:rFonts w:cs="Times New Roman"/>
          <w:szCs w:val="24"/>
          <w:lang w:val="sr-Cyrl-RS"/>
        </w:rPr>
        <w:t>Усклађивање законодавног оквира, едукативне кампање, унапређење људских</w:t>
      </w:r>
      <w:r w:rsidRPr="00435154">
        <w:rPr>
          <w:rFonts w:cs="Times New Roman"/>
          <w:szCs w:val="24"/>
          <w:lang w:val="sr-Cyrl-RS"/>
        </w:rPr>
        <w:t xml:space="preserve"> капацитета и опреме инспекцијских служби на националном и локалном нивоу су предуслов за повећање степена безбедности. Број саобраћајних незгода смањен је за 13,1%, док је број настрадалих лица мањи за 15,1% у 2020.</w:t>
      </w:r>
      <w:r w:rsidRPr="00435154">
        <w:rPr>
          <w:rStyle w:val="FootnoteReference"/>
          <w:rFonts w:cs="Times New Roman"/>
          <w:szCs w:val="24"/>
          <w:lang w:val="sr-Cyrl-RS"/>
        </w:rPr>
        <w:footnoteReference w:id="92"/>
      </w:r>
      <w:r w:rsidRPr="00435154">
        <w:rPr>
          <w:rFonts w:cs="Times New Roman"/>
          <w:szCs w:val="24"/>
          <w:lang w:val="sr-Cyrl-RS"/>
        </w:rPr>
        <w:t xml:space="preserve"> Број смртних исхода на путевима је и</w:t>
      </w:r>
      <w:r>
        <w:rPr>
          <w:rFonts w:cs="Times New Roman"/>
          <w:szCs w:val="24"/>
          <w:lang w:val="sr-Cyrl-RS"/>
        </w:rPr>
        <w:t xml:space="preserve"> </w:t>
      </w:r>
      <w:r w:rsidRPr="00435154">
        <w:rPr>
          <w:rFonts w:cs="Times New Roman"/>
          <w:szCs w:val="24"/>
          <w:lang w:val="sr-Cyrl-RS"/>
        </w:rPr>
        <w:t xml:space="preserve">даље изнад просека ЕУ. </w:t>
      </w:r>
      <w:r w:rsidRPr="00B6107C">
        <w:rPr>
          <w:rFonts w:cs="Times New Roman"/>
          <w:szCs w:val="24"/>
          <w:lang w:val="sr-Cyrl-RS"/>
        </w:rPr>
        <w:t>Потребно је проширити капацитете Дирекције за железнице као регулаторног тела и тела надлежног за безбедност железничког саобраћаја.</w:t>
      </w:r>
      <w:r>
        <w:rPr>
          <w:rFonts w:cs="Times New Roman"/>
          <w:szCs w:val="24"/>
          <w:lang w:val="sr-Cyrl-RS"/>
        </w:rPr>
        <w:t xml:space="preserve"> Неопходно</w:t>
      </w:r>
      <w:r w:rsidRPr="00435154">
        <w:rPr>
          <w:rFonts w:cs="Times New Roman"/>
          <w:szCs w:val="24"/>
          <w:lang w:val="sr-Cyrl-RS"/>
        </w:rPr>
        <w:t xml:space="preserve"> је усвојити планове одржавања путне и железничке инфраструктуре и предузети мере за уклањање црних тачака на деоницама пута са високим степеном саобраћајних несрећа. И</w:t>
      </w:r>
      <w:r>
        <w:rPr>
          <w:rFonts w:cs="Times New Roman"/>
          <w:szCs w:val="24"/>
          <w:lang w:val="sr-Cyrl-RS"/>
        </w:rPr>
        <w:t xml:space="preserve"> </w:t>
      </w:r>
      <w:r w:rsidRPr="00435154">
        <w:rPr>
          <w:rFonts w:cs="Times New Roman"/>
          <w:szCs w:val="24"/>
          <w:lang w:val="sr-Cyrl-RS"/>
        </w:rPr>
        <w:t>даље се касни са успостављањем методологије за обрачун накнада за приступ колосеку, као и новим моделом за одређивање цена за приступ железничкој инфраструктури</w:t>
      </w:r>
      <w:r w:rsidRPr="003024D2">
        <w:rPr>
          <w:rFonts w:cs="Times New Roman"/>
          <w:szCs w:val="24"/>
          <w:lang w:val="sr-Cyrl-RS"/>
        </w:rPr>
        <w:t>.</w:t>
      </w:r>
      <w:r>
        <w:rPr>
          <w:rFonts w:cs="Times New Roman"/>
          <w:szCs w:val="24"/>
          <w:lang w:val="sr-Cyrl-RS"/>
        </w:rPr>
        <w:t xml:space="preserve"> Потписивањем</w:t>
      </w:r>
      <w:r w:rsidRPr="00D875DE">
        <w:rPr>
          <w:rFonts w:cs="Times New Roman"/>
          <w:szCs w:val="24"/>
          <w:lang w:val="sr-Cyrl-RS"/>
        </w:rPr>
        <w:t xml:space="preserve"> </w:t>
      </w:r>
      <w:r>
        <w:rPr>
          <w:rFonts w:cs="Times New Roman"/>
          <w:szCs w:val="24"/>
          <w:lang w:val="sr-Cyrl-RS"/>
        </w:rPr>
        <w:t>Декларације</w:t>
      </w:r>
      <w:r w:rsidRPr="00D875DE">
        <w:rPr>
          <w:rFonts w:cs="Times New Roman"/>
          <w:szCs w:val="24"/>
          <w:lang w:val="sr-Cyrl-RS"/>
        </w:rPr>
        <w:t xml:space="preserve"> о безбедносној култури европске железнице</w:t>
      </w:r>
      <w:r>
        <w:rPr>
          <w:rFonts w:cs="Times New Roman"/>
          <w:szCs w:val="24"/>
          <w:lang w:val="sr-Cyrl-RS"/>
        </w:rPr>
        <w:t xml:space="preserve"> и а</w:t>
      </w:r>
      <w:r w:rsidRPr="00150BEF">
        <w:rPr>
          <w:rFonts w:cs="Times New Roman"/>
          <w:szCs w:val="24"/>
          <w:lang w:val="sr-Cyrl-RS"/>
        </w:rPr>
        <w:t>утоматизацијом путних прелаза (уградња вибро трака, соларних маркера и рефлекторског осветљења) унапређена је безбедност железничког саобраћаја.</w:t>
      </w:r>
      <w:r>
        <w:rPr>
          <w:rFonts w:cs="Times New Roman"/>
          <w:szCs w:val="24"/>
          <w:lang w:val="sr-Cyrl-RS"/>
        </w:rPr>
        <w:t xml:space="preserve"> </w:t>
      </w:r>
      <w:r w:rsidRPr="003024D2">
        <w:rPr>
          <w:rFonts w:cs="Times New Roman"/>
          <w:szCs w:val="24"/>
          <w:lang w:val="sr-Cyrl-RS"/>
        </w:rPr>
        <w:t xml:space="preserve">У току је </w:t>
      </w:r>
      <w:r>
        <w:rPr>
          <w:rFonts w:cs="Times New Roman"/>
          <w:szCs w:val="24"/>
          <w:lang w:val="sr-Cyrl-RS"/>
        </w:rPr>
        <w:t>пројектовање</w:t>
      </w:r>
      <w:r w:rsidRPr="003024D2">
        <w:rPr>
          <w:rFonts w:cs="Times New Roman"/>
          <w:szCs w:val="24"/>
          <w:lang w:val="sr-Cyrl-RS"/>
        </w:rPr>
        <w:t xml:space="preserve"> јединственог диспечерског центра што ће допринети дигитализацији и праћењу возова у реалном времену.</w:t>
      </w:r>
      <w:r>
        <w:rPr>
          <w:rFonts w:cs="Times New Roman"/>
          <w:szCs w:val="24"/>
          <w:lang w:val="sr-Cyrl-RS"/>
        </w:rPr>
        <w:t xml:space="preserve"> </w:t>
      </w:r>
    </w:p>
    <w:p w14:paraId="377DDEA2" w14:textId="77777777" w:rsidR="00DC7F92" w:rsidRPr="00DC25E5" w:rsidRDefault="00DC7F92" w:rsidP="003F1FDD">
      <w:pPr>
        <w:spacing w:after="60"/>
        <w:rPr>
          <w:rFonts w:cs="Times New Roman"/>
          <w:b/>
          <w:szCs w:val="24"/>
          <w:lang w:val="sr-Cyrl-RS"/>
        </w:rPr>
      </w:pPr>
      <w:r w:rsidRPr="00DC25E5">
        <w:rPr>
          <w:rFonts w:cs="Times New Roman"/>
          <w:b/>
          <w:szCs w:val="24"/>
          <w:lang w:val="sr-Cyrl-RS"/>
        </w:rPr>
        <w:t>Потребно је успоставити и јачати капацитете комбинованог/интермодалног транспорта.</w:t>
      </w:r>
      <w:r>
        <w:rPr>
          <w:rFonts w:cs="Times New Roman"/>
          <w:b/>
          <w:szCs w:val="24"/>
          <w:lang w:val="sr-Cyrl-RS"/>
        </w:rPr>
        <w:t xml:space="preserve"> </w:t>
      </w:r>
      <w:r w:rsidRPr="00F52229">
        <w:rPr>
          <w:rFonts w:cs="Times New Roman"/>
          <w:szCs w:val="24"/>
          <w:lang w:val="sr-Cyrl-RS"/>
        </w:rPr>
        <w:t xml:space="preserve">Овај вид транспорта доприноси растерећењу центра града, смањењу трошкова транспорта, </w:t>
      </w:r>
      <w:r w:rsidRPr="00DC25E5">
        <w:rPr>
          <w:rFonts w:cs="Times New Roman"/>
          <w:szCs w:val="24"/>
          <w:lang w:val="sr-Cyrl-RS"/>
        </w:rPr>
        <w:t xml:space="preserve">саобраћајних гужви и оштећења путева и повећању безбедности </w:t>
      </w:r>
      <w:r w:rsidRPr="00DC25E5">
        <w:rPr>
          <w:rFonts w:cs="Times New Roman"/>
          <w:szCs w:val="24"/>
          <w:lang w:val="sr-Cyrl-RS"/>
        </w:rPr>
        <w:lastRenderedPageBreak/>
        <w:t>саобраћаја на путевима. Т</w:t>
      </w:r>
      <w:r w:rsidRPr="00DC25E5">
        <w:rPr>
          <w:rFonts w:cs="Times New Roman"/>
          <w:szCs w:val="24"/>
        </w:rPr>
        <w:t>ехничке спецификације за интероперабилност</w:t>
      </w:r>
      <w:r w:rsidRPr="00DC25E5">
        <w:rPr>
          <w:rFonts w:cs="Times New Roman"/>
          <w:szCs w:val="24"/>
          <w:lang w:val="sr-Cyrl-RS"/>
        </w:rPr>
        <w:t xml:space="preserve"> је потребно усвојити и применити. Започета је изградња Интермодалног терминала у Батајници у </w:t>
      </w:r>
      <w:r>
        <w:rPr>
          <w:rFonts w:cs="Times New Roman"/>
          <w:szCs w:val="24"/>
          <w:lang w:val="sr-Cyrl-RS"/>
        </w:rPr>
        <w:t>септембру</w:t>
      </w:r>
      <w:r w:rsidRPr="00DC25E5">
        <w:rPr>
          <w:rFonts w:cs="Times New Roman"/>
          <w:szCs w:val="24"/>
          <w:lang w:val="sr-Cyrl-RS"/>
        </w:rPr>
        <w:t xml:space="preserve"> 2020. и планирано је да радови </w:t>
      </w:r>
      <w:r>
        <w:rPr>
          <w:rFonts w:cs="Times New Roman"/>
          <w:szCs w:val="24"/>
          <w:lang w:val="sr-Cyrl-RS"/>
        </w:rPr>
        <w:t>буду завршени до краја 2022. године</w:t>
      </w:r>
      <w:r w:rsidRPr="00DC25E5">
        <w:rPr>
          <w:rFonts w:cs="Times New Roman"/>
          <w:szCs w:val="24"/>
          <w:lang w:val="sr-Cyrl-RS"/>
        </w:rPr>
        <w:t xml:space="preserve">. Терминал Батајница ће омогућити повезивање  железничког </w:t>
      </w:r>
      <w:r>
        <w:rPr>
          <w:rFonts w:cs="Times New Roman"/>
          <w:szCs w:val="24"/>
          <w:lang w:val="sr-Cyrl-RS"/>
        </w:rPr>
        <w:t>са друмским транспортом</w:t>
      </w:r>
      <w:r w:rsidRPr="00DC25E5">
        <w:rPr>
          <w:rFonts w:cs="Times New Roman"/>
          <w:szCs w:val="24"/>
          <w:lang w:val="sr-Cyrl-RS"/>
        </w:rPr>
        <w:t>и обављање свих логис</w:t>
      </w:r>
      <w:r>
        <w:rPr>
          <w:rFonts w:cs="Times New Roman"/>
          <w:szCs w:val="24"/>
          <w:lang w:val="sr-Cyrl-RS"/>
        </w:rPr>
        <w:t>тичких послова на једном месту.</w:t>
      </w:r>
    </w:p>
    <w:p w14:paraId="72D2B5E7" w14:textId="77777777" w:rsidR="00DC7F92" w:rsidRPr="00002AF5" w:rsidRDefault="00DC7F92" w:rsidP="003F1FDD">
      <w:pPr>
        <w:spacing w:after="60"/>
        <w:rPr>
          <w:rFonts w:cs="Times New Roman"/>
          <w:szCs w:val="24"/>
          <w:lang w:val="sr-Cyrl-RS"/>
        </w:rPr>
      </w:pPr>
      <w:r w:rsidRPr="00A6164C">
        <w:rPr>
          <w:rFonts w:cs="Times New Roman"/>
          <w:b/>
          <w:szCs w:val="24"/>
          <w:lang w:val="sr-Cyrl-RS"/>
        </w:rPr>
        <w:t xml:space="preserve">Велики број процедура ствара гужве на граничним прелазима и оптерећује сигурносне контроле. </w:t>
      </w:r>
      <w:r w:rsidRPr="00002AF5">
        <w:rPr>
          <w:rFonts w:cs="Times New Roman"/>
          <w:szCs w:val="24"/>
          <w:lang w:val="sr-Cyrl-RS"/>
        </w:rPr>
        <w:t>Потребно је унапредити пословање царинских служби, смањити и поједноставити граничне процедуре, смањити време задржавања на граничним прелазима и унапредити регионалну сарадњу.</w:t>
      </w:r>
      <w:r w:rsidRPr="00002AF5">
        <w:rPr>
          <w:rFonts w:cs="Times New Roman"/>
          <w:szCs w:val="24"/>
        </w:rPr>
        <w:t xml:space="preserve"> </w:t>
      </w:r>
      <w:r w:rsidRPr="00002AF5">
        <w:rPr>
          <w:rFonts w:cs="Times New Roman"/>
          <w:szCs w:val="24"/>
          <w:lang w:val="sr-Cyrl-RS"/>
        </w:rPr>
        <w:t>Неопходно је успоставити ИТС у свим видовима саобраћаја. У циљу</w:t>
      </w:r>
      <w:r>
        <w:rPr>
          <w:rFonts w:cs="Times New Roman"/>
          <w:szCs w:val="24"/>
          <w:lang w:val="sr-Cyrl-RS"/>
        </w:rPr>
        <w:t xml:space="preserve"> развоја ИТС на простору Србије потребно</w:t>
      </w:r>
      <w:r w:rsidRPr="00EF2419">
        <w:rPr>
          <w:rFonts w:cs="Times New Roman"/>
          <w:szCs w:val="24"/>
          <w:lang w:val="sr-Cyrl-RS"/>
        </w:rPr>
        <w:t xml:space="preserve"> је донети стратешки оквир, прилагодити законодавство и обезбедити капацитете за имплементацију</w:t>
      </w:r>
      <w:r>
        <w:rPr>
          <w:rFonts w:cs="Times New Roman"/>
          <w:szCs w:val="24"/>
          <w:lang w:val="sr-Cyrl-RS"/>
        </w:rPr>
        <w:t>. Европски систем управљања железничким саобраћајем (</w:t>
      </w:r>
      <w:r w:rsidRPr="00DA3D7A">
        <w:rPr>
          <w:rFonts w:cs="Times New Roman"/>
          <w:szCs w:val="24"/>
          <w:lang w:val="sr-Cyrl-RS"/>
        </w:rPr>
        <w:t>ЕРТМС</w:t>
      </w:r>
      <w:r w:rsidRPr="00011C36">
        <w:rPr>
          <w:rFonts w:cs="Times New Roman"/>
          <w:szCs w:val="24"/>
          <w:lang w:val="sr-Cyrl-RS"/>
        </w:rPr>
        <w:t>)</w:t>
      </w:r>
      <w:r>
        <w:rPr>
          <w:rFonts w:cs="Times New Roman"/>
          <w:szCs w:val="24"/>
          <w:lang w:val="sr-Cyrl-RS"/>
        </w:rPr>
        <w:t xml:space="preserve"> биће примењен на деоницама пруге Београд Центар – Нови Сад, Нови Сад – Суботица – државна граница са Мађарском, Суботица - Хоргош. </w:t>
      </w:r>
      <w:r w:rsidRPr="005C0B93">
        <w:rPr>
          <w:rFonts w:cs="Times New Roman"/>
          <w:szCs w:val="24"/>
          <w:lang w:val="sr-Cyrl-RS"/>
        </w:rPr>
        <w:t>Тренутно је у функцији систем речних информационих система (РИС) на Сави и Дунаву.</w:t>
      </w:r>
      <w:r>
        <w:rPr>
          <w:rFonts w:cs="Times New Roman"/>
          <w:szCs w:val="24"/>
          <w:lang w:val="sr-Cyrl-RS"/>
        </w:rPr>
        <w:t xml:space="preserve"> </w:t>
      </w:r>
      <w:r w:rsidRPr="00990C46">
        <w:rPr>
          <w:rFonts w:cs="Times New Roman"/>
          <w:szCs w:val="24"/>
          <w:lang w:val="sr-Cyrl-RS"/>
        </w:rPr>
        <w:t>Потребно је омогућити и</w:t>
      </w:r>
      <w:r w:rsidRPr="00990C46">
        <w:rPr>
          <w:rFonts w:cs="Times New Roman"/>
          <w:szCs w:val="24"/>
        </w:rPr>
        <w:t xml:space="preserve">здавање дозвола за машиновође и сертификата о безбедности за железничка предузећа и узајамно признавање железничких </w:t>
      </w:r>
      <w:r w:rsidRPr="00556FC4">
        <w:rPr>
          <w:rFonts w:cs="Times New Roman"/>
          <w:szCs w:val="24"/>
        </w:rPr>
        <w:t>возила</w:t>
      </w:r>
      <w:r>
        <w:rPr>
          <w:rFonts w:cs="Times New Roman"/>
          <w:szCs w:val="24"/>
          <w:lang w:val="sr-Cyrl-RS"/>
        </w:rPr>
        <w:t xml:space="preserve">, </w:t>
      </w:r>
      <w:r>
        <w:rPr>
          <w:rFonts w:cs="Times New Roman"/>
          <w:szCs w:val="24"/>
          <w:lang w:val="sr-Cyrl-CS"/>
        </w:rPr>
        <w:t>у складу са Уговором о оснивању Транспортне заједнице</w:t>
      </w:r>
      <w:r w:rsidRPr="00556FC4">
        <w:rPr>
          <w:rFonts w:cs="Times New Roman"/>
          <w:szCs w:val="24"/>
        </w:rPr>
        <w:t>.</w:t>
      </w:r>
      <w:r w:rsidRPr="00556FC4">
        <w:rPr>
          <w:rFonts w:cs="Times New Roman"/>
          <w:szCs w:val="24"/>
          <w:lang w:val="sr-Cyrl-RS"/>
        </w:rPr>
        <w:t xml:space="preserve"> Услед истека периода важења,</w:t>
      </w:r>
      <w:r>
        <w:rPr>
          <w:rFonts w:cs="Times New Roman"/>
          <w:szCs w:val="24"/>
          <w:lang w:val="sr-Cyrl-RS"/>
        </w:rPr>
        <w:t xml:space="preserve"> </w:t>
      </w:r>
      <w:r w:rsidRPr="00556FC4">
        <w:rPr>
          <w:rFonts w:cs="Times New Roman"/>
          <w:szCs w:val="24"/>
          <w:lang w:val="sr-Cyrl-RS"/>
        </w:rPr>
        <w:t xml:space="preserve">потребно је донети нову </w:t>
      </w:r>
      <w:r w:rsidRPr="00FF1DAB">
        <w:rPr>
          <w:rFonts w:cs="Times New Roman"/>
          <w:i/>
          <w:szCs w:val="24"/>
          <w:lang w:val="sr-Cyrl-RS"/>
        </w:rPr>
        <w:t>Стратегију интегрисаног управљања границом</w:t>
      </w:r>
      <w:r w:rsidRPr="00556FC4">
        <w:rPr>
          <w:rFonts w:cs="Times New Roman"/>
          <w:szCs w:val="24"/>
          <w:lang w:val="sr-Cyrl-RS"/>
        </w:rPr>
        <w:t>.</w:t>
      </w:r>
      <w:r>
        <w:rPr>
          <w:rFonts w:cs="Times New Roman"/>
          <w:szCs w:val="24"/>
          <w:lang w:val="sr-Cyrl-RS"/>
        </w:rPr>
        <w:t xml:space="preserve"> </w:t>
      </w:r>
      <w:r w:rsidRPr="00556FC4">
        <w:rPr>
          <w:rFonts w:cs="Times New Roman"/>
          <w:szCs w:val="24"/>
          <w:lang w:val="sr-Cyrl-RS"/>
        </w:rPr>
        <w:t>Размена података кроз Систем електронске размене података (</w:t>
      </w:r>
      <w:r w:rsidRPr="00556FC4">
        <w:rPr>
          <w:rFonts w:cs="Times New Roman"/>
          <w:szCs w:val="24"/>
          <w:lang w:val="sr-Latn-RS"/>
        </w:rPr>
        <w:t xml:space="preserve">SEED) </w:t>
      </w:r>
      <w:r w:rsidRPr="00556FC4">
        <w:rPr>
          <w:rFonts w:cs="Times New Roman"/>
          <w:szCs w:val="24"/>
          <w:lang w:val="sr-Cyrl-RS"/>
        </w:rPr>
        <w:t>доприноси бржем промету на граничним прелазима.</w:t>
      </w:r>
      <w:r w:rsidRPr="00FF4C40">
        <w:rPr>
          <w:rFonts w:cs="Times New Roman"/>
          <w:szCs w:val="24"/>
          <w:lang w:val="sr-Cyrl-RS"/>
        </w:rPr>
        <w:t xml:space="preserve"> </w:t>
      </w:r>
      <w:r>
        <w:rPr>
          <w:rFonts w:cs="Times New Roman"/>
          <w:szCs w:val="24"/>
          <w:lang w:val="sr-Cyrl-RS"/>
        </w:rPr>
        <w:t>З</w:t>
      </w:r>
      <w:r w:rsidRPr="00FF4C40">
        <w:rPr>
          <w:rFonts w:cs="Times New Roman"/>
          <w:szCs w:val="24"/>
          <w:lang w:val="sr-Cyrl-RS"/>
        </w:rPr>
        <w:t xml:space="preserve">апочето је проширење граничних прелаза и убрзани су административни процеси увођењем већег броја скенера пасоша и скенера робе. </w:t>
      </w:r>
      <w:r>
        <w:rPr>
          <w:rFonts w:cs="Times New Roman"/>
          <w:szCs w:val="24"/>
          <w:lang w:val="sr-Cyrl-RS"/>
        </w:rPr>
        <w:t xml:space="preserve">Настављена је </w:t>
      </w:r>
      <w:r w:rsidRPr="00D203C5">
        <w:rPr>
          <w:rFonts w:cs="Times New Roman"/>
          <w:szCs w:val="24"/>
          <w:lang w:val="sr-Cyrl-RS"/>
        </w:rPr>
        <w:t>примена система ,,Зелени коридори“ на одређеним граничним прелазима.</w:t>
      </w:r>
      <w:r>
        <w:rPr>
          <w:rFonts w:cs="Times New Roman"/>
          <w:szCs w:val="24"/>
          <w:lang w:val="sr-Cyrl-RS"/>
        </w:rPr>
        <w:t xml:space="preserve"> </w:t>
      </w:r>
      <w:r w:rsidRPr="00556FC4">
        <w:rPr>
          <w:rFonts w:cs="Times New Roman"/>
          <w:szCs w:val="24"/>
          <w:lang w:val="sr-Cyrl-RS"/>
        </w:rPr>
        <w:t>У току је изградња и проширења граничних прелаза (према Црној Гори и БиХ) како би се повећали пропусни капацитети.</w:t>
      </w:r>
      <w:r w:rsidRPr="00556FC4">
        <w:rPr>
          <w:rFonts w:cs="Times New Roman"/>
          <w:szCs w:val="24"/>
        </w:rPr>
        <w:t xml:space="preserve"> </w:t>
      </w:r>
      <w:r w:rsidRPr="00556FC4">
        <w:rPr>
          <w:rFonts w:cs="Times New Roman"/>
          <w:szCs w:val="24"/>
          <w:lang w:val="sr-Cyrl-RS"/>
        </w:rPr>
        <w:t>Настављено је са праксом отварања додатних граничних прелаза током летње сезоне.</w:t>
      </w:r>
    </w:p>
    <w:p w14:paraId="189962F2" w14:textId="77777777" w:rsidR="00DC7F92" w:rsidRPr="002E053A" w:rsidRDefault="00DC7F92" w:rsidP="003F1FDD">
      <w:pPr>
        <w:spacing w:after="60"/>
        <w:rPr>
          <w:rFonts w:eastAsia="Times New Roman" w:cs="Times New Roman"/>
          <w:bCs/>
          <w:szCs w:val="24"/>
          <w:lang w:val="sr-Latn-RS"/>
        </w:rPr>
      </w:pPr>
      <w:r w:rsidRPr="009A6676">
        <w:rPr>
          <w:rFonts w:cs="Times New Roman"/>
          <w:b/>
          <w:szCs w:val="24"/>
          <w:lang w:val="sr-Cyrl-RS"/>
        </w:rPr>
        <w:t xml:space="preserve">У областима поморског транспорта и транспорта унутрашњим водним путевима остварен је висок степен усклађености са правним тековинама ЕУ. </w:t>
      </w:r>
      <w:r w:rsidRPr="009A6676">
        <w:rPr>
          <w:rFonts w:cs="Times New Roman"/>
          <w:bCs/>
          <w:szCs w:val="24"/>
          <w:lang w:val="sr-Cyrl-RS"/>
        </w:rPr>
        <w:t>Трговински потенцијал речних лука није у потпуности искоришћен и неопходно је остварити интероперабилност са друмском и железничком инфраструктуром.</w:t>
      </w:r>
      <w:r w:rsidRPr="009A6676">
        <w:rPr>
          <w:rFonts w:cs="Times New Roman"/>
          <w:b/>
          <w:bCs/>
          <w:szCs w:val="24"/>
          <w:lang w:val="sr-Cyrl-RS"/>
        </w:rPr>
        <w:t xml:space="preserve"> </w:t>
      </w:r>
      <w:r w:rsidRPr="009A6676">
        <w:rPr>
          <w:rFonts w:cs="Times New Roman"/>
          <w:szCs w:val="24"/>
          <w:lang w:val="sr-Cyrl-RS"/>
        </w:rPr>
        <w:t>У</w:t>
      </w:r>
      <w:r w:rsidRPr="009A6676">
        <w:rPr>
          <w:rFonts w:eastAsia="Times New Roman" w:cs="Times New Roman"/>
          <w:bCs/>
          <w:szCs w:val="24"/>
          <w:lang w:val="sr-Cyrl-RS"/>
        </w:rPr>
        <w:t>купан обим превоза терета на унутрашњим водним путевима у Србији износи 15,6 милиона тона у 2020. што представља раст од 10,2% у односу на 2019.</w:t>
      </w:r>
      <w:r w:rsidRPr="009A6676">
        <w:rPr>
          <w:rStyle w:val="FootnoteReference"/>
          <w:rFonts w:eastAsia="Times New Roman" w:cs="Times New Roman"/>
          <w:bCs/>
          <w:szCs w:val="24"/>
          <w:lang w:val="sr-Cyrl-RS"/>
        </w:rPr>
        <w:footnoteReference w:id="93"/>
      </w:r>
      <w:r w:rsidRPr="009A6676">
        <w:rPr>
          <w:rFonts w:eastAsia="Times New Roman" w:cs="Times New Roman"/>
          <w:bCs/>
          <w:szCs w:val="24"/>
          <w:lang w:val="sr-Cyrl-RS"/>
        </w:rPr>
        <w:t xml:space="preserve"> </w:t>
      </w:r>
      <w:r w:rsidRPr="009A6676">
        <w:rPr>
          <w:rFonts w:eastAsia="Times New Roman" w:cs="Times New Roman"/>
          <w:bCs/>
          <w:szCs w:val="24"/>
        </w:rPr>
        <w:t>Најчешће претоварена врста терета јесу шљунак, песак и камени агрегати, који заједно чине готово 26</w:t>
      </w:r>
      <w:r w:rsidRPr="009A6676">
        <w:rPr>
          <w:rFonts w:eastAsia="Times New Roman" w:cs="Times New Roman"/>
          <w:bCs/>
          <w:szCs w:val="24"/>
          <w:lang w:val="sr-Cyrl-RS"/>
        </w:rPr>
        <w:t>%</w:t>
      </w:r>
      <w:r w:rsidRPr="009A6676">
        <w:rPr>
          <w:rFonts w:eastAsia="Times New Roman" w:cs="Times New Roman"/>
          <w:bCs/>
          <w:szCs w:val="24"/>
        </w:rPr>
        <w:t xml:space="preserve"> претовара.</w:t>
      </w:r>
      <w:r w:rsidRPr="009A6676">
        <w:rPr>
          <w:rFonts w:eastAsia="Times New Roman" w:cs="Times New Roman"/>
          <w:bCs/>
          <w:szCs w:val="24"/>
          <w:lang w:val="sr-Cyrl-RS"/>
        </w:rPr>
        <w:t xml:space="preserve"> Расту обима претовара је највише допринело повећање пословне активности у сектору грађевинарства. </w:t>
      </w:r>
      <w:r>
        <w:rPr>
          <w:rFonts w:eastAsia="Times New Roman" w:cs="Times New Roman"/>
          <w:bCs/>
          <w:szCs w:val="24"/>
          <w:lang w:val="sr-Cyrl-RS"/>
        </w:rPr>
        <w:t>У</w:t>
      </w:r>
      <w:r w:rsidRPr="009A6676">
        <w:rPr>
          <w:rFonts w:eastAsia="Times New Roman" w:cs="Times New Roman"/>
          <w:bCs/>
          <w:szCs w:val="24"/>
          <w:lang w:val="sr-Cyrl-RS"/>
        </w:rPr>
        <w:t xml:space="preserve"> периоду јануар-јул 2021.</w:t>
      </w:r>
      <w:r>
        <w:rPr>
          <w:rFonts w:eastAsia="Times New Roman" w:cs="Times New Roman"/>
          <w:bCs/>
          <w:szCs w:val="24"/>
          <w:lang w:val="sr-Cyrl-RS"/>
        </w:rPr>
        <w:t xml:space="preserve"> н</w:t>
      </w:r>
      <w:r w:rsidRPr="009A6676">
        <w:rPr>
          <w:rFonts w:eastAsia="Times New Roman" w:cs="Times New Roman"/>
          <w:bCs/>
          <w:szCs w:val="24"/>
          <w:lang w:val="sr-Cyrl-RS"/>
        </w:rPr>
        <w:t>а унутрашњим водним путевима је претоварено 7,8 милиона тона терета, што представља раст од 8,3% у односу на прву половину 2020</w:t>
      </w:r>
      <w:r>
        <w:rPr>
          <w:rFonts w:eastAsia="Times New Roman" w:cs="Times New Roman"/>
          <w:bCs/>
          <w:szCs w:val="24"/>
          <w:lang w:val="sr-Cyrl-RS"/>
        </w:rPr>
        <w:t>.</w:t>
      </w:r>
      <w:r w:rsidRPr="009A6676">
        <w:rPr>
          <w:rFonts w:eastAsia="Times New Roman" w:cs="Times New Roman"/>
          <w:bCs/>
          <w:szCs w:val="24"/>
          <w:lang w:val="sr-Cyrl-RS"/>
        </w:rPr>
        <w:t xml:space="preserve"> (шљунак, песак и камени агрегати чине 24,4% укупног претовара).</w:t>
      </w:r>
      <w:r w:rsidRPr="009A6676">
        <w:rPr>
          <w:rStyle w:val="FootnoteReference"/>
          <w:rFonts w:eastAsia="Times New Roman" w:cs="Times New Roman"/>
          <w:bCs/>
          <w:szCs w:val="24"/>
          <w:lang w:val="sr-Cyrl-RS"/>
        </w:rPr>
        <w:footnoteReference w:id="94"/>
      </w:r>
      <w:r w:rsidRPr="009A6676">
        <w:rPr>
          <w:rFonts w:eastAsia="Times New Roman" w:cs="Times New Roman"/>
          <w:bCs/>
          <w:szCs w:val="24"/>
          <w:lang w:val="sr-Cyrl-RS"/>
        </w:rPr>
        <w:t xml:space="preserve"> Реализација великих инфраструктурних пројеката је допринела порасту претовара у лукама током 2020</w:t>
      </w:r>
      <w:r>
        <w:rPr>
          <w:rFonts w:eastAsia="Times New Roman" w:cs="Times New Roman"/>
          <w:bCs/>
          <w:szCs w:val="24"/>
          <w:lang w:val="sr-Cyrl-RS"/>
        </w:rPr>
        <w:t>.</w:t>
      </w:r>
      <w:r w:rsidRPr="009A6676">
        <w:rPr>
          <w:rFonts w:eastAsia="Times New Roman" w:cs="Times New Roman"/>
          <w:bCs/>
          <w:szCs w:val="24"/>
          <w:lang w:val="sr-Cyrl-RS"/>
        </w:rPr>
        <w:t xml:space="preserve"> и 2021. Настављено је јачање регионалне сарадње, активно учешће у оквиру стратегијa ЕУ за развој Дунавског региона и Јадранско-јонског региона и примена РИС. Сви подаци о раду лука се прикупљају кроз </w:t>
      </w:r>
      <w:r w:rsidRPr="009A6676">
        <w:rPr>
          <w:rFonts w:eastAsia="Times New Roman" w:cs="Times New Roman"/>
          <w:bCs/>
          <w:szCs w:val="24"/>
        </w:rPr>
        <w:t xml:space="preserve">Интегрисани лучки информациони систем </w:t>
      </w:r>
      <w:r w:rsidRPr="009A6676">
        <w:rPr>
          <w:rFonts w:eastAsia="Times New Roman" w:cs="Times New Roman"/>
          <w:bCs/>
          <w:szCs w:val="24"/>
          <w:lang w:val="sr-Cyrl-RS"/>
        </w:rPr>
        <w:t>(</w:t>
      </w:r>
      <w:r w:rsidRPr="009A6676">
        <w:rPr>
          <w:rFonts w:eastAsia="Times New Roman" w:cs="Times New Roman"/>
          <w:bCs/>
          <w:szCs w:val="24"/>
        </w:rPr>
        <w:t>ИЛИС</w:t>
      </w:r>
      <w:r w:rsidRPr="009A6676">
        <w:rPr>
          <w:rFonts w:eastAsia="Times New Roman" w:cs="Times New Roman"/>
          <w:bCs/>
          <w:szCs w:val="24"/>
          <w:lang w:val="sr-Cyrl-RS"/>
        </w:rPr>
        <w:t xml:space="preserve">). </w:t>
      </w:r>
      <w:r w:rsidRPr="003A5050">
        <w:rPr>
          <w:rFonts w:eastAsia="Times New Roman" w:cs="Times New Roman"/>
          <w:bCs/>
          <w:szCs w:val="24"/>
          <w:lang w:val="sr-Cyrl-RS"/>
        </w:rPr>
        <w:t>Изменама и допунама</w:t>
      </w:r>
      <w:r w:rsidRPr="00CB707C">
        <w:rPr>
          <w:rFonts w:eastAsia="Times New Roman" w:cs="Times New Roman"/>
          <w:bCs/>
          <w:i/>
          <w:szCs w:val="24"/>
          <w:lang w:val="sr-Cyrl-RS"/>
        </w:rPr>
        <w:t xml:space="preserve"> Закона о пловидби и лукама на унутрашњим водама</w:t>
      </w:r>
      <w:r w:rsidRPr="009A6676">
        <w:rPr>
          <w:rFonts w:eastAsia="Times New Roman" w:cs="Times New Roman"/>
          <w:bCs/>
          <w:szCs w:val="24"/>
          <w:lang w:val="sr-Cyrl-RS"/>
        </w:rPr>
        <w:t xml:space="preserve"> (</w:t>
      </w:r>
      <w:r>
        <w:rPr>
          <w:rFonts w:eastAsia="Times New Roman" w:cs="Times New Roman"/>
          <w:bCs/>
          <w:szCs w:val="24"/>
          <w:lang w:val="sr-Cyrl-RS"/>
        </w:rPr>
        <w:t>„</w:t>
      </w:r>
      <w:r w:rsidRPr="009A6676">
        <w:rPr>
          <w:rFonts w:eastAsia="Times New Roman" w:cs="Times New Roman"/>
          <w:bCs/>
          <w:szCs w:val="24"/>
          <w:lang w:val="sr-Cyrl-RS"/>
        </w:rPr>
        <w:t>С</w:t>
      </w:r>
      <w:r>
        <w:rPr>
          <w:rFonts w:eastAsia="Times New Roman" w:cs="Times New Roman"/>
          <w:bCs/>
          <w:szCs w:val="24"/>
          <w:lang w:val="sr-Cyrl-RS"/>
        </w:rPr>
        <w:t>л. гласник</w:t>
      </w:r>
      <w:r w:rsidRPr="009A6676">
        <w:rPr>
          <w:rFonts w:eastAsia="Times New Roman" w:cs="Times New Roman"/>
          <w:bCs/>
          <w:szCs w:val="24"/>
          <w:lang w:val="sr-Cyrl-RS"/>
        </w:rPr>
        <w:t xml:space="preserve"> РС</w:t>
      </w:r>
      <w:r>
        <w:rPr>
          <w:rFonts w:eastAsia="Times New Roman" w:cs="Times New Roman"/>
          <w:bCs/>
          <w:szCs w:val="24"/>
          <w:lang w:val="sr-Cyrl-RS"/>
        </w:rPr>
        <w:t>“, бр.</w:t>
      </w:r>
      <w:r w:rsidRPr="009A6676">
        <w:rPr>
          <w:rFonts w:eastAsia="Times New Roman" w:cs="Times New Roman"/>
          <w:bCs/>
          <w:szCs w:val="24"/>
          <w:lang w:val="sr-Cyrl-RS"/>
        </w:rPr>
        <w:t xml:space="preserve"> 52/</w:t>
      </w:r>
      <w:r>
        <w:rPr>
          <w:rFonts w:eastAsia="Times New Roman" w:cs="Times New Roman"/>
          <w:bCs/>
          <w:szCs w:val="24"/>
          <w:lang w:val="sr-Cyrl-RS"/>
        </w:rPr>
        <w:t>20</w:t>
      </w:r>
      <w:r w:rsidRPr="009A6676">
        <w:rPr>
          <w:rFonts w:eastAsia="Times New Roman" w:cs="Times New Roman"/>
          <w:bCs/>
          <w:szCs w:val="24"/>
          <w:lang w:val="sr-Cyrl-RS"/>
        </w:rPr>
        <w:t>21) створени су услови за унапређење рентабилности лучких услуга, рада лучких оператера и степена безбедности лука.</w:t>
      </w:r>
      <w:r>
        <w:rPr>
          <w:rFonts w:eastAsia="Times New Roman" w:cs="Times New Roman"/>
          <w:bCs/>
          <w:szCs w:val="24"/>
          <w:lang w:val="sr-Latn-RS"/>
        </w:rPr>
        <w:t xml:space="preserve"> </w:t>
      </w:r>
    </w:p>
    <w:p w14:paraId="4F75937D" w14:textId="4B0C7D0F" w:rsidR="00DC7F92" w:rsidRPr="00B85A7F" w:rsidRDefault="00DC7F92" w:rsidP="003F1FDD">
      <w:pPr>
        <w:spacing w:after="60"/>
        <w:rPr>
          <w:rFonts w:cs="Times New Roman"/>
          <w:szCs w:val="24"/>
          <w:lang w:val="sr-Cyrl-RS"/>
        </w:rPr>
      </w:pPr>
      <w:r w:rsidRPr="005D217A">
        <w:rPr>
          <w:rFonts w:cs="Times New Roman"/>
          <w:b/>
          <w:szCs w:val="24"/>
          <w:lang w:val="sr-Cyrl-RS"/>
        </w:rPr>
        <w:t>Брзину претовара у српским лукама и ниво конкурентности српске робе на иностраном тржишту ограничавају постојећи инфраструктурни капацитети у области унутрашњег водног транспорта</w:t>
      </w:r>
      <w:r w:rsidRPr="00A6164C">
        <w:rPr>
          <w:rFonts w:cs="Times New Roman"/>
          <w:szCs w:val="24"/>
          <w:lang w:val="sr-Cyrl-RS"/>
        </w:rPr>
        <w:t>, али се континуирано унапређују</w:t>
      </w:r>
      <w:r w:rsidRPr="00A6164C">
        <w:rPr>
          <w:rFonts w:cs="Times New Roman"/>
          <w:b/>
          <w:szCs w:val="24"/>
          <w:lang w:val="sr-Cyrl-RS"/>
        </w:rPr>
        <w:t>.</w:t>
      </w:r>
      <w:r w:rsidRPr="00A6164C">
        <w:rPr>
          <w:rFonts w:cs="Times New Roman"/>
          <w:szCs w:val="24"/>
          <w:lang w:val="sr-Cyrl-RS"/>
        </w:rPr>
        <w:t xml:space="preserve"> </w:t>
      </w:r>
      <w:r w:rsidRPr="007C2640">
        <w:rPr>
          <w:rFonts w:cs="Times New Roman"/>
          <w:bCs/>
          <w:szCs w:val="24"/>
          <w:lang w:val="sr-Cyrl-RS"/>
        </w:rPr>
        <w:t xml:space="preserve">Потребно </w:t>
      </w:r>
      <w:r w:rsidRPr="007C2640">
        <w:rPr>
          <w:rFonts w:cs="Times New Roman"/>
          <w:bCs/>
          <w:szCs w:val="24"/>
          <w:lang w:val="sr-Cyrl-RS"/>
        </w:rPr>
        <w:lastRenderedPageBreak/>
        <w:t xml:space="preserve">је унапређење лучких капацитета и њихово укључивање у </w:t>
      </w:r>
      <w:r w:rsidRPr="007C2640">
        <w:rPr>
          <w:rFonts w:cs="Times New Roman"/>
          <w:bCs/>
          <w:szCs w:val="24"/>
        </w:rPr>
        <w:t>Трансевропску транспортну мрежу (ТЕН-Т) речних лука.</w:t>
      </w:r>
      <w:r w:rsidRPr="007C2640">
        <w:rPr>
          <w:rFonts w:cs="Times New Roman"/>
          <w:bCs/>
          <w:szCs w:val="24"/>
          <w:lang w:val="sr-Cyrl-RS"/>
        </w:rPr>
        <w:t xml:space="preserve"> </w:t>
      </w:r>
      <w:r w:rsidRPr="00C61D3F">
        <w:rPr>
          <w:rFonts w:cs="Times New Roman"/>
          <w:bCs/>
          <w:szCs w:val="24"/>
          <w:lang w:val="sr-Cyrl-RS"/>
        </w:rPr>
        <w:t xml:space="preserve">Настављено је са улагањима у сектору речне пловидбе што доприноси расту укључености </w:t>
      </w:r>
      <w:r w:rsidRPr="00C61D3F">
        <w:rPr>
          <w:rFonts w:cs="Times New Roman"/>
          <w:bCs/>
          <w:szCs w:val="24"/>
        </w:rPr>
        <w:t>у европску мрежу речних путних и теретних коридора.</w:t>
      </w:r>
      <w:r w:rsidRPr="00C61D3F">
        <w:rPr>
          <w:rFonts w:cs="Times New Roman"/>
          <w:bCs/>
          <w:szCs w:val="24"/>
          <w:lang w:val="sr-Cyrl-RS"/>
        </w:rPr>
        <w:t xml:space="preserve"> </w:t>
      </w:r>
      <w:r w:rsidRPr="00A94F15">
        <w:rPr>
          <w:rFonts w:cs="Times New Roman"/>
          <w:szCs w:val="24"/>
          <w:lang w:val="sr-Cyrl-RS"/>
        </w:rPr>
        <w:t xml:space="preserve">У циљу повезивања Дунава и Саве </w:t>
      </w:r>
      <w:r w:rsidRPr="00A94F15">
        <w:rPr>
          <w:rFonts w:cs="Times New Roman"/>
          <w:szCs w:val="24"/>
        </w:rPr>
        <w:t xml:space="preserve">са железничким и путничким </w:t>
      </w:r>
      <w:r w:rsidRPr="00A94F15">
        <w:rPr>
          <w:rFonts w:cs="Times New Roman"/>
          <w:szCs w:val="24"/>
          <w:lang w:val="sr-Cyrl-RS"/>
        </w:rPr>
        <w:t>К</w:t>
      </w:r>
      <w:r w:rsidRPr="00A94F15">
        <w:rPr>
          <w:rFonts w:cs="Times New Roman"/>
          <w:szCs w:val="24"/>
        </w:rPr>
        <w:t>оридором 10</w:t>
      </w:r>
      <w:r w:rsidRPr="00A94F15">
        <w:rPr>
          <w:rFonts w:cs="Times New Roman"/>
          <w:szCs w:val="24"/>
          <w:lang w:val="sr-Cyrl-RS"/>
        </w:rPr>
        <w:t xml:space="preserve"> настављена је </w:t>
      </w:r>
      <w:r>
        <w:rPr>
          <w:rFonts w:cs="Times New Roman"/>
          <w:szCs w:val="24"/>
          <w:lang w:val="sr-Cyrl-RS"/>
        </w:rPr>
        <w:t>реализација пројеката изградње л</w:t>
      </w:r>
      <w:r w:rsidRPr="00A94F15">
        <w:rPr>
          <w:rFonts w:cs="Times New Roman"/>
          <w:szCs w:val="24"/>
          <w:lang w:val="sr-Cyrl-RS"/>
        </w:rPr>
        <w:t xml:space="preserve">уке Прахово, вађење </w:t>
      </w:r>
      <w:r w:rsidRPr="00A94F15">
        <w:rPr>
          <w:rFonts w:cs="Times New Roman"/>
          <w:szCs w:val="24"/>
        </w:rPr>
        <w:t>потопљене немачке флоте из Другог светског рата</w:t>
      </w:r>
      <w:r w:rsidRPr="00A94F15">
        <w:rPr>
          <w:rFonts w:cs="Times New Roman"/>
          <w:szCs w:val="24"/>
          <w:lang w:val="sr-Cyrl-RS"/>
        </w:rPr>
        <w:t xml:space="preserve"> и </w:t>
      </w:r>
      <w:r w:rsidRPr="00A94F15">
        <w:rPr>
          <w:rFonts w:cs="Times New Roman"/>
          <w:szCs w:val="24"/>
        </w:rPr>
        <w:t xml:space="preserve">реконструкција преводнице </w:t>
      </w:r>
      <w:r w:rsidRPr="00CF7057">
        <w:rPr>
          <w:rFonts w:cs="Times New Roman"/>
          <w:szCs w:val="24"/>
        </w:rPr>
        <w:t>Ђердап 2</w:t>
      </w:r>
      <w:r w:rsidRPr="00CF7057">
        <w:rPr>
          <w:rFonts w:cs="Times New Roman"/>
          <w:szCs w:val="24"/>
          <w:lang w:val="sr-Cyrl-RS"/>
        </w:rPr>
        <w:t>.</w:t>
      </w:r>
      <w:r w:rsidRPr="00CF7057">
        <w:rPr>
          <w:rFonts w:cs="Times New Roman"/>
          <w:bCs/>
          <w:szCs w:val="24"/>
        </w:rPr>
        <w:t xml:space="preserve"> У Новом Саду је отворен реконструисани речни путнички терминал на Дунаву</w:t>
      </w:r>
      <w:r w:rsidRPr="00CF7057">
        <w:rPr>
          <w:rFonts w:cs="Times New Roman"/>
          <w:bCs/>
          <w:szCs w:val="24"/>
          <w:lang w:val="sr-Cyrl-RS"/>
        </w:rPr>
        <w:t xml:space="preserve"> што ће допринети већем промету робе и </w:t>
      </w:r>
      <w:r w:rsidRPr="006D2E7D">
        <w:rPr>
          <w:rFonts w:cs="Times New Roman"/>
          <w:bCs/>
          <w:szCs w:val="24"/>
          <w:lang w:val="sr-Cyrl-RS"/>
        </w:rPr>
        <w:t>путника.</w:t>
      </w:r>
      <w:r w:rsidRPr="006D2E7D">
        <w:rPr>
          <w:rFonts w:cs="Times New Roman"/>
          <w:bCs/>
          <w:szCs w:val="24"/>
          <w:vertAlign w:val="superscript"/>
          <w:lang w:val="sr-Cyrl-RS"/>
        </w:rPr>
        <w:footnoteReference w:id="95"/>
      </w:r>
      <w:r w:rsidRPr="006D2E7D">
        <w:rPr>
          <w:rFonts w:cs="Times New Roman"/>
          <w:bCs/>
          <w:szCs w:val="24"/>
          <w:lang w:val="sr-Cyrl-RS"/>
        </w:rPr>
        <w:t xml:space="preserve"> У</w:t>
      </w:r>
      <w:r w:rsidRPr="006D2E7D">
        <w:rPr>
          <w:rFonts w:cs="Times New Roman"/>
          <w:bCs/>
          <w:szCs w:val="24"/>
        </w:rPr>
        <w:t xml:space="preserve">веден је </w:t>
      </w:r>
      <w:r>
        <w:rPr>
          <w:rFonts w:cs="Times New Roman"/>
          <w:bCs/>
          <w:szCs w:val="24"/>
          <w:lang w:val="sr-Cyrl-RS"/>
        </w:rPr>
        <w:t>модеран</w:t>
      </w:r>
      <w:r w:rsidRPr="006D2E7D">
        <w:rPr>
          <w:rFonts w:cs="Times New Roman"/>
          <w:bCs/>
          <w:szCs w:val="24"/>
        </w:rPr>
        <w:t xml:space="preserve"> систем обележавања пловног пута на </w:t>
      </w:r>
      <w:r w:rsidRPr="007C2640">
        <w:rPr>
          <w:rFonts w:cs="Times New Roman"/>
          <w:bCs/>
          <w:szCs w:val="24"/>
        </w:rPr>
        <w:t>Дунаву</w:t>
      </w:r>
      <w:r w:rsidRPr="007C2640">
        <w:rPr>
          <w:rFonts w:cs="Times New Roman"/>
          <w:bCs/>
          <w:szCs w:val="24"/>
          <w:lang w:val="sr-Cyrl-RS"/>
        </w:rPr>
        <w:t xml:space="preserve">. </w:t>
      </w:r>
      <w:r>
        <w:rPr>
          <w:rFonts w:cs="Times New Roman"/>
          <w:bCs/>
          <w:szCs w:val="24"/>
          <w:lang w:val="sr-Cyrl-RS"/>
        </w:rPr>
        <w:t>У току су припремне радње</w:t>
      </w:r>
      <w:r w:rsidRPr="007C2640">
        <w:rPr>
          <w:rFonts w:cs="Times New Roman"/>
          <w:bCs/>
          <w:szCs w:val="24"/>
          <w:lang w:val="sr-Cyrl-RS"/>
        </w:rPr>
        <w:t xml:space="preserve"> на релизацији проширења лука у Богојеву и Сремској Митровици, док је припрема и </w:t>
      </w:r>
      <w:r>
        <w:rPr>
          <w:rFonts w:cs="Times New Roman"/>
          <w:bCs/>
          <w:szCs w:val="24"/>
        </w:rPr>
        <w:t>завршетак техничке и просторне документације</w:t>
      </w:r>
      <w:r w:rsidRPr="007C2640">
        <w:rPr>
          <w:rFonts w:cs="Times New Roman"/>
          <w:bCs/>
          <w:szCs w:val="24"/>
        </w:rPr>
        <w:t xml:space="preserve"> за нову луку у Београду</w:t>
      </w:r>
      <w:r w:rsidRPr="007C2640">
        <w:rPr>
          <w:rFonts w:cs="Times New Roman"/>
          <w:bCs/>
          <w:szCs w:val="24"/>
          <w:lang w:val="sr-Cyrl-RS"/>
        </w:rPr>
        <w:t xml:space="preserve"> предвиђена за 2022. </w:t>
      </w:r>
      <w:r w:rsidRPr="00C61D3F">
        <w:rPr>
          <w:rFonts w:cs="Times New Roman"/>
          <w:bCs/>
          <w:szCs w:val="24"/>
          <w:lang w:val="sr-Cyrl-RS"/>
        </w:rPr>
        <w:t>Међународно путничко пристаниште Костолац је добило оператера и очекује се пуштање у рад</w:t>
      </w:r>
      <w:r>
        <w:rPr>
          <w:rFonts w:cs="Times New Roman"/>
          <w:bCs/>
          <w:szCs w:val="24"/>
          <w:lang w:val="sr-Cyrl-RS"/>
        </w:rPr>
        <w:t xml:space="preserve"> </w:t>
      </w:r>
      <w:r w:rsidRPr="00C61D3F">
        <w:rPr>
          <w:rFonts w:cs="Times New Roman"/>
          <w:bCs/>
          <w:szCs w:val="24"/>
          <w:lang w:val="sr-Cyrl-RS"/>
        </w:rPr>
        <w:t>до краја 2021.</w:t>
      </w:r>
      <w:r w:rsidRPr="00C61D3F">
        <w:rPr>
          <w:rFonts w:cs="Times New Roman"/>
          <w:bCs/>
          <w:szCs w:val="24"/>
          <w:vertAlign w:val="superscript"/>
          <w:lang w:val="sr-Cyrl-RS"/>
        </w:rPr>
        <w:footnoteReference w:id="96"/>
      </w:r>
      <w:r>
        <w:rPr>
          <w:rFonts w:cs="Times New Roman"/>
          <w:bCs/>
          <w:szCs w:val="24"/>
          <w:lang w:val="sr-Cyrl-RS"/>
        </w:rPr>
        <w:t xml:space="preserve"> </w:t>
      </w:r>
      <w:r w:rsidRPr="00DF6F10">
        <w:rPr>
          <w:rFonts w:cs="Times New Roman"/>
          <w:bCs/>
          <w:szCs w:val="24"/>
          <w:lang w:val="sr-Cyrl-RS"/>
        </w:rPr>
        <w:t xml:space="preserve">Донета је </w:t>
      </w:r>
      <w:r w:rsidRPr="00CB707C">
        <w:rPr>
          <w:rFonts w:cs="Times New Roman"/>
          <w:bCs/>
          <w:i/>
          <w:szCs w:val="24"/>
          <w:lang w:val="sr-Cyrl-RS"/>
        </w:rPr>
        <w:t>Уредба о утврђивању лучког подручја међународног путничког пристаништа у Новом Саду</w:t>
      </w:r>
      <w:r w:rsidRPr="00DF6F10">
        <w:rPr>
          <w:rFonts w:cs="Times New Roman"/>
          <w:bCs/>
          <w:szCs w:val="24"/>
          <w:lang w:val="sr-Cyrl-RS"/>
        </w:rPr>
        <w:t xml:space="preserve"> (</w:t>
      </w:r>
      <w:r>
        <w:rPr>
          <w:rFonts w:cs="Times New Roman"/>
          <w:bCs/>
          <w:szCs w:val="24"/>
          <w:lang w:val="sr-Cyrl-RS"/>
        </w:rPr>
        <w:t>„</w:t>
      </w:r>
      <w:r w:rsidRPr="00DF6F10">
        <w:rPr>
          <w:rFonts w:cs="Times New Roman"/>
          <w:bCs/>
          <w:szCs w:val="24"/>
          <w:lang w:val="sr-Cyrl-RS"/>
        </w:rPr>
        <w:t>С</w:t>
      </w:r>
      <w:r>
        <w:rPr>
          <w:rFonts w:cs="Times New Roman"/>
          <w:bCs/>
          <w:szCs w:val="24"/>
          <w:lang w:val="sr-Cyrl-RS"/>
        </w:rPr>
        <w:t>л. гласник</w:t>
      </w:r>
      <w:r w:rsidRPr="00DF6F10">
        <w:rPr>
          <w:rFonts w:cs="Times New Roman"/>
          <w:bCs/>
          <w:szCs w:val="24"/>
          <w:lang w:val="sr-Cyrl-RS"/>
        </w:rPr>
        <w:t xml:space="preserve"> РС</w:t>
      </w:r>
      <w:r>
        <w:rPr>
          <w:rFonts w:cs="Times New Roman"/>
          <w:bCs/>
          <w:szCs w:val="24"/>
          <w:lang w:val="sr-Cyrl-RS"/>
        </w:rPr>
        <w:t>“, бр.</w:t>
      </w:r>
      <w:r w:rsidRPr="00DF6F10">
        <w:rPr>
          <w:rFonts w:cs="Times New Roman"/>
          <w:bCs/>
          <w:szCs w:val="24"/>
          <w:lang w:val="sr-Cyrl-RS"/>
        </w:rPr>
        <w:t xml:space="preserve"> 9/</w:t>
      </w:r>
      <w:r>
        <w:rPr>
          <w:rFonts w:cs="Times New Roman"/>
          <w:bCs/>
          <w:szCs w:val="24"/>
          <w:lang w:val="sr-Cyrl-RS"/>
        </w:rPr>
        <w:t>20</w:t>
      </w:r>
      <w:r w:rsidRPr="00DF6F10">
        <w:rPr>
          <w:rFonts w:cs="Times New Roman"/>
          <w:bCs/>
          <w:szCs w:val="24"/>
          <w:lang w:val="sr-Cyrl-RS"/>
        </w:rPr>
        <w:t xml:space="preserve">21), </w:t>
      </w:r>
      <w:r w:rsidRPr="00CD6825">
        <w:rPr>
          <w:rFonts w:cs="Times New Roman"/>
          <w:bCs/>
          <w:i/>
          <w:szCs w:val="24"/>
          <w:lang w:val="sr-Cyrl-RS"/>
        </w:rPr>
        <w:t>Костолцу</w:t>
      </w:r>
      <w:r w:rsidRPr="00DF6F10">
        <w:rPr>
          <w:rFonts w:cs="Times New Roman"/>
          <w:bCs/>
          <w:szCs w:val="24"/>
          <w:lang w:val="sr-Cyrl-RS"/>
        </w:rPr>
        <w:t xml:space="preserve"> (</w:t>
      </w:r>
      <w:r>
        <w:rPr>
          <w:rFonts w:cs="Times New Roman"/>
          <w:bCs/>
          <w:szCs w:val="24"/>
          <w:lang w:val="sr-Cyrl-RS"/>
        </w:rPr>
        <w:t>„</w:t>
      </w:r>
      <w:r w:rsidRPr="00DF6F10">
        <w:rPr>
          <w:rFonts w:cs="Times New Roman"/>
          <w:bCs/>
          <w:szCs w:val="24"/>
          <w:lang w:val="sr-Cyrl-RS"/>
        </w:rPr>
        <w:t>С</w:t>
      </w:r>
      <w:r>
        <w:rPr>
          <w:rFonts w:cs="Times New Roman"/>
          <w:bCs/>
          <w:szCs w:val="24"/>
          <w:lang w:val="sr-Cyrl-RS"/>
        </w:rPr>
        <w:t>л. гласник</w:t>
      </w:r>
      <w:r w:rsidRPr="00DF6F10">
        <w:rPr>
          <w:rFonts w:cs="Times New Roman"/>
          <w:bCs/>
          <w:szCs w:val="24"/>
          <w:lang w:val="sr-Cyrl-RS"/>
        </w:rPr>
        <w:t xml:space="preserve"> РС</w:t>
      </w:r>
      <w:r>
        <w:rPr>
          <w:rFonts w:cs="Times New Roman"/>
          <w:bCs/>
          <w:szCs w:val="24"/>
          <w:lang w:val="sr-Cyrl-RS"/>
        </w:rPr>
        <w:t>“, бр.</w:t>
      </w:r>
      <w:r w:rsidRPr="00DF6F10">
        <w:rPr>
          <w:rFonts w:cs="Times New Roman"/>
          <w:bCs/>
          <w:szCs w:val="24"/>
          <w:lang w:val="sr-Cyrl-RS"/>
        </w:rPr>
        <w:t xml:space="preserve"> 30/</w:t>
      </w:r>
      <w:r>
        <w:rPr>
          <w:rFonts w:cs="Times New Roman"/>
          <w:bCs/>
          <w:szCs w:val="24"/>
          <w:lang w:val="sr-Cyrl-RS"/>
        </w:rPr>
        <w:t>20</w:t>
      </w:r>
      <w:r w:rsidRPr="00DF6F10">
        <w:rPr>
          <w:rFonts w:cs="Times New Roman"/>
          <w:bCs/>
          <w:szCs w:val="24"/>
          <w:lang w:val="sr-Cyrl-RS"/>
        </w:rPr>
        <w:t xml:space="preserve">21) и </w:t>
      </w:r>
      <w:r w:rsidRPr="00CD6825">
        <w:rPr>
          <w:rFonts w:cs="Times New Roman"/>
          <w:bCs/>
          <w:i/>
          <w:szCs w:val="24"/>
          <w:lang w:val="sr-Cyrl-RS"/>
        </w:rPr>
        <w:t>Сремској Митровици</w:t>
      </w:r>
      <w:r w:rsidRPr="00DF6F10">
        <w:rPr>
          <w:rFonts w:cs="Times New Roman"/>
          <w:bCs/>
          <w:szCs w:val="24"/>
          <w:lang w:val="sr-Cyrl-RS"/>
        </w:rPr>
        <w:t xml:space="preserve"> (</w:t>
      </w:r>
      <w:r>
        <w:rPr>
          <w:rFonts w:cs="Times New Roman"/>
          <w:bCs/>
          <w:szCs w:val="24"/>
          <w:lang w:val="sr-Cyrl-RS"/>
        </w:rPr>
        <w:t>„</w:t>
      </w:r>
      <w:r w:rsidRPr="00DF6F10">
        <w:rPr>
          <w:rFonts w:cs="Times New Roman"/>
          <w:bCs/>
          <w:szCs w:val="24"/>
          <w:lang w:val="sr-Cyrl-RS"/>
        </w:rPr>
        <w:t>С</w:t>
      </w:r>
      <w:r>
        <w:rPr>
          <w:rFonts w:cs="Times New Roman"/>
          <w:bCs/>
          <w:szCs w:val="24"/>
          <w:lang w:val="sr-Cyrl-RS"/>
        </w:rPr>
        <w:t>л. гласник</w:t>
      </w:r>
      <w:r w:rsidRPr="00DF6F10">
        <w:rPr>
          <w:rFonts w:cs="Times New Roman"/>
          <w:bCs/>
          <w:szCs w:val="24"/>
          <w:lang w:val="sr-Cyrl-RS"/>
        </w:rPr>
        <w:t xml:space="preserve"> РС</w:t>
      </w:r>
      <w:r>
        <w:rPr>
          <w:rFonts w:cs="Times New Roman"/>
          <w:bCs/>
          <w:szCs w:val="24"/>
          <w:lang w:val="sr-Cyrl-RS"/>
        </w:rPr>
        <w:t>“, бр.</w:t>
      </w:r>
      <w:r w:rsidRPr="00DF6F10">
        <w:rPr>
          <w:rFonts w:cs="Times New Roman"/>
          <w:bCs/>
          <w:szCs w:val="24"/>
          <w:lang w:val="sr-Cyrl-RS"/>
        </w:rPr>
        <w:t xml:space="preserve"> 75/</w:t>
      </w:r>
      <w:r>
        <w:rPr>
          <w:rFonts w:cs="Times New Roman"/>
          <w:bCs/>
          <w:szCs w:val="24"/>
          <w:lang w:val="sr-Cyrl-RS"/>
        </w:rPr>
        <w:t>20</w:t>
      </w:r>
      <w:r w:rsidRPr="00DF6F10">
        <w:rPr>
          <w:rFonts w:cs="Times New Roman"/>
          <w:bCs/>
          <w:szCs w:val="24"/>
          <w:lang w:val="sr-Cyrl-RS"/>
        </w:rPr>
        <w:t>21). У току је изградња међународног пристаништа у насељеном месту Рам и израда документације за изград</w:t>
      </w:r>
      <w:r>
        <w:rPr>
          <w:rFonts w:cs="Times New Roman"/>
          <w:bCs/>
          <w:szCs w:val="24"/>
          <w:lang w:val="sr-Cyrl-RS"/>
        </w:rPr>
        <w:t>њ</w:t>
      </w:r>
      <w:r w:rsidRPr="00DF6F10">
        <w:rPr>
          <w:rFonts w:cs="Times New Roman"/>
          <w:bCs/>
          <w:szCs w:val="24"/>
          <w:lang w:val="sr-Cyrl-RS"/>
        </w:rPr>
        <w:t xml:space="preserve">у међународног пристаништа у Шапцу. Кроз реализацију пројекта </w:t>
      </w:r>
      <w:r w:rsidRPr="00DF6F10">
        <w:rPr>
          <w:rFonts w:cs="Times New Roman"/>
          <w:bCs/>
          <w:szCs w:val="24"/>
        </w:rPr>
        <w:t>интегрисаног развоја коридора реке Саве и Дрине применом вишефазног програмског приступа</w:t>
      </w:r>
      <w:r w:rsidRPr="00DF6F10">
        <w:rPr>
          <w:rFonts w:cs="Times New Roman"/>
          <w:bCs/>
          <w:szCs w:val="24"/>
          <w:lang w:val="sr-Cyrl-RS"/>
        </w:rPr>
        <w:t xml:space="preserve"> биће омогућено </w:t>
      </w:r>
      <w:r w:rsidRPr="00DF6F10">
        <w:rPr>
          <w:rFonts w:cs="Times New Roman"/>
          <w:bCs/>
          <w:szCs w:val="24"/>
        </w:rPr>
        <w:t xml:space="preserve">унапређење заштите од поплава и </w:t>
      </w:r>
      <w:r>
        <w:rPr>
          <w:rFonts w:cs="Times New Roman"/>
          <w:bCs/>
          <w:szCs w:val="24"/>
          <w:lang w:val="sr-Cyrl-RS"/>
        </w:rPr>
        <w:t xml:space="preserve">развој </w:t>
      </w:r>
      <w:r w:rsidRPr="00DF6F10">
        <w:rPr>
          <w:rFonts w:cs="Times New Roman"/>
          <w:bCs/>
          <w:szCs w:val="24"/>
        </w:rPr>
        <w:t>прекограничне сарадње у области вода на речним коридорима Саве и Дрине.</w:t>
      </w:r>
    </w:p>
    <w:p w14:paraId="6CA7F760" w14:textId="77777777" w:rsidR="00DC7F92" w:rsidRPr="00A723DC" w:rsidRDefault="00DC7F92" w:rsidP="003F1FDD">
      <w:pPr>
        <w:spacing w:after="60"/>
        <w:rPr>
          <w:rFonts w:cs="Times New Roman"/>
          <w:szCs w:val="24"/>
          <w:lang w:val="sr-Cyrl-RS"/>
        </w:rPr>
      </w:pPr>
      <w:r w:rsidRPr="00934E9E">
        <w:rPr>
          <w:rFonts w:cs="Times New Roman"/>
          <w:b/>
          <w:szCs w:val="24"/>
        </w:rPr>
        <w:t>У области ваздухопловства достигнут је добар ниво усклађености са правним тековинама ЕУ.</w:t>
      </w:r>
      <w:r>
        <w:rPr>
          <w:rFonts w:cs="Times New Roman"/>
          <w:b/>
          <w:szCs w:val="24"/>
          <w:lang w:val="sr-Cyrl-RS"/>
        </w:rPr>
        <w:t xml:space="preserve"> </w:t>
      </w:r>
      <w:r w:rsidRPr="00BE2A69">
        <w:rPr>
          <w:rFonts w:cs="Times New Roman"/>
          <w:szCs w:val="24"/>
          <w:lang w:val="sr-Cyrl-RS"/>
        </w:rPr>
        <w:t xml:space="preserve">Настављено је са испуњавањем обавеза у оквиру Споразума о успостављању заједничког европског ваздухопловног подручја. У оквиру програма Јединствено европско небо </w:t>
      </w:r>
      <w:r w:rsidRPr="00BE2A69">
        <w:rPr>
          <w:rFonts w:cs="Times New Roman"/>
          <w:szCs w:val="24"/>
          <w:lang w:val="sr-Latn-RS"/>
        </w:rPr>
        <w:t xml:space="preserve">(SES), </w:t>
      </w:r>
      <w:r w:rsidRPr="00BE2A69">
        <w:rPr>
          <w:rFonts w:cs="Times New Roman"/>
          <w:szCs w:val="24"/>
          <w:lang w:val="sr-Cyrl-RS"/>
        </w:rPr>
        <w:t xml:space="preserve">започето је спровођење иницијатива </w:t>
      </w:r>
      <w:r w:rsidRPr="00BE2A69">
        <w:rPr>
          <w:rFonts w:cs="Times New Roman"/>
          <w:szCs w:val="24"/>
          <w:lang w:val="sr-Latn-RS"/>
        </w:rPr>
        <w:t>SES</w:t>
      </w:r>
      <w:r w:rsidRPr="00BE2A69">
        <w:rPr>
          <w:rFonts w:cs="Times New Roman"/>
          <w:szCs w:val="24"/>
          <w:lang w:val="sr-Cyrl-RS"/>
        </w:rPr>
        <w:t xml:space="preserve"> </w:t>
      </w:r>
      <w:r w:rsidRPr="00BE2A69">
        <w:rPr>
          <w:rFonts w:cs="Times New Roman"/>
          <w:szCs w:val="24"/>
          <w:lang w:val="sr-Latn-RS"/>
        </w:rPr>
        <w:t>I SES</w:t>
      </w:r>
      <w:r w:rsidRPr="00BE2A69">
        <w:rPr>
          <w:rFonts w:cs="Times New Roman"/>
          <w:szCs w:val="24"/>
          <w:lang w:val="sr-Cyrl-RS"/>
        </w:rPr>
        <w:t xml:space="preserve"> </w:t>
      </w:r>
      <w:r w:rsidRPr="00BE2A69">
        <w:rPr>
          <w:rFonts w:cs="Times New Roman"/>
          <w:szCs w:val="24"/>
          <w:lang w:val="sr-Latn-RS"/>
        </w:rPr>
        <w:t>II</w:t>
      </w:r>
      <w:r w:rsidRPr="00BE2A69">
        <w:rPr>
          <w:rFonts w:cs="Times New Roman"/>
          <w:szCs w:val="24"/>
          <w:lang w:val="sr-Cyrl-RS"/>
        </w:rPr>
        <w:t xml:space="preserve"> за ваздушни саобраћај.</w:t>
      </w:r>
      <w:r>
        <w:rPr>
          <w:rFonts w:cs="Times New Roman"/>
          <w:szCs w:val="24"/>
          <w:lang w:val="sr-Cyrl-RS"/>
        </w:rPr>
        <w:t xml:space="preserve"> Оперативни су међународни аеродроми ,,Никола Тесла“ у Београду, </w:t>
      </w:r>
      <w:r w:rsidRPr="007D34A7">
        <w:rPr>
          <w:rFonts w:cs="Times New Roman"/>
          <w:szCs w:val="24"/>
          <w:lang w:val="sr-Cyrl-RS"/>
        </w:rPr>
        <w:t>,,Константин Велики“ у Н</w:t>
      </w:r>
      <w:r>
        <w:rPr>
          <w:rFonts w:cs="Times New Roman"/>
          <w:szCs w:val="24"/>
          <w:lang w:val="sr-Cyrl-RS"/>
        </w:rPr>
        <w:t xml:space="preserve">ишу и </w:t>
      </w:r>
      <w:r w:rsidRPr="006802A4">
        <w:rPr>
          <w:rFonts w:cs="Times New Roman"/>
          <w:szCs w:val="24"/>
          <w:lang w:val="sr-Cyrl-RS"/>
        </w:rPr>
        <w:t>,,Морава“ код Краљева</w:t>
      </w:r>
      <w:r>
        <w:rPr>
          <w:rFonts w:cs="Times New Roman"/>
          <w:szCs w:val="24"/>
          <w:lang w:val="sr-Cyrl-RS"/>
        </w:rPr>
        <w:t>. У условима пандемије Ковид-19 с</w:t>
      </w:r>
      <w:r w:rsidRPr="006802A4">
        <w:rPr>
          <w:rFonts w:cs="Times New Roman"/>
          <w:szCs w:val="24"/>
          <w:lang w:val="sr-Cyrl-RS"/>
        </w:rPr>
        <w:t>мањен је обим пословне активности</w:t>
      </w:r>
      <w:r>
        <w:rPr>
          <w:rFonts w:cs="Times New Roman"/>
          <w:szCs w:val="24"/>
          <w:lang w:val="sr-Cyrl-RS"/>
        </w:rPr>
        <w:t xml:space="preserve">. </w:t>
      </w:r>
      <w:r w:rsidRPr="006802A4">
        <w:rPr>
          <w:rFonts w:cs="Times New Roman"/>
          <w:szCs w:val="24"/>
          <w:lang w:val="sr-Cyrl-RS"/>
        </w:rPr>
        <w:t>На аеродрому ,,Никола Тесла“ у Београду број путника је смањен за 69,1%, број комерцијалних летова је мањи за 52,2%, а укупна количина превезене робе је смањена за 17,2% у 2020.</w:t>
      </w:r>
      <w:r w:rsidRPr="006802A4">
        <w:rPr>
          <w:rFonts w:cs="Times New Roman"/>
          <w:szCs w:val="24"/>
          <w:vertAlign w:val="superscript"/>
          <w:lang w:val="sr-Cyrl-RS"/>
        </w:rPr>
        <w:footnoteReference w:id="97"/>
      </w:r>
      <w:r w:rsidRPr="006802A4">
        <w:rPr>
          <w:rFonts w:cs="Times New Roman"/>
          <w:szCs w:val="24"/>
          <w:lang w:val="sr-Cyrl-RS"/>
        </w:rPr>
        <w:t xml:space="preserve"> На Аеродрому ,,Константин Велики“ у Нишу смањен је број путника за 63,5% и превезене робе за 55,7% у </w:t>
      </w:r>
      <w:r w:rsidRPr="00A723DC">
        <w:rPr>
          <w:rFonts w:cs="Times New Roman"/>
          <w:szCs w:val="24"/>
          <w:lang w:val="sr-Cyrl-RS"/>
        </w:rPr>
        <w:t>2020.</w:t>
      </w:r>
      <w:r w:rsidRPr="00A723DC">
        <w:rPr>
          <w:rFonts w:cs="Times New Roman"/>
          <w:szCs w:val="24"/>
          <w:vertAlign w:val="superscript"/>
          <w:lang w:val="sr-Cyrl-RS"/>
        </w:rPr>
        <w:t xml:space="preserve"> </w:t>
      </w:r>
      <w:r w:rsidRPr="009675C5">
        <w:rPr>
          <w:rFonts w:cs="Times New Roman"/>
          <w:szCs w:val="24"/>
          <w:vertAlign w:val="superscript"/>
          <w:lang w:val="sr-Cyrl-RS"/>
        </w:rPr>
        <w:footnoteReference w:id="98"/>
      </w:r>
      <w:r>
        <w:rPr>
          <w:rFonts w:cs="Times New Roman"/>
          <w:szCs w:val="24"/>
          <w:vertAlign w:val="superscript"/>
          <w:lang w:val="sr-Cyrl-RS"/>
        </w:rPr>
        <w:t xml:space="preserve"> </w:t>
      </w:r>
    </w:p>
    <w:p w14:paraId="02CA1D55" w14:textId="15CC7470" w:rsidR="00DC7F92" w:rsidRDefault="00DC7F92" w:rsidP="003F1FDD">
      <w:pPr>
        <w:spacing w:after="60"/>
        <w:rPr>
          <w:rFonts w:cs="Times New Roman"/>
          <w:szCs w:val="24"/>
          <w:lang w:val="sr-Cyrl-RS"/>
        </w:rPr>
      </w:pPr>
      <w:r w:rsidRPr="0054087E">
        <w:rPr>
          <w:rFonts w:cs="Times New Roman"/>
          <w:szCs w:val="24"/>
          <w:lang w:val="sr-Cyrl-RS"/>
        </w:rPr>
        <w:t xml:space="preserve">У периоду пандемије Ковид–19 остварен је континуитет пословања грађевинских компанија које раде на највећим инфраструктурним пројектима у области друмског, железничког и водног саобраћаја и пројектима комуналне инфраструктуре. Донет је </w:t>
      </w:r>
      <w:r w:rsidRPr="00CD6825">
        <w:rPr>
          <w:rFonts w:cs="Times New Roman"/>
          <w:i/>
          <w:szCs w:val="24"/>
        </w:rPr>
        <w:t xml:space="preserve">Програм распореда и коришћења субвенција за подршку раду аутобуских превозника због потешкоћа у пословању проузрокованих епидемијом болести </w:t>
      </w:r>
      <w:r w:rsidRPr="00CD6825">
        <w:rPr>
          <w:rFonts w:cs="Times New Roman"/>
          <w:i/>
          <w:szCs w:val="24"/>
          <w:lang w:val="sr-Cyrl-RS"/>
        </w:rPr>
        <w:t>Ковид-19</w:t>
      </w:r>
      <w:r w:rsidRPr="0054087E">
        <w:rPr>
          <w:rFonts w:cs="Times New Roman"/>
          <w:szCs w:val="24"/>
          <w:lang w:val="sr-Cyrl-RS"/>
        </w:rPr>
        <w:t>.</w:t>
      </w:r>
      <w:r w:rsidRPr="0054087E">
        <w:rPr>
          <w:rFonts w:cs="Times New Roman"/>
          <w:szCs w:val="24"/>
          <w:vertAlign w:val="superscript"/>
          <w:lang w:val="sr-Cyrl-RS"/>
        </w:rPr>
        <w:footnoteReference w:id="99"/>
      </w:r>
      <w:r w:rsidRPr="0054087E">
        <w:rPr>
          <w:rFonts w:cs="Times New Roman"/>
          <w:szCs w:val="24"/>
          <w:lang w:val="sr-Cyrl-RS"/>
        </w:rPr>
        <w:t xml:space="preserve"> </w:t>
      </w:r>
      <w:r w:rsidRPr="0054087E">
        <w:rPr>
          <w:rFonts w:cs="Times New Roman"/>
          <w:szCs w:val="24"/>
        </w:rPr>
        <w:t xml:space="preserve">Овим планом субвенција </w:t>
      </w:r>
      <w:r w:rsidRPr="0054087E">
        <w:rPr>
          <w:rFonts w:cs="Times New Roman"/>
          <w:szCs w:val="24"/>
          <w:lang w:val="sr-Cyrl-RS"/>
        </w:rPr>
        <w:t>је омогућена</w:t>
      </w:r>
      <w:r w:rsidRPr="0054087E">
        <w:rPr>
          <w:rFonts w:cs="Times New Roman"/>
          <w:szCs w:val="24"/>
        </w:rPr>
        <w:t xml:space="preserve"> додела бесповратних средстава лиценцираним аутобуским превозницима </w:t>
      </w:r>
      <w:r w:rsidRPr="0054087E">
        <w:rPr>
          <w:rFonts w:cs="Times New Roman"/>
          <w:szCs w:val="24"/>
          <w:lang w:val="sr-Cyrl-RS"/>
        </w:rPr>
        <w:t xml:space="preserve">током </w:t>
      </w:r>
      <w:r w:rsidRPr="0054087E">
        <w:rPr>
          <w:rFonts w:cs="Times New Roman"/>
          <w:szCs w:val="24"/>
        </w:rPr>
        <w:t xml:space="preserve">шест месеци у висини од по 600 </w:t>
      </w:r>
      <w:r>
        <w:rPr>
          <w:rFonts w:cs="Times New Roman"/>
          <w:szCs w:val="24"/>
          <w:lang w:val="sr-Cyrl-RS"/>
        </w:rPr>
        <w:t>ЕУР</w:t>
      </w:r>
      <w:r w:rsidRPr="0054087E">
        <w:rPr>
          <w:rFonts w:cs="Times New Roman"/>
          <w:szCs w:val="24"/>
          <w:lang w:val="sr-Cyrl-RS"/>
        </w:rPr>
        <w:t xml:space="preserve"> месечно.</w:t>
      </w:r>
    </w:p>
    <w:p w14:paraId="5F9B97D8" w14:textId="77777777" w:rsidR="00057818" w:rsidRDefault="00057818" w:rsidP="003F1FDD">
      <w:pPr>
        <w:spacing w:after="60"/>
        <w:rPr>
          <w:szCs w:val="24"/>
          <w:lang w:val="sr-Cyrl-RS"/>
        </w:rPr>
      </w:pPr>
    </w:p>
    <w:p w14:paraId="1ED3F84F" w14:textId="77777777" w:rsidR="00DC7F92" w:rsidRDefault="00DC7F92" w:rsidP="00DC7F92">
      <w:pPr>
        <w:widowControl w:val="0"/>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44E9AB8B" w14:textId="77777777" w:rsidR="00DC7F92" w:rsidRPr="007E2389" w:rsidRDefault="00DC7F92" w:rsidP="00DC7F92">
      <w:pPr>
        <w:spacing w:before="120"/>
        <w:rPr>
          <w:rFonts w:cs="Times New Roman"/>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17</w:t>
      </w:r>
      <w:r w:rsidRPr="006B30A9">
        <w:rPr>
          <w:rFonts w:cs="Times New Roman"/>
          <w:b/>
          <w:szCs w:val="24"/>
          <w:lang w:val="sr-Cyrl-RS"/>
        </w:rPr>
        <w:t xml:space="preserve">: </w:t>
      </w:r>
      <w:r w:rsidRPr="007E2389">
        <w:rPr>
          <w:rFonts w:cs="Times New Roman"/>
          <w:szCs w:val="24"/>
          <w:lang w:val="sr-Cyrl-RS"/>
        </w:rPr>
        <w:t>УНАПРЕЂЕЊЕ ЕФИКАСНОСТИ И БЕЗБЕДНОСТИ У ЖЕЛЕЗНИЧКОМ САОБРАЋАЈУ</w:t>
      </w:r>
      <w:r>
        <w:rPr>
          <w:rFonts w:cs="Times New Roman"/>
          <w:b/>
          <w:szCs w:val="24"/>
          <w:lang w:val="sr-Cyrl-RS"/>
        </w:rPr>
        <w:t xml:space="preserve"> </w:t>
      </w:r>
    </w:p>
    <w:p w14:paraId="5366D0DB" w14:textId="77777777" w:rsidR="00DC7F92"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2A6747D6" w14:textId="77777777"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lastRenderedPageBreak/>
        <w:t>А</w:t>
      </w:r>
      <w:r w:rsidRPr="0076779D">
        <w:rPr>
          <w:rFonts w:cs="Times New Roman"/>
          <w:szCs w:val="24"/>
          <w:lang w:val="sr-Cyrl-RS" w:eastAsia="sr-Cyrl-CS" w:bidi="sr-Cyrl-CS"/>
        </w:rPr>
        <w:t xml:space="preserve">ктивности на реформи железничког сектора </w:t>
      </w:r>
      <w:r>
        <w:rPr>
          <w:rFonts w:cs="Times New Roman"/>
          <w:szCs w:val="24"/>
          <w:lang w:val="sr-Cyrl-RS" w:eastAsia="sr-Cyrl-CS" w:bidi="sr-Cyrl-CS"/>
        </w:rPr>
        <w:t xml:space="preserve">Република </w:t>
      </w:r>
      <w:r w:rsidRPr="0076779D">
        <w:rPr>
          <w:rFonts w:cs="Times New Roman"/>
          <w:szCs w:val="24"/>
          <w:lang w:val="sr-Cyrl-RS" w:eastAsia="sr-Cyrl-CS" w:bidi="sr-Cyrl-CS"/>
        </w:rPr>
        <w:t xml:space="preserve">Србија интензивно спроводи </w:t>
      </w:r>
      <w:r>
        <w:rPr>
          <w:rFonts w:cs="Times New Roman"/>
          <w:szCs w:val="24"/>
          <w:lang w:val="sr-Cyrl-RS" w:eastAsia="sr-Cyrl-CS" w:bidi="sr-Cyrl-CS"/>
        </w:rPr>
        <w:t>о</w:t>
      </w:r>
      <w:r w:rsidRPr="0076779D">
        <w:rPr>
          <w:rFonts w:cs="Times New Roman"/>
          <w:szCs w:val="24"/>
          <w:lang w:val="sr-Cyrl-RS" w:eastAsia="sr-Cyrl-CS" w:bidi="sr-Cyrl-CS"/>
        </w:rPr>
        <w:t xml:space="preserve">д 2015. године, почев од оснивања нових железничких предузећа, успостављања законодавног оквира, отварања тржишта, унапређења пословања предузећа, решавања питања дугова и вишка имовине, оптимизације броја запослених и рационализације мреже. </w:t>
      </w:r>
      <w:r>
        <w:rPr>
          <w:rFonts w:cs="Times New Roman"/>
          <w:szCs w:val="24"/>
          <w:lang w:val="sr-Cyrl-RS" w:eastAsia="sr-Cyrl-CS" w:bidi="sr-Cyrl-CS"/>
        </w:rPr>
        <w:t>П</w:t>
      </w:r>
      <w:r w:rsidRPr="0076779D">
        <w:rPr>
          <w:rFonts w:cs="Times New Roman"/>
          <w:szCs w:val="24"/>
          <w:lang w:val="sr-Cyrl-RS" w:eastAsia="sr-Cyrl-CS" w:bidi="sr-Cyrl-CS"/>
        </w:rPr>
        <w:t xml:space="preserve">аралелно се улажу и напори у стварање услова за трајно одрживо пословање предузећа, даље отварање тржишта и унапређење услуга у складу са ЕУ прописима, стандардима и праксом. </w:t>
      </w:r>
      <w:r>
        <w:rPr>
          <w:rFonts w:cs="Times New Roman"/>
          <w:szCs w:val="24"/>
          <w:lang w:val="sr-Cyrl-RS" w:eastAsia="sr-Cyrl-CS" w:bidi="sr-Cyrl-CS"/>
        </w:rPr>
        <w:t xml:space="preserve">Унапређује се </w:t>
      </w:r>
      <w:r w:rsidRPr="0076779D">
        <w:rPr>
          <w:rFonts w:cs="Times New Roman"/>
          <w:szCs w:val="24"/>
          <w:lang w:val="sr-Cyrl-RS" w:eastAsia="sr-Cyrl-CS" w:bidi="sr-Cyrl-CS"/>
        </w:rPr>
        <w:t>железничк</w:t>
      </w:r>
      <w:r>
        <w:rPr>
          <w:rFonts w:cs="Times New Roman"/>
          <w:szCs w:val="24"/>
          <w:lang w:val="sr-Cyrl-RS" w:eastAsia="sr-Cyrl-CS" w:bidi="sr-Cyrl-CS"/>
        </w:rPr>
        <w:t>а</w:t>
      </w:r>
      <w:r w:rsidRPr="0076779D">
        <w:rPr>
          <w:rFonts w:cs="Times New Roman"/>
          <w:szCs w:val="24"/>
          <w:lang w:val="sr-Cyrl-RS" w:eastAsia="sr-Cyrl-CS" w:bidi="sr-Cyrl-CS"/>
        </w:rPr>
        <w:t xml:space="preserve"> инфраструктур</w:t>
      </w:r>
      <w:r>
        <w:rPr>
          <w:rFonts w:cs="Times New Roman"/>
          <w:szCs w:val="24"/>
          <w:lang w:val="sr-Cyrl-RS" w:eastAsia="sr-Cyrl-CS" w:bidi="sr-Cyrl-CS"/>
        </w:rPr>
        <w:t>а</w:t>
      </w:r>
      <w:r w:rsidRPr="0076779D">
        <w:rPr>
          <w:rFonts w:cs="Times New Roman"/>
          <w:szCs w:val="24"/>
          <w:lang w:val="sr-Cyrl-RS" w:eastAsia="sr-Cyrl-CS" w:bidi="sr-Cyrl-CS"/>
        </w:rPr>
        <w:t xml:space="preserve"> кроз пројекте реконструкције, модернизације и изградње пруга и других капацитета, а у складу са </w:t>
      </w:r>
      <w:r w:rsidRPr="006F2E57">
        <w:rPr>
          <w:rFonts w:cs="Times New Roman"/>
          <w:i/>
          <w:szCs w:val="24"/>
          <w:lang w:val="sr-Cyrl-RS" w:eastAsia="sr-Cyrl-CS" w:bidi="sr-Cyrl-CS"/>
        </w:rPr>
        <w:t>Националним програмом јавне железничке инфраструктуре за период од 2017-2021. године</w:t>
      </w:r>
      <w:r w:rsidRPr="0076779D">
        <w:rPr>
          <w:rFonts w:cs="Times New Roman"/>
          <w:szCs w:val="24"/>
          <w:lang w:val="sr-Cyrl-RS" w:eastAsia="sr-Cyrl-CS" w:bidi="sr-Cyrl-CS"/>
        </w:rPr>
        <w:t xml:space="preserve">. </w:t>
      </w:r>
    </w:p>
    <w:p w14:paraId="573BB442" w14:textId="77777777"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t xml:space="preserve">Главне активности </w:t>
      </w:r>
      <w:r w:rsidRPr="0076779D">
        <w:rPr>
          <w:rFonts w:cs="Times New Roman"/>
          <w:szCs w:val="24"/>
          <w:lang w:val="sr-Cyrl-RS" w:eastAsia="sr-Cyrl-CS" w:bidi="sr-Cyrl-CS"/>
        </w:rPr>
        <w:t>у наредном периоду</w:t>
      </w:r>
      <w:r>
        <w:rPr>
          <w:rFonts w:cs="Times New Roman"/>
          <w:szCs w:val="24"/>
          <w:lang w:val="sr-Cyrl-RS" w:eastAsia="sr-Cyrl-CS" w:bidi="sr-Cyrl-CS"/>
        </w:rPr>
        <w:t xml:space="preserve">, с обзиром да су у завршној фази </w:t>
      </w:r>
      <w:r w:rsidRPr="0076779D">
        <w:rPr>
          <w:rFonts w:cs="Times New Roman"/>
          <w:szCs w:val="24"/>
          <w:lang w:val="sr-Cyrl-RS" w:eastAsia="sr-Cyrl-CS" w:bidi="sr-Cyrl-CS"/>
        </w:rPr>
        <w:t>усаглашавање закона са IV пакетом железничких ЕУ прописа и доношење нове Методологије за обрачун цене приступа железничкој инфраструктури</w:t>
      </w:r>
      <w:r>
        <w:rPr>
          <w:rFonts w:cs="Times New Roman"/>
          <w:szCs w:val="24"/>
          <w:lang w:val="sr-Cyrl-RS" w:eastAsia="sr-Cyrl-CS" w:bidi="sr-Cyrl-CS"/>
        </w:rPr>
        <w:t>,</w:t>
      </w:r>
      <w:r w:rsidRPr="0076779D">
        <w:rPr>
          <w:rFonts w:cs="Times New Roman"/>
          <w:szCs w:val="24"/>
          <w:lang w:val="sr-Cyrl-RS" w:eastAsia="sr-Cyrl-CS" w:bidi="sr-Cyrl-CS"/>
        </w:rPr>
        <w:t xml:space="preserve"> су: 1) примена нове Методологије за обрачун цене приступа железничкој инфраструктури, што има за циљ обрачун цена приступа које су засноване на стварним трошковима чиме ће се омогућити предвидљивије тржиште железничких услуга, 2) унапређење безбедности железничког саобраћаја, нарочито када су у питању путно-пружни прелази, са циљем смањења броја саобраћајних незгода и 3) унапређење ефикасности путничког саобраћаја кроз унапређени уговорни однос, нове услуге, промотивне активности и унапређење ефикасности пословања (продајне мреже, енергетске ефикасности, управљања ресурсима). </w:t>
      </w:r>
    </w:p>
    <w:p w14:paraId="287F27D0" w14:textId="77777777"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t>С</w:t>
      </w:r>
      <w:r w:rsidRPr="0076779D">
        <w:rPr>
          <w:rFonts w:cs="Times New Roman"/>
          <w:szCs w:val="24"/>
          <w:lang w:val="sr-Cyrl-RS" w:eastAsia="sr-Cyrl-CS" w:bidi="sr-Cyrl-CS"/>
        </w:rPr>
        <w:t xml:space="preserve">ва улагања у железницу директно доприносе спровођењу </w:t>
      </w:r>
      <w:r>
        <w:rPr>
          <w:rFonts w:cs="Times New Roman"/>
          <w:szCs w:val="24"/>
          <w:lang w:val="sr-Cyrl-RS" w:eastAsia="sr-Cyrl-CS" w:bidi="sr-Cyrl-CS"/>
        </w:rPr>
        <w:t>Европског зеленог договора</w:t>
      </w:r>
      <w:r w:rsidRPr="0076779D">
        <w:rPr>
          <w:rFonts w:cs="Times New Roman"/>
          <w:szCs w:val="24"/>
          <w:lang w:val="sr-Cyrl-RS" w:eastAsia="sr-Cyrl-CS" w:bidi="sr-Cyrl-CS"/>
        </w:rPr>
        <w:t>, с обзиром на све техничке одлике и еколошку повољност овог вида превоза.</w:t>
      </w:r>
    </w:p>
    <w:p w14:paraId="31271641" w14:textId="77777777"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3E337C66"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38D7E3A"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26303CE8"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39D4ED9"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4E6A802"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FC83202"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6DEED46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583830B1"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7EB0D5C2"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61055D0D"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5CF930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2747CB62"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8523AA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5A1008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C9DBEB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AAA487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AC1E0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6309EAD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E82CEDD"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B46B3D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26D80B0"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2203EFC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E564B33" w14:textId="77777777"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4F8FEC1F" w14:textId="77777777"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Примена нове Методологије за обрачун цене приступа железничкој инфраструктури</w:t>
            </w:r>
          </w:p>
        </w:tc>
        <w:tc>
          <w:tcPr>
            <w:tcW w:w="422" w:type="dxa"/>
            <w:tcBorders>
              <w:top w:val="nil"/>
              <w:left w:val="single" w:sz="8" w:space="0" w:color="auto"/>
              <w:bottom w:val="single" w:sz="4" w:space="0" w:color="auto"/>
              <w:right w:val="single" w:sz="4" w:space="0" w:color="auto"/>
            </w:tcBorders>
            <w:shd w:val="clear" w:color="auto" w:fill="auto"/>
            <w:vAlign w:val="center"/>
          </w:tcPr>
          <w:p w14:paraId="5F62403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459D5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24B146D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3FF800E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28473A0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F8989B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A74F84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2465FB5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766EA0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22CF0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11ADB1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0E53056D"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329129E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C137713" w14:textId="77777777"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61CBC115" w14:textId="77777777"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Повећање безбедности у железничком саобраћају</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60BB30C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84AF63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3ED4977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7CC370E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0CED1A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94E43E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A8F79A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4D3A4D1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0AB396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3C5EF0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B7075E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5467F0E3"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5A8AD2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600686B" w14:textId="77777777"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58B295E1" w14:textId="77777777"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Унапређење ефикасности путничког саобраћаја</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562CBDB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D77F62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E2BA8C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7BF706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EC8FF8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FFEE91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1408FB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64D6251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659B36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A4369C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73DD37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9E5F304" w14:textId="77777777" w:rsidR="00DC7F92" w:rsidRPr="00A6164C" w:rsidRDefault="00DC7F92" w:rsidP="00DC7F92">
            <w:pPr>
              <w:spacing w:after="0"/>
              <w:jc w:val="center"/>
              <w:rPr>
                <w:rFonts w:eastAsia="Times New Roman" w:cs="Times New Roman"/>
                <w:sz w:val="20"/>
                <w:szCs w:val="20"/>
                <w:lang w:val="sr-Cyrl-RS"/>
              </w:rPr>
            </w:pPr>
          </w:p>
        </w:tc>
      </w:tr>
    </w:tbl>
    <w:p w14:paraId="01743DAD" w14:textId="1D924414" w:rsidR="002B64C7" w:rsidRDefault="002B64C7" w:rsidP="002B64C7">
      <w:pPr>
        <w:widowControl w:val="0"/>
        <w:spacing w:before="120"/>
        <w:rPr>
          <w:rFonts w:cs="Times New Roman"/>
          <w:b/>
          <w:szCs w:val="24"/>
          <w:lang w:val="sr-Cyrl-RS" w:eastAsia="sr-Cyrl-CS" w:bidi="sr-Cyrl-CS"/>
        </w:rPr>
      </w:pPr>
    </w:p>
    <w:p w14:paraId="6308978C" w14:textId="63AD110E" w:rsidR="00DC7F92" w:rsidRPr="00A6164C"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3112A5E9"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5BAACDF8"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42AC8374"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(2016)</w:t>
            </w:r>
          </w:p>
        </w:tc>
        <w:tc>
          <w:tcPr>
            <w:tcW w:w="1843" w:type="dxa"/>
          </w:tcPr>
          <w:p w14:paraId="6F3BC33E"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(2020)</w:t>
            </w:r>
          </w:p>
        </w:tc>
        <w:tc>
          <w:tcPr>
            <w:tcW w:w="1843" w:type="dxa"/>
          </w:tcPr>
          <w:p w14:paraId="62BE1403"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(2024)</w:t>
            </w:r>
          </w:p>
        </w:tc>
      </w:tr>
      <w:tr w:rsidR="00DC7F92" w:rsidRPr="00A6164C" w14:paraId="0D981726" w14:textId="77777777" w:rsidTr="00DC7F92">
        <w:trPr>
          <w:trHeight w:val="284"/>
        </w:trPr>
        <w:tc>
          <w:tcPr>
            <w:tcW w:w="4106" w:type="dxa"/>
          </w:tcPr>
          <w:p w14:paraId="3373A7EC"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Количина превезене робе (тоне)</w:t>
            </w:r>
          </w:p>
        </w:tc>
        <w:tc>
          <w:tcPr>
            <w:tcW w:w="1842" w:type="dxa"/>
          </w:tcPr>
          <w:p w14:paraId="76FDDF20"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11.896.000</w:t>
            </w:r>
          </w:p>
        </w:tc>
        <w:tc>
          <w:tcPr>
            <w:tcW w:w="1843" w:type="dxa"/>
          </w:tcPr>
          <w:p w14:paraId="0465B907"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10.692.840*</w:t>
            </w:r>
          </w:p>
        </w:tc>
        <w:tc>
          <w:tcPr>
            <w:tcW w:w="1843" w:type="dxa"/>
          </w:tcPr>
          <w:p w14:paraId="4D77F252"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13.070.200</w:t>
            </w:r>
          </w:p>
        </w:tc>
      </w:tr>
      <w:tr w:rsidR="00DC7F92" w:rsidRPr="00A6164C" w14:paraId="2C4C002D" w14:textId="77777777" w:rsidTr="00DC7F92">
        <w:trPr>
          <w:trHeight w:val="284"/>
        </w:trPr>
        <w:tc>
          <w:tcPr>
            <w:tcW w:w="4106" w:type="dxa"/>
          </w:tcPr>
          <w:p w14:paraId="1EBCBABD"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Број превезених путника</w:t>
            </w:r>
          </w:p>
        </w:tc>
        <w:tc>
          <w:tcPr>
            <w:tcW w:w="1842" w:type="dxa"/>
          </w:tcPr>
          <w:p w14:paraId="4954A566"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6.092.000</w:t>
            </w:r>
          </w:p>
        </w:tc>
        <w:tc>
          <w:tcPr>
            <w:tcW w:w="1843" w:type="dxa"/>
          </w:tcPr>
          <w:p w14:paraId="4F5A117F"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2.605.615**</w:t>
            </w:r>
          </w:p>
        </w:tc>
        <w:tc>
          <w:tcPr>
            <w:tcW w:w="1843" w:type="dxa"/>
          </w:tcPr>
          <w:p w14:paraId="4D5E0E00"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6.701.200</w:t>
            </w:r>
          </w:p>
        </w:tc>
      </w:tr>
      <w:tr w:rsidR="00DC7F92" w:rsidRPr="00A6164C" w14:paraId="5448468B" w14:textId="77777777" w:rsidTr="00DC7F92">
        <w:trPr>
          <w:trHeight w:val="284"/>
        </w:trPr>
        <w:tc>
          <w:tcPr>
            <w:tcW w:w="4106" w:type="dxa"/>
          </w:tcPr>
          <w:p w14:paraId="7AAF8095"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Број железничких несрећа</w:t>
            </w:r>
          </w:p>
        </w:tc>
        <w:tc>
          <w:tcPr>
            <w:tcW w:w="1842" w:type="dxa"/>
          </w:tcPr>
          <w:p w14:paraId="39E4C3D9"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253***</w:t>
            </w:r>
          </w:p>
        </w:tc>
        <w:tc>
          <w:tcPr>
            <w:tcW w:w="1843" w:type="dxa"/>
          </w:tcPr>
          <w:p w14:paraId="183A2F15"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208</w:t>
            </w:r>
          </w:p>
        </w:tc>
        <w:tc>
          <w:tcPr>
            <w:tcW w:w="1843" w:type="dxa"/>
          </w:tcPr>
          <w:p w14:paraId="0B2CE48A"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150</w:t>
            </w:r>
          </w:p>
        </w:tc>
      </w:tr>
      <w:tr w:rsidR="00DC7F92" w:rsidRPr="00A6164C" w14:paraId="5029A12C" w14:textId="77777777" w:rsidTr="00DC7F92">
        <w:trPr>
          <w:trHeight w:val="284"/>
        </w:trPr>
        <w:tc>
          <w:tcPr>
            <w:tcW w:w="4106" w:type="dxa"/>
          </w:tcPr>
          <w:p w14:paraId="73C7161D"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Километри реконструисаних (обновљених) пруга (кумулативно од 2015. год.)</w:t>
            </w:r>
          </w:p>
        </w:tc>
        <w:tc>
          <w:tcPr>
            <w:tcW w:w="1842" w:type="dxa"/>
          </w:tcPr>
          <w:p w14:paraId="37A84BA6"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36,3</w:t>
            </w:r>
          </w:p>
        </w:tc>
        <w:tc>
          <w:tcPr>
            <w:tcW w:w="1843" w:type="dxa"/>
          </w:tcPr>
          <w:p w14:paraId="4E6AF58C"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580</w:t>
            </w:r>
          </w:p>
        </w:tc>
        <w:tc>
          <w:tcPr>
            <w:tcW w:w="1843" w:type="dxa"/>
          </w:tcPr>
          <w:p w14:paraId="785AD851"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w:t>
            </w:r>
            <w:r>
              <w:rPr>
                <w:rFonts w:eastAsia="Times New Roman" w:cs="Times New Roman"/>
                <w:sz w:val="20"/>
                <w:lang w:val="sr-Cyrl-RS"/>
              </w:rPr>
              <w:t>.</w:t>
            </w:r>
            <w:r w:rsidRPr="007B5945">
              <w:rPr>
                <w:rFonts w:eastAsia="Times New Roman" w:cs="Times New Roman"/>
                <w:sz w:val="20"/>
                <w:lang w:val="sr-Cyrl-RS"/>
              </w:rPr>
              <w:t>092,3</w:t>
            </w:r>
          </w:p>
        </w:tc>
      </w:tr>
    </w:tbl>
    <w:p w14:paraId="6818F7AA" w14:textId="77777777" w:rsidR="00DC7F92" w:rsidRPr="007B5945" w:rsidRDefault="00DC7F92" w:rsidP="002B64C7">
      <w:pPr>
        <w:widowControl w:val="0"/>
        <w:spacing w:after="0"/>
        <w:rPr>
          <w:rFonts w:cs="Times New Roman"/>
          <w:sz w:val="20"/>
          <w:szCs w:val="20"/>
          <w:lang w:val="sr-Cyrl-RS" w:eastAsia="sr-Cyrl-CS" w:bidi="sr-Cyrl-CS"/>
        </w:rPr>
      </w:pPr>
      <w:r w:rsidRPr="007B5945">
        <w:rPr>
          <w:rFonts w:cs="Times New Roman"/>
          <w:sz w:val="20"/>
          <w:szCs w:val="20"/>
          <w:lang w:val="sr-Cyrl-RS" w:eastAsia="sr-Cyrl-CS" w:bidi="sr-Cyrl-CS"/>
        </w:rPr>
        <w:t>*</w:t>
      </w:r>
      <w:r>
        <w:rPr>
          <w:rFonts w:cs="Times New Roman"/>
          <w:sz w:val="20"/>
          <w:szCs w:val="20"/>
          <w:lang w:val="sr-Cyrl-RS" w:eastAsia="sr-Cyrl-CS" w:bidi="sr-Cyrl-CS"/>
        </w:rPr>
        <w:t xml:space="preserve"> П</w:t>
      </w:r>
      <w:r w:rsidRPr="007B5945">
        <w:rPr>
          <w:rFonts w:cs="Times New Roman"/>
          <w:sz w:val="20"/>
          <w:szCs w:val="20"/>
          <w:lang w:val="sr-Cyrl-RS" w:eastAsia="sr-Cyrl-CS" w:bidi="sr-Cyrl-CS"/>
        </w:rPr>
        <w:t>роцена на основу количине превезене робе националног државног превозника и удела приватних превозника</w:t>
      </w:r>
    </w:p>
    <w:p w14:paraId="20E21711" w14:textId="77777777" w:rsidR="00DC7F92" w:rsidRPr="007B5945" w:rsidRDefault="00DC7F92" w:rsidP="002B64C7">
      <w:pPr>
        <w:widowControl w:val="0"/>
        <w:spacing w:after="0"/>
        <w:rPr>
          <w:rFonts w:cs="Times New Roman"/>
          <w:sz w:val="20"/>
          <w:szCs w:val="20"/>
          <w:lang w:val="sr-Cyrl-RS" w:eastAsia="sr-Cyrl-CS" w:bidi="sr-Cyrl-CS"/>
        </w:rPr>
      </w:pPr>
      <w:r w:rsidRPr="007B5945">
        <w:rPr>
          <w:rFonts w:cs="Times New Roman"/>
          <w:sz w:val="20"/>
          <w:szCs w:val="20"/>
          <w:lang w:val="sr-Cyrl-RS" w:eastAsia="sr-Cyrl-CS" w:bidi="sr-Cyrl-CS"/>
        </w:rPr>
        <w:t>**</w:t>
      </w:r>
      <w:r>
        <w:rPr>
          <w:rFonts w:cs="Times New Roman"/>
          <w:sz w:val="20"/>
          <w:szCs w:val="20"/>
          <w:lang w:val="sr-Cyrl-RS" w:eastAsia="sr-Cyrl-CS" w:bidi="sr-Cyrl-CS"/>
        </w:rPr>
        <w:t xml:space="preserve"> Ковид</w:t>
      </w:r>
      <w:r w:rsidRPr="007B5945">
        <w:rPr>
          <w:rFonts w:cs="Times New Roman"/>
          <w:sz w:val="20"/>
          <w:szCs w:val="20"/>
          <w:lang w:val="sr-Cyrl-RS" w:eastAsia="sr-Cyrl-CS" w:bidi="sr-Cyrl-CS"/>
        </w:rPr>
        <w:t xml:space="preserve"> мере и велики обим радова на инфраструктури</w:t>
      </w:r>
    </w:p>
    <w:p w14:paraId="1C9BA6A4" w14:textId="77777777" w:rsidR="00DC7F92" w:rsidRPr="007B5945" w:rsidRDefault="00DC7F92" w:rsidP="002B64C7">
      <w:pPr>
        <w:widowControl w:val="0"/>
        <w:spacing w:after="0"/>
        <w:rPr>
          <w:rFonts w:cs="Times New Roman"/>
          <w:sz w:val="20"/>
          <w:szCs w:val="20"/>
          <w:lang w:val="sr-Cyrl-RS" w:eastAsia="sr-Cyrl-CS" w:bidi="sr-Cyrl-CS"/>
        </w:rPr>
      </w:pPr>
      <w:r>
        <w:rPr>
          <w:rFonts w:cs="Times New Roman"/>
          <w:sz w:val="20"/>
          <w:szCs w:val="20"/>
          <w:lang w:val="sr-Cyrl-RS" w:eastAsia="sr-Cyrl-CS" w:bidi="sr-Cyrl-CS"/>
        </w:rPr>
        <w:t>*** П</w:t>
      </w:r>
      <w:r w:rsidRPr="007B5945">
        <w:rPr>
          <w:rFonts w:cs="Times New Roman"/>
          <w:sz w:val="20"/>
          <w:szCs w:val="20"/>
          <w:lang w:val="sr-Cyrl-RS" w:eastAsia="sr-Cyrl-CS" w:bidi="sr-Cyrl-CS"/>
        </w:rPr>
        <w:t>одатак за 2017. годину, имајући у виду да су се пре 2017. године ванредни догађаји класификовали на другачији начин</w:t>
      </w:r>
    </w:p>
    <w:p w14:paraId="1A54B5A6" w14:textId="77777777" w:rsidR="00DC7F92"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3EC97380" w14:textId="77777777" w:rsidR="00DC7F92" w:rsidRPr="007B5945" w:rsidRDefault="00DC7F92" w:rsidP="002B64C7">
      <w:pPr>
        <w:widowControl w:val="0"/>
        <w:spacing w:after="60"/>
        <w:rPr>
          <w:rFonts w:cs="Times New Roman"/>
          <w:szCs w:val="24"/>
          <w:lang w:val="sr-Cyrl-RS" w:eastAsia="sr-Cyrl-CS" w:bidi="sr-Cyrl-CS"/>
        </w:rPr>
      </w:pPr>
      <w:r w:rsidRPr="007B5945">
        <w:rPr>
          <w:rFonts w:cs="Times New Roman"/>
          <w:szCs w:val="24"/>
          <w:lang w:val="sr-Cyrl-RS" w:eastAsia="sr-Cyrl-CS" w:bidi="sr-Cyrl-CS"/>
        </w:rPr>
        <w:t xml:space="preserve">Реформа железничког сектора за коначан циљ има повећање конкурентности, не само </w:t>
      </w:r>
      <w:r w:rsidRPr="007B5945">
        <w:rPr>
          <w:rFonts w:cs="Times New Roman"/>
          <w:szCs w:val="24"/>
          <w:lang w:val="sr-Cyrl-RS" w:eastAsia="sr-Cyrl-CS" w:bidi="sr-Cyrl-CS"/>
        </w:rPr>
        <w:lastRenderedPageBreak/>
        <w:t xml:space="preserve">унутар железничког сектора, где ће се цене транспортне услуге формирати искључиво како диктирају понуда и потражња, већ и повећање конкуретности железнице у односу на друге видове саобраћаја. Досадашњом реформом омогућено постојање отвореног тржишта на националном нивоу на коме тренутно, поред двa државнa, активно послује и 12 приватних железничких превозника, а очекује се даљи раст њиховог броја. И даље се ради на повећању ефикасности реструктурираних предузећа, али имајући у виду садашњи степен развоја тржишта, корисници железничких услуга у теретном саобраћају већ имају бенефит у смислу избора превозника. Поред тога, инвестиције у капиталне пројекте утичу на раст индустријске производње, запошљавање домаће привреде, смањење броја незапослених и на раст БДП-а. С друге стране, с обзиром на пандемију </w:t>
      </w:r>
      <w:r>
        <w:rPr>
          <w:rFonts w:cs="Times New Roman"/>
          <w:szCs w:val="24"/>
          <w:lang w:val="sr-Cyrl-RS" w:eastAsia="sr-Cyrl-CS" w:bidi="sr-Cyrl-CS"/>
        </w:rPr>
        <w:t>Ковид</w:t>
      </w:r>
      <w:r w:rsidRPr="007B5945">
        <w:rPr>
          <w:rFonts w:cs="Times New Roman"/>
          <w:szCs w:val="24"/>
          <w:lang w:val="sr-Cyrl-RS" w:eastAsia="sr-Cyrl-CS" w:bidi="sr-Cyrl-CS"/>
        </w:rPr>
        <w:t>-19 и њен негативан утицај на привредне активности, у 2020. години, у односу на 2019, обим превезене робе остао је на приближно једнаком нивоу, а број превезених путника смањен је за око 38% због рестриктивних мера и ограничења у саобраћају због радова на инфраструктури. С обзиром на неизвесност епидемиолошке ситуације и наставак великог обима радова на реконструкцији и модернизацији инфраструктуре, потребно је уложити додатне напоре у подизање ефикасности железничког саобраћаја, и у контексту глобалних еколошких тенденција, нарочито путничког. Удео железнице у укупном обиму превезене робе и путника је коначан показатељ успешности ове реформе. Према подацима Републичког завода за статистику учешће железничког саобраћаја у укупном превозу робе je 2019. године износило 22,5% (тонски km), а у превозу путника 6,65% (број путника).</w:t>
      </w:r>
    </w:p>
    <w:p w14:paraId="5160D94E" w14:textId="77777777"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 и извори финансирања</w:t>
      </w:r>
    </w:p>
    <w:p w14:paraId="0B7D5D15" w14:textId="77777777" w:rsidR="00DC7F92" w:rsidRPr="005C736D" w:rsidRDefault="00DC7F92" w:rsidP="00DC7F92">
      <w:pPr>
        <w:widowControl w:val="0"/>
        <w:spacing w:after="60"/>
        <w:rPr>
          <w:rFonts w:cs="Times New Roman"/>
          <w:szCs w:val="24"/>
          <w:lang w:eastAsia="sr-Cyrl-CS" w:bidi="sr-Cyrl-CS"/>
        </w:rPr>
      </w:pPr>
      <w:r w:rsidRPr="007B5945">
        <w:rPr>
          <w:rFonts w:cs="Times New Roman"/>
          <w:szCs w:val="24"/>
          <w:lang w:val="sr-Cyrl-RS" w:eastAsia="sr-Cyrl-CS" w:bidi="sr-Cyrl-CS"/>
        </w:rPr>
        <w:t xml:space="preserve">С обзиром да су активности на изради и усвајању Методологије за обрачун цене приступа железничкој инфраструктури и на усаглашавању са 4. пакетом ЕУ прописа у завршној фази, као </w:t>
      </w:r>
      <w:r>
        <w:rPr>
          <w:rFonts w:cs="Times New Roman"/>
          <w:szCs w:val="24"/>
          <w:lang w:val="sr-Cyrl-RS" w:eastAsia="sr-Cyrl-CS" w:bidi="sr-Cyrl-CS"/>
        </w:rPr>
        <w:t xml:space="preserve">и </w:t>
      </w:r>
      <w:r w:rsidRPr="007B5945">
        <w:rPr>
          <w:rFonts w:cs="Times New Roman"/>
          <w:szCs w:val="24"/>
          <w:lang w:val="sr-Cyrl-RS" w:eastAsia="sr-Cyrl-CS" w:bidi="sr-Cyrl-CS"/>
        </w:rPr>
        <w:t xml:space="preserve">да је предлог новог уговора између Владе и „Србија Воз“ а.д. израђен у оквиру продуженог пројекта „Свеобухватна реформа железнице“, остали </w:t>
      </w:r>
      <w:r>
        <w:rPr>
          <w:rFonts w:cs="Times New Roman"/>
          <w:szCs w:val="24"/>
          <w:lang w:val="sr-Cyrl-RS" w:eastAsia="sr-Cyrl-CS" w:bidi="sr-Cyrl-CS"/>
        </w:rPr>
        <w:t xml:space="preserve">додатни </w:t>
      </w:r>
      <w:r w:rsidRPr="007B5945">
        <w:rPr>
          <w:rFonts w:cs="Times New Roman"/>
          <w:szCs w:val="24"/>
          <w:lang w:val="sr-Cyrl-RS" w:eastAsia="sr-Cyrl-CS" w:bidi="sr-Cyrl-CS"/>
        </w:rPr>
        <w:t xml:space="preserve">трошкови реформе односе се на процењену вредност рада додатно ангажованих лица </w:t>
      </w:r>
      <w:r>
        <w:rPr>
          <w:rFonts w:cs="Times New Roman"/>
          <w:szCs w:val="24"/>
          <w:lang w:val="sr-Cyrl-RS" w:eastAsia="sr-Cyrl-CS" w:bidi="sr-Cyrl-CS"/>
        </w:rPr>
        <w:t xml:space="preserve">(добра и услуге) </w:t>
      </w:r>
      <w:r w:rsidRPr="007B5945">
        <w:rPr>
          <w:rFonts w:cs="Times New Roman"/>
          <w:szCs w:val="24"/>
          <w:lang w:val="sr-Cyrl-RS" w:eastAsia="sr-Cyrl-CS" w:bidi="sr-Cyrl-CS"/>
        </w:rPr>
        <w:t>за активности примене Методологије за обрачун цене приступа</w:t>
      </w:r>
      <w:r w:rsidRPr="00D04BA4">
        <w:rPr>
          <w:rFonts w:cs="Times New Roman"/>
          <w:szCs w:val="24"/>
          <w:lang w:val="sr-Cyrl-RS" w:eastAsia="sr-Cyrl-CS" w:bidi="sr-Cyrl-CS"/>
        </w:rPr>
        <w:t xml:space="preserve"> </w:t>
      </w:r>
      <w:r>
        <w:rPr>
          <w:rFonts w:cs="Times New Roman"/>
          <w:szCs w:val="24"/>
          <w:lang w:val="sr-Cyrl-RS" w:eastAsia="sr-Cyrl-CS" w:bidi="sr-Cyrl-CS"/>
        </w:rPr>
        <w:t>за период 2022-2024</w:t>
      </w:r>
      <w:r w:rsidRPr="007B5945">
        <w:rPr>
          <w:rFonts w:cs="Times New Roman"/>
          <w:szCs w:val="24"/>
          <w:lang w:val="sr-Cyrl-RS" w:eastAsia="sr-Cyrl-CS" w:bidi="sr-Cyrl-CS"/>
        </w:rPr>
        <w:t xml:space="preserve">, у укупном износу </w:t>
      </w:r>
      <w:r>
        <w:rPr>
          <w:rFonts w:cs="Times New Roman"/>
          <w:szCs w:val="24"/>
          <w:lang w:val="sr-Cyrl-RS" w:eastAsia="sr-Cyrl-CS" w:bidi="sr-Cyrl-CS"/>
        </w:rPr>
        <w:t>од 4.515 евра (рачунајући и 1.</w:t>
      </w:r>
      <w:r w:rsidRPr="007B5945">
        <w:rPr>
          <w:rFonts w:cs="Times New Roman"/>
          <w:szCs w:val="24"/>
          <w:lang w:val="sr-Cyrl-RS" w:eastAsia="sr-Cyrl-CS" w:bidi="sr-Cyrl-CS"/>
        </w:rPr>
        <w:t xml:space="preserve">250 евра је Дирекција за железнице проценила као износ потребан за ангажовање консуланта ). </w:t>
      </w:r>
      <w:r w:rsidRPr="00C3311B">
        <w:rPr>
          <w:rFonts w:cs="Times New Roman"/>
          <w:szCs w:val="24"/>
          <w:lang w:val="sr-Cyrl-RS" w:eastAsia="sr-Cyrl-CS" w:bidi="sr-Cyrl-CS"/>
        </w:rPr>
        <w:t xml:space="preserve"> </w:t>
      </w:r>
      <w:r>
        <w:rPr>
          <w:rFonts w:cs="Times New Roman"/>
          <w:szCs w:val="24"/>
          <w:lang w:val="sr-Cyrl-RS" w:eastAsia="sr-Cyrl-CS" w:bidi="sr-Cyrl-CS"/>
        </w:rPr>
        <w:t xml:space="preserve">Поред 141.102 евра које се у периоду 2022-2024 односе </w:t>
      </w:r>
      <w:r w:rsidRPr="007B5945">
        <w:rPr>
          <w:rFonts w:cs="Times New Roman"/>
          <w:szCs w:val="24"/>
          <w:lang w:val="sr-Cyrl-RS" w:eastAsia="sr-Cyrl-CS" w:bidi="sr-Cyrl-CS"/>
        </w:rPr>
        <w:t xml:space="preserve">на процењену вредност рада додатно ангажованих лица </w:t>
      </w:r>
      <w:r>
        <w:rPr>
          <w:rFonts w:cs="Times New Roman"/>
          <w:szCs w:val="24"/>
          <w:lang w:val="sr-Cyrl-RS" w:eastAsia="sr-Cyrl-CS" w:bidi="sr-Cyrl-CS"/>
        </w:rPr>
        <w:t xml:space="preserve">(добра и услуге) </w:t>
      </w:r>
      <w:r w:rsidRPr="007B5945">
        <w:rPr>
          <w:rFonts w:cs="Times New Roman"/>
          <w:szCs w:val="24"/>
          <w:lang w:val="sr-Cyrl-RS" w:eastAsia="sr-Cyrl-CS" w:bidi="sr-Cyrl-CS"/>
        </w:rPr>
        <w:t>за активности</w:t>
      </w:r>
      <w:r>
        <w:rPr>
          <w:rFonts w:cs="Times New Roman"/>
          <w:szCs w:val="24"/>
          <w:lang w:val="sr-Cyrl-RS" w:eastAsia="sr-Cyrl-CS" w:bidi="sr-Cyrl-CS"/>
        </w:rPr>
        <w:t xml:space="preserve"> повећања безбедности</w:t>
      </w:r>
      <w:r w:rsidRPr="007B5945">
        <w:rPr>
          <w:rFonts w:cs="Times New Roman"/>
          <w:szCs w:val="24"/>
          <w:lang w:val="sr-Cyrl-RS" w:eastAsia="sr-Cyrl-CS" w:bidi="sr-Cyrl-CS"/>
        </w:rPr>
        <w:t xml:space="preserve"> у железничком саобраћају обезбеђена су </w:t>
      </w:r>
      <w:r>
        <w:rPr>
          <w:rFonts w:cs="Times New Roman"/>
          <w:szCs w:val="24"/>
          <w:lang w:val="sr-Cyrl-RS" w:eastAsia="sr-Cyrl-CS" w:bidi="sr-Cyrl-CS"/>
        </w:rPr>
        <w:t xml:space="preserve">и </w:t>
      </w:r>
      <w:r w:rsidRPr="007B5945">
        <w:rPr>
          <w:rFonts w:cs="Times New Roman"/>
          <w:szCs w:val="24"/>
          <w:lang w:val="sr-Cyrl-RS" w:eastAsia="sr-Cyrl-CS" w:bidi="sr-Cyrl-CS"/>
        </w:rPr>
        <w:t>средства из кредита Светске банке за модернизацију путних прелаза у износу 10,9 милиона евра (радов</w:t>
      </w:r>
      <w:r>
        <w:rPr>
          <w:rFonts w:cs="Times New Roman"/>
          <w:szCs w:val="24"/>
          <w:lang w:val="sr-Cyrl-RS" w:eastAsia="sr-Cyrl-CS" w:bidi="sr-Cyrl-CS"/>
        </w:rPr>
        <w:t>и</w:t>
      </w:r>
      <w:r w:rsidRPr="007B5945">
        <w:rPr>
          <w:rFonts w:cs="Times New Roman"/>
          <w:szCs w:val="24"/>
          <w:lang w:val="sr-Cyrl-RS" w:eastAsia="sr-Cyrl-CS" w:bidi="sr-Cyrl-CS"/>
        </w:rPr>
        <w:t xml:space="preserve"> </w:t>
      </w:r>
      <w:r>
        <w:rPr>
          <w:rFonts w:cs="Times New Roman"/>
          <w:szCs w:val="24"/>
          <w:lang w:val="sr-Cyrl-RS" w:eastAsia="sr-Cyrl-CS" w:bidi="sr-Cyrl-CS"/>
        </w:rPr>
        <w:t xml:space="preserve">се </w:t>
      </w:r>
      <w:r w:rsidRPr="007B5945">
        <w:rPr>
          <w:rFonts w:cs="Times New Roman"/>
          <w:szCs w:val="24"/>
          <w:lang w:val="sr-Cyrl-RS" w:eastAsia="sr-Cyrl-CS" w:bidi="sr-Cyrl-CS"/>
        </w:rPr>
        <w:t>очекуј</w:t>
      </w:r>
      <w:r>
        <w:rPr>
          <w:rFonts w:cs="Times New Roman"/>
          <w:szCs w:val="24"/>
          <w:lang w:val="sr-Cyrl-RS" w:eastAsia="sr-Cyrl-CS" w:bidi="sr-Cyrl-CS"/>
        </w:rPr>
        <w:t>у</w:t>
      </w:r>
      <w:r w:rsidRPr="007B5945">
        <w:rPr>
          <w:rFonts w:cs="Times New Roman"/>
          <w:szCs w:val="24"/>
          <w:lang w:val="sr-Cyrl-RS" w:eastAsia="sr-Cyrl-CS" w:bidi="sr-Cyrl-CS"/>
        </w:rPr>
        <w:t xml:space="preserve"> током 2022. </w:t>
      </w:r>
      <w:r>
        <w:rPr>
          <w:rFonts w:cs="Times New Roman"/>
          <w:szCs w:val="24"/>
          <w:lang w:val="sr-Cyrl-RS" w:eastAsia="sr-Cyrl-CS" w:bidi="sr-Cyrl-CS"/>
        </w:rPr>
        <w:t xml:space="preserve">и 2023. </w:t>
      </w:r>
      <w:r w:rsidRPr="007B5945">
        <w:rPr>
          <w:rFonts w:cs="Times New Roman"/>
          <w:szCs w:val="24"/>
          <w:lang w:val="sr-Cyrl-RS" w:eastAsia="sr-Cyrl-CS" w:bidi="sr-Cyrl-CS"/>
        </w:rPr>
        <w:t xml:space="preserve">године </w:t>
      </w:r>
      <w:r>
        <w:rPr>
          <w:rFonts w:cs="Times New Roman"/>
          <w:szCs w:val="24"/>
          <w:lang w:val="sr-Cyrl-RS" w:eastAsia="sr-Cyrl-CS" w:bidi="sr-Cyrl-CS"/>
        </w:rPr>
        <w:t xml:space="preserve">по 50% </w:t>
      </w:r>
      <w:r w:rsidRPr="007B5945">
        <w:rPr>
          <w:rFonts w:cs="Times New Roman"/>
          <w:szCs w:val="24"/>
          <w:lang w:val="sr-Cyrl-RS" w:eastAsia="sr-Cyrl-CS" w:bidi="sr-Cyrl-CS"/>
        </w:rPr>
        <w:t xml:space="preserve">– односи се на 58 путних прелаза), Такође, EBRD </w:t>
      </w:r>
      <w:r>
        <w:rPr>
          <w:rFonts w:cs="Times New Roman"/>
          <w:szCs w:val="24"/>
          <w:lang w:val="sr-Latn-RS" w:eastAsia="sr-Cyrl-CS" w:bidi="sr-Cyrl-CS"/>
        </w:rPr>
        <w:t xml:space="preserve">je </w:t>
      </w:r>
      <w:r w:rsidRPr="007B5945">
        <w:rPr>
          <w:rFonts w:cs="Times New Roman"/>
          <w:szCs w:val="24"/>
          <w:lang w:val="sr-Cyrl-RS" w:eastAsia="sr-Cyrl-CS" w:bidi="sr-Cyrl-CS"/>
        </w:rPr>
        <w:t>одобрио пренамену преосталих средстава из постојећег кредита (10 мил</w:t>
      </w:r>
      <w:r>
        <w:rPr>
          <w:rFonts w:cs="Times New Roman"/>
          <w:szCs w:val="24"/>
          <w:lang w:val="sr-Cyrl-RS" w:eastAsia="sr-Cyrl-CS" w:bidi="sr-Cyrl-CS"/>
        </w:rPr>
        <w:t xml:space="preserve">иона </w:t>
      </w:r>
      <w:r w:rsidRPr="007B5945">
        <w:rPr>
          <w:rFonts w:cs="Times New Roman"/>
          <w:szCs w:val="24"/>
          <w:lang w:val="sr-Cyrl-RS" w:eastAsia="sr-Cyrl-CS" w:bidi="sr-Cyrl-CS"/>
        </w:rPr>
        <w:t>евра) за финансирање радова на унапређењу осигурања на 33 путна прелаза</w:t>
      </w:r>
      <w:r>
        <w:rPr>
          <w:rFonts w:cs="Times New Roman"/>
          <w:szCs w:val="24"/>
          <w:lang w:val="sr-Cyrl-RS" w:eastAsia="sr-Cyrl-CS" w:bidi="sr-Cyrl-CS"/>
        </w:rPr>
        <w:t xml:space="preserve"> (по 33% у 2022, 2023. и 2024)</w:t>
      </w:r>
      <w:r w:rsidRPr="007B5945">
        <w:rPr>
          <w:rFonts w:cs="Times New Roman"/>
          <w:szCs w:val="24"/>
          <w:lang w:val="sr-Cyrl-RS" w:eastAsia="sr-Cyrl-CS" w:bidi="sr-Cyrl-CS"/>
        </w:rPr>
        <w:t>. Поред тога, са Светском банком и Француском агенцијом за развој потписани су споразуми о зајму за Пројекат Модернизација железничког сектора у Србији – прва фаза обухвата компоненту унапређења 150-200 путних прелаза у износу од 22 милиона евра (реализација се очекује токо</w:t>
      </w:r>
      <w:r>
        <w:rPr>
          <w:rFonts w:cs="Times New Roman"/>
          <w:szCs w:val="24"/>
          <w:lang w:val="sr-Cyrl-RS" w:eastAsia="sr-Cyrl-CS" w:bidi="sr-Cyrl-CS"/>
        </w:rPr>
        <w:t xml:space="preserve">м 2023. и 2024. године – </w:t>
      </w:r>
      <w:r>
        <w:rPr>
          <w:rFonts w:cs="Times New Roman"/>
          <w:szCs w:val="24"/>
          <w:lang w:val="sr-Cyrl-CS" w:eastAsia="sr-Cyrl-CS" w:bidi="sr-Cyrl-CS"/>
        </w:rPr>
        <w:t>остатак до 2026. године</w:t>
      </w:r>
      <w:r>
        <w:rPr>
          <w:rFonts w:cs="Times New Roman"/>
          <w:szCs w:val="24"/>
          <w:lang w:val="sr-Cyrl-RS" w:eastAsia="sr-Cyrl-CS" w:bidi="sr-Cyrl-CS"/>
        </w:rPr>
        <w:t xml:space="preserve">). </w:t>
      </w:r>
      <w:r w:rsidRPr="00D04BA4">
        <w:rPr>
          <w:rFonts w:cs="Times New Roman"/>
          <w:szCs w:val="24"/>
          <w:lang w:val="sr-Cyrl-RS" w:eastAsia="sr-Cyrl-CS" w:bidi="sr-Cyrl-CS"/>
        </w:rPr>
        <w:t>У вези са унапређењем ефикасности путничког саобраћаја, планира се повећање надокнаде за обавезу јавног превоза у путничком саобраћају у 2022. години из буџета од око 1,6 милион</w:t>
      </w:r>
      <w:r w:rsidRPr="00D04BA4">
        <w:rPr>
          <w:rFonts w:cs="Times New Roman"/>
          <w:szCs w:val="24"/>
          <w:lang w:val="sr-Latn-RS" w:eastAsia="sr-Cyrl-CS" w:bidi="sr-Cyrl-CS"/>
        </w:rPr>
        <w:t>a</w:t>
      </w:r>
      <w:r w:rsidRPr="00D04BA4">
        <w:rPr>
          <w:rFonts w:cs="Times New Roman"/>
          <w:szCs w:val="24"/>
          <w:lang w:val="sr-Cyrl-RS" w:eastAsia="sr-Cyrl-CS" w:bidi="sr-Cyrl-CS"/>
        </w:rPr>
        <w:t xml:space="preserve"> евра (остали трошкови ове активности не спадају у додатне).</w:t>
      </w:r>
    </w:p>
    <w:p w14:paraId="636896A4" w14:textId="77777777" w:rsidR="00DC7F92"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3E67EB45" w14:textId="77777777" w:rsidR="00DC7F92" w:rsidRPr="007B5945" w:rsidRDefault="00DC7F92" w:rsidP="002B64C7">
      <w:pPr>
        <w:widowControl w:val="0"/>
        <w:spacing w:after="60"/>
        <w:rPr>
          <w:rFonts w:cs="Times New Roman"/>
          <w:szCs w:val="24"/>
          <w:lang w:val="sr-Cyrl-RS" w:eastAsia="sr-Cyrl-CS" w:bidi="sr-Cyrl-CS"/>
        </w:rPr>
      </w:pPr>
      <w:r w:rsidRPr="007B5945">
        <w:rPr>
          <w:rFonts w:cs="Times New Roman"/>
          <w:szCs w:val="24"/>
          <w:lang w:val="sr-Cyrl-RS" w:eastAsia="sr-Cyrl-CS" w:bidi="sr-Cyrl-CS"/>
        </w:rPr>
        <w:t xml:space="preserve">Повећање привредних активности и рада привреде доприноси повећању броја запослених код учесника и корисника услуга у железничком саобраћају, што директно </w:t>
      </w:r>
      <w:r w:rsidRPr="007B5945">
        <w:rPr>
          <w:rFonts w:cs="Times New Roman"/>
          <w:szCs w:val="24"/>
          <w:lang w:val="sr-Cyrl-RS" w:eastAsia="sr-Cyrl-CS" w:bidi="sr-Cyrl-CS"/>
        </w:rPr>
        <w:lastRenderedPageBreak/>
        <w:t xml:space="preserve">утиче на смањење сиромаштва. Код повећања броја запослених у великој мери се узима у обзир родна равноправност. С друге стране, активно се прати утицај који </w:t>
      </w:r>
      <w:r>
        <w:rPr>
          <w:rFonts w:cs="Times New Roman"/>
          <w:szCs w:val="24"/>
          <w:lang w:val="sr-Cyrl-RS" w:eastAsia="sr-Cyrl-CS" w:bidi="sr-Cyrl-CS"/>
        </w:rPr>
        <w:t>Ковид</w:t>
      </w:r>
      <w:r w:rsidRPr="007B5945">
        <w:rPr>
          <w:rFonts w:cs="Times New Roman"/>
          <w:szCs w:val="24"/>
          <w:lang w:val="sr-Cyrl-RS" w:eastAsia="sr-Cyrl-CS" w:bidi="sr-Cyrl-CS"/>
        </w:rPr>
        <w:t>-19 има на привредне активности, са циљем да се његов утицај на железнички сектор сведе на најмању могућу меру.</w:t>
      </w:r>
    </w:p>
    <w:p w14:paraId="33B979CD" w14:textId="77777777" w:rsidR="00DC7F92"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6D828F1A" w14:textId="77777777" w:rsidR="00DC7F92" w:rsidRPr="00052674" w:rsidRDefault="00DC7F92" w:rsidP="002B64C7">
      <w:pPr>
        <w:widowControl w:val="0"/>
        <w:spacing w:after="60"/>
        <w:rPr>
          <w:rFonts w:cs="Times New Roman"/>
          <w:szCs w:val="24"/>
          <w:lang w:val="sr-Cyrl-RS" w:eastAsia="sr-Cyrl-CS" w:bidi="sr-Cyrl-CS"/>
        </w:rPr>
      </w:pPr>
      <w:r w:rsidRPr="00052674">
        <w:rPr>
          <w:rFonts w:cs="Times New Roman"/>
          <w:szCs w:val="24"/>
          <w:lang w:val="sr-Cyrl-RS" w:eastAsia="sr-Cyrl-CS" w:bidi="sr-Cyrl-CS"/>
        </w:rPr>
        <w:t>Унапређењем железнице као транспортног система, остварује се позитиван утицај на животну средину, имајући у виду да се железница сматра еколошки повољним, чак и „најчистијим“ видом превоза. Ова карактеристика железнице последица је њених техничких одлика, тј. да је за одређени утрошак енергије могуће превести већу количину робе и путника у односу на друге конкурентне видове превоза, али и због употребе електричне енергије као погонског горива. Из свих ових разлога повећање удела железнице на тржишту транспортних услуга директно доприноси остварењу Green Deal-а.</w:t>
      </w:r>
    </w:p>
    <w:p w14:paraId="44B8CC49" w14:textId="77777777"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5315D43E"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0081DF78"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1166B4FF"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2C3A492B"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1BA0AA1E" w14:textId="77777777" w:rsidTr="00DC7F92">
        <w:trPr>
          <w:trHeight w:val="429"/>
        </w:trPr>
        <w:tc>
          <w:tcPr>
            <w:tcW w:w="3329" w:type="dxa"/>
          </w:tcPr>
          <w:p w14:paraId="077C3A03" w14:textId="77777777" w:rsidR="00DC7F92" w:rsidRPr="00A6164C" w:rsidRDefault="00DC7F92" w:rsidP="006B76C3">
            <w:pPr>
              <w:spacing w:before="0" w:after="0"/>
              <w:ind w:left="113" w:right="113"/>
              <w:rPr>
                <w:rFonts w:cs="Times New Roman"/>
                <w:sz w:val="20"/>
                <w:lang w:val="sr-Cyrl-RS"/>
              </w:rPr>
            </w:pPr>
            <w:r w:rsidRPr="00486C2E">
              <w:rPr>
                <w:rFonts w:cs="Times New Roman"/>
                <w:sz w:val="18"/>
                <w:szCs w:val="24"/>
              </w:rPr>
              <w:t>Губитак робе и путника као последица великог обима радова на инфраструктури</w:t>
            </w:r>
            <w:r w:rsidRPr="00486C2E">
              <w:rPr>
                <w:rFonts w:cs="Times New Roman"/>
                <w:sz w:val="18"/>
                <w:szCs w:val="24"/>
                <w:lang w:val="sr-Cyrl-RS"/>
              </w:rPr>
              <w:t xml:space="preserve"> и утицаја </w:t>
            </w:r>
            <w:r>
              <w:rPr>
                <w:rFonts w:cs="Times New Roman"/>
                <w:sz w:val="18"/>
                <w:szCs w:val="24"/>
                <w:lang w:val="sr-Cyrl-RS"/>
              </w:rPr>
              <w:t>Ковид</w:t>
            </w:r>
            <w:r w:rsidRPr="00486C2E">
              <w:rPr>
                <w:rFonts w:cs="Times New Roman"/>
                <w:sz w:val="18"/>
                <w:szCs w:val="24"/>
                <w:lang w:val="sr-Latn-CS"/>
              </w:rPr>
              <w:t>-19</w:t>
            </w:r>
          </w:p>
        </w:tc>
        <w:tc>
          <w:tcPr>
            <w:tcW w:w="2200" w:type="dxa"/>
          </w:tcPr>
          <w:p w14:paraId="43CA3B0A" w14:textId="77777777" w:rsidR="00DC7F92" w:rsidRPr="00A6164C" w:rsidRDefault="00DC7F92" w:rsidP="006B76C3">
            <w:pPr>
              <w:spacing w:before="0" w:after="0"/>
              <w:ind w:left="113" w:right="113"/>
              <w:rPr>
                <w:rFonts w:cs="Times New Roman"/>
                <w:sz w:val="20"/>
                <w:lang w:val="sr-Cyrl-RS"/>
              </w:rPr>
            </w:pPr>
            <w:r>
              <w:rPr>
                <w:rFonts w:cs="Times New Roman"/>
                <w:sz w:val="18"/>
                <w:szCs w:val="24"/>
                <w:lang w:val="sr-Cyrl-RS"/>
              </w:rPr>
              <w:t>Висока</w:t>
            </w:r>
          </w:p>
        </w:tc>
        <w:tc>
          <w:tcPr>
            <w:tcW w:w="4165" w:type="dxa"/>
          </w:tcPr>
          <w:p w14:paraId="4047C015" w14:textId="77777777" w:rsidR="00DC7F92" w:rsidRPr="00A6164C" w:rsidRDefault="00DC7F92" w:rsidP="006B76C3">
            <w:pPr>
              <w:spacing w:before="0" w:after="0"/>
              <w:ind w:left="113" w:right="113"/>
              <w:rPr>
                <w:rFonts w:cs="Times New Roman"/>
                <w:sz w:val="20"/>
                <w:lang w:val="sr-Cyrl-RS"/>
              </w:rPr>
            </w:pPr>
            <w:r w:rsidRPr="00486C2E">
              <w:rPr>
                <w:rFonts w:cs="Times New Roman"/>
                <w:sz w:val="18"/>
                <w:szCs w:val="24"/>
              </w:rPr>
              <w:t>Ефикаснија реализација пројеката од стране ИЖС, обезбеђивање алтернативних превозних праваца</w:t>
            </w:r>
            <w:r w:rsidRPr="00486C2E">
              <w:rPr>
                <w:rFonts w:cs="Times New Roman"/>
                <w:sz w:val="18"/>
                <w:szCs w:val="24"/>
                <w:lang w:val="sr-Cyrl-RS"/>
              </w:rPr>
              <w:t xml:space="preserve"> и уклањање свих препрека како би се обављао саобраћај без застоја</w:t>
            </w:r>
            <w:r w:rsidRPr="00486C2E">
              <w:rPr>
                <w:rFonts w:cs="Times New Roman"/>
                <w:sz w:val="18"/>
                <w:szCs w:val="24"/>
                <w:lang w:val="sr-Latn-CS"/>
              </w:rPr>
              <w:t xml:space="preserve">, </w:t>
            </w:r>
            <w:r>
              <w:rPr>
                <w:rFonts w:cs="Times New Roman"/>
                <w:sz w:val="18"/>
                <w:szCs w:val="24"/>
              </w:rPr>
              <w:t>додатне активности за унапређење путничког саобраћаја</w:t>
            </w:r>
          </w:p>
        </w:tc>
      </w:tr>
      <w:bookmarkEnd w:id="39"/>
    </w:tbl>
    <w:p w14:paraId="743A01D3" w14:textId="77777777" w:rsidR="002B64C7" w:rsidRDefault="002B64C7" w:rsidP="00DC7F92">
      <w:pPr>
        <w:spacing w:before="120"/>
        <w:rPr>
          <w:rFonts w:cs="Times New Roman"/>
          <w:b/>
          <w:noProof/>
          <w:szCs w:val="24"/>
          <w:lang w:val="sr-Cyrl-RS"/>
        </w:rPr>
      </w:pPr>
    </w:p>
    <w:p w14:paraId="41AFA2D7" w14:textId="0C4FE2AA" w:rsidR="002B64C7" w:rsidRPr="00C32D10" w:rsidRDefault="006B76C3" w:rsidP="002B64C7">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0" w:name="_Toc89375542"/>
      <w:r>
        <w:rPr>
          <w:rFonts w:eastAsiaTheme="majorEastAsia" w:cs="Times New Roman"/>
          <w:b/>
          <w:noProof/>
          <w:szCs w:val="24"/>
          <w:lang w:val="sr-Cyrl-RS"/>
        </w:rPr>
        <w:t>5.2</w:t>
      </w:r>
      <w:r w:rsidR="002B64C7" w:rsidRPr="00732FF0">
        <w:rPr>
          <w:rFonts w:eastAsiaTheme="majorEastAsia" w:cs="Times New Roman"/>
          <w:b/>
          <w:noProof/>
          <w:szCs w:val="24"/>
          <w:lang w:val="sr-Cyrl-RS"/>
        </w:rPr>
        <w:t>.9. Област ПОЉОПРИВРЕДА, ИНДУСТРИЈА И УСЛУГЕ</w:t>
      </w:r>
      <w:bookmarkEnd w:id="40"/>
    </w:p>
    <w:p w14:paraId="228A9741" w14:textId="280E6900" w:rsidR="00DC7F92" w:rsidRPr="00C32D10" w:rsidRDefault="00DC7F92" w:rsidP="00DC7F92">
      <w:pPr>
        <w:spacing w:before="120"/>
        <w:rPr>
          <w:rFonts w:cs="Times New Roman"/>
          <w:noProof/>
          <w:szCs w:val="24"/>
          <w:lang w:val="sr-Cyrl-RS"/>
        </w:rPr>
      </w:pPr>
      <w:r w:rsidRPr="00C32D10">
        <w:rPr>
          <w:rFonts w:cs="Times New Roman"/>
          <w:b/>
          <w:noProof/>
          <w:szCs w:val="24"/>
          <w:lang w:val="sr-Cyrl-RS"/>
        </w:rPr>
        <w:t>а) Анализа главних препрека</w:t>
      </w:r>
    </w:p>
    <w:p w14:paraId="39D96F28" w14:textId="77777777" w:rsidR="00DC7F92" w:rsidRPr="00C32D10" w:rsidRDefault="00DC7F92" w:rsidP="002B64C7">
      <w:pPr>
        <w:widowControl w:val="0"/>
        <w:spacing w:after="60"/>
        <w:rPr>
          <w:rFonts w:eastAsia="Times New Roman" w:cs="Times New Roman"/>
          <w:noProof/>
          <w:szCs w:val="24"/>
          <w:lang w:val="sr-Cyrl-RS"/>
        </w:rPr>
      </w:pPr>
      <w:r w:rsidRPr="00364794">
        <w:rPr>
          <w:rFonts w:cs="Times New Roman"/>
          <w:b/>
          <w:noProof/>
          <w:szCs w:val="24"/>
          <w:lang w:val="sr-Cyrl-RS"/>
        </w:rPr>
        <w:t>Релативно високо учешће БДВ сектора пољопривреде, шумарства и рибарства и производње прехрамбених производа у укупном БДП</w:t>
      </w:r>
      <w:r w:rsidRPr="00364794">
        <w:rPr>
          <w:rFonts w:cs="Times New Roman"/>
          <w:noProof/>
          <w:szCs w:val="24"/>
          <w:lang w:val="sr-Cyrl-RS"/>
        </w:rPr>
        <w:t xml:space="preserve"> Србије (6,0% и 2,3% у 2019. и 6,3% и 2,4% у 2020</w:t>
      </w:r>
      <w:r w:rsidRPr="00C32D10">
        <w:rPr>
          <w:rFonts w:cs="Times New Roman"/>
          <w:noProof/>
          <w:szCs w:val="24"/>
          <w:lang w:val="sr-Cyrl-RS"/>
        </w:rPr>
        <w:t>. години</w:t>
      </w:r>
      <w:r>
        <w:rPr>
          <w:rFonts w:cs="Times New Roman"/>
          <w:noProof/>
          <w:szCs w:val="24"/>
          <w:lang w:val="sr-Cyrl-RS"/>
        </w:rPr>
        <w:t xml:space="preserve">) </w:t>
      </w:r>
      <w:r w:rsidRPr="00C32D10">
        <w:rPr>
          <w:rFonts w:eastAsia="Times New Roman" w:cs="Times New Roman"/>
          <w:noProof/>
          <w:szCs w:val="24"/>
          <w:lang w:val="sr-Cyrl-RS"/>
        </w:rPr>
        <w:t xml:space="preserve">делимично је одраз повољних природних услова (географска позиција, природна богатства, климатски фактор) и ресурса за пољопривредну производњу (коришћено пољопривредно земљиште чини око 40% територије), али и последица ниског технолошког нивоа остатка привреде. Пољопривредни потенцијал није у потпуности искоришћен услед недовољне технолошке развијености у свим пољопривредним гранама и слабе насељености руралног подручја. </w:t>
      </w:r>
    </w:p>
    <w:p w14:paraId="658A2380" w14:textId="77777777" w:rsidR="00DC7F92" w:rsidRPr="00C32D10" w:rsidRDefault="00DC7F92" w:rsidP="002B64C7">
      <w:pPr>
        <w:spacing w:after="60"/>
        <w:rPr>
          <w:rFonts w:eastAsia="Times New Roman" w:cs="Times New Roman"/>
          <w:noProof/>
          <w:szCs w:val="24"/>
          <w:lang w:val="sr-Cyrl-RS"/>
        </w:rPr>
      </w:pPr>
      <w:r w:rsidRPr="00C32D10">
        <w:rPr>
          <w:rFonts w:eastAsia="Times New Roman" w:cs="Times New Roman"/>
          <w:b/>
          <w:noProof/>
          <w:szCs w:val="24"/>
          <w:lang w:val="sr-Cyrl-RS"/>
        </w:rPr>
        <w:t>У пољопривреди ради око 16,9% укупног броја запослених у 2020. години</w:t>
      </w:r>
      <w:r w:rsidRPr="00C32D10">
        <w:rPr>
          <w:rFonts w:eastAsia="Times New Roman" w:cs="Times New Roman"/>
          <w:noProof/>
          <w:szCs w:val="24"/>
          <w:lang w:val="sr-Cyrl-RS"/>
        </w:rPr>
        <w:t xml:space="preserve"> (188,3 хиљада формално запослених, али и 233,1 хиљада неформално запослених)</w:t>
      </w:r>
      <w:r w:rsidRPr="00C32D10">
        <w:rPr>
          <w:rStyle w:val="FootnoteReference"/>
          <w:rFonts w:eastAsia="Times New Roman" w:cs="Times New Roman"/>
          <w:noProof/>
          <w:lang w:val="sr-Cyrl-RS"/>
        </w:rPr>
        <w:footnoteReference w:id="100"/>
      </w:r>
      <w:r w:rsidRPr="00C32D10">
        <w:rPr>
          <w:rFonts w:eastAsia="Times New Roman" w:cs="Times New Roman"/>
          <w:noProof/>
          <w:szCs w:val="24"/>
          <w:lang w:val="sr-Cyrl-RS"/>
        </w:rPr>
        <w:t>. Због посебних карактеристика и услова сезонског рада у сектору пољопривреде, шумарства и рибарства, нови законски пропис омогућава поједностављен начин радног ангажовања лица и плаћања пореза и доприноса за рад на пословима који су сезонског карактера у овој делатности.</w:t>
      </w:r>
    </w:p>
    <w:p w14:paraId="7F80DAC2" w14:textId="77777777" w:rsidR="00DC7F92" w:rsidRDefault="00DC7F92" w:rsidP="002B64C7">
      <w:pPr>
        <w:pStyle w:val="Standard"/>
        <w:spacing w:after="60"/>
        <w:jc w:val="both"/>
        <w:rPr>
          <w:lang w:val="sr-Cyrl-RS"/>
        </w:rPr>
      </w:pPr>
      <w:r>
        <w:rPr>
          <w:lang w:val="sr-Cyrl-RS"/>
        </w:rPr>
        <w:t xml:space="preserve">Остварена </w:t>
      </w:r>
      <w:r>
        <w:rPr>
          <w:b/>
          <w:bCs/>
          <w:lang w:val="sr-Cyrl-RS"/>
        </w:rPr>
        <w:t>вредност извоза пољопривредно-прехрамбених производа</w:t>
      </w:r>
      <w:r>
        <w:rPr>
          <w:lang w:val="sr-Cyrl-RS"/>
        </w:rPr>
        <w:t xml:space="preserve"> износила је близу </w:t>
      </w:r>
      <w:r>
        <w:rPr>
          <w:b/>
          <w:bCs/>
          <w:lang w:val="sr-Cyrl-RS"/>
        </w:rPr>
        <w:t>3,7 млрд.</w:t>
      </w:r>
      <w:r>
        <w:rPr>
          <w:lang w:val="sr-Cyrl-RS"/>
        </w:rPr>
        <w:t xml:space="preserve"> </w:t>
      </w:r>
      <w:r>
        <w:rPr>
          <w:b/>
          <w:bCs/>
          <w:lang w:val="sr-Cyrl-RS"/>
        </w:rPr>
        <w:t>евра у 2020.</w:t>
      </w:r>
      <w:r>
        <w:rPr>
          <w:lang w:val="sr-Cyrl-RS"/>
        </w:rPr>
        <w:t xml:space="preserve"> </w:t>
      </w:r>
      <w:r w:rsidRPr="00AF2C3C">
        <w:rPr>
          <w:b/>
          <w:lang w:val="sr-Cyrl-RS"/>
        </w:rPr>
        <w:t>години</w:t>
      </w:r>
      <w:r>
        <w:rPr>
          <w:lang w:val="sr-Cyrl-RS"/>
        </w:rPr>
        <w:t xml:space="preserve"> и за 12,3% је већа од остварене вредности извоза у 2019. години, односно 25,8% у односу на петогодишњи просек (2015–2019). Истовремено, остварена вредност увоза пољопривредно-прехрамбених производа износила је око 2 млрд. евра, што је више за 8,3% мг, док је у односу на петогодишњи просек (2015-2019) већа за 25,6%. </w:t>
      </w:r>
      <w:r>
        <w:rPr>
          <w:b/>
          <w:bCs/>
          <w:lang w:val="sr-Cyrl-RS"/>
        </w:rPr>
        <w:t>Тренд раста суфицита</w:t>
      </w:r>
      <w:r>
        <w:rPr>
          <w:lang w:val="sr-Cyrl-RS"/>
        </w:rPr>
        <w:t xml:space="preserve"> у размени пољопривредно-прехрамбених производа настављен је и током 2020. године, уз остварену вредност од </w:t>
      </w:r>
      <w:r>
        <w:rPr>
          <w:lang w:val="sr-Cyrl-RS"/>
        </w:rPr>
        <w:lastRenderedPageBreak/>
        <w:t>око 1,6 млрд. евра, што је до сада највећи остварен суфицит у размени  (у односу на 2015. годину већи је за скоро 40%). Степен покривености увоза извозом пољопривредних и прехрамбених производа износио је 179,7% у 2020.</w:t>
      </w:r>
    </w:p>
    <w:p w14:paraId="0D554EF3" w14:textId="77777777" w:rsidR="00DC7F92" w:rsidRPr="00C32D10" w:rsidRDefault="00DC7F92" w:rsidP="002B64C7">
      <w:pPr>
        <w:spacing w:after="60"/>
        <w:rPr>
          <w:rFonts w:eastAsia="Times New Roman" w:cs="Times New Roman"/>
          <w:noProof/>
          <w:szCs w:val="24"/>
          <w:lang w:val="sr-Cyrl-RS"/>
        </w:rPr>
      </w:pPr>
      <w:r w:rsidRPr="00C32D10">
        <w:rPr>
          <w:rFonts w:eastAsia="Times New Roman" w:cs="Times New Roman"/>
          <w:noProof/>
          <w:szCs w:val="24"/>
          <w:lang w:val="sr-Cyrl-RS"/>
        </w:rPr>
        <w:t xml:space="preserve">Иако је </w:t>
      </w:r>
      <w:r w:rsidRPr="00C32D10">
        <w:rPr>
          <w:rFonts w:eastAsia="Times New Roman" w:cs="Times New Roman"/>
          <w:b/>
          <w:noProof/>
          <w:szCs w:val="24"/>
          <w:lang w:val="sr-Cyrl-RS"/>
        </w:rPr>
        <w:t>диверсификација</w:t>
      </w:r>
      <w:r w:rsidRPr="00C32D10">
        <w:rPr>
          <w:rFonts w:eastAsia="Times New Roman" w:cs="Times New Roman"/>
          <w:noProof/>
          <w:szCs w:val="24"/>
          <w:lang w:val="sr-Cyrl-RS"/>
        </w:rPr>
        <w:t xml:space="preserve"> дефинисана стратешким оквиром за рурални развој Србије, </w:t>
      </w:r>
      <w:r w:rsidRPr="00C32D10">
        <w:rPr>
          <w:rFonts w:eastAsia="Times New Roman" w:cs="Times New Roman"/>
          <w:b/>
          <w:noProof/>
          <w:szCs w:val="24"/>
          <w:lang w:val="sr-Cyrl-RS"/>
        </w:rPr>
        <w:t>још није достигнут ниво инфраструктуре који може да подржи проширење тржишне понуде из пољопривредног сектора.</w:t>
      </w:r>
      <w:r w:rsidRPr="00C32D10">
        <w:rPr>
          <w:rFonts w:eastAsia="Times New Roman" w:cs="Times New Roman"/>
          <w:noProof/>
          <w:szCs w:val="24"/>
          <w:lang w:val="sr-Cyrl-RS"/>
        </w:rPr>
        <w:t xml:space="preserve"> Први јавни позив за подношење захтева за одобравање пројекта за ИПАРД подстицаје за диверсификацију пољопривредних газдинстава и развој пословања објављен је у 2020. години.</w:t>
      </w:r>
    </w:p>
    <w:p w14:paraId="1CC2672B" w14:textId="77777777" w:rsidR="00DC7F92" w:rsidRPr="00C32D10" w:rsidRDefault="00DC7F92" w:rsidP="002B64C7">
      <w:pPr>
        <w:spacing w:after="60"/>
        <w:rPr>
          <w:rFonts w:cs="Times New Roman"/>
          <w:noProof/>
          <w:szCs w:val="24"/>
          <w:lang w:val="sr-Cyrl-RS"/>
        </w:rPr>
      </w:pPr>
      <w:r w:rsidRPr="00C32D10">
        <w:rPr>
          <w:rFonts w:cs="Times New Roman"/>
          <w:b/>
          <w:noProof/>
          <w:szCs w:val="24"/>
          <w:lang w:val="sr-Cyrl-RS"/>
        </w:rPr>
        <w:t>Eкономска слабост највећег броја пољопривредних субјеката уз постојање ниске техничко-технолошке опремљености представља главни изазов на путу развоја пољопривредне делатности у Србији</w:t>
      </w:r>
      <w:r w:rsidRPr="00C32D10">
        <w:rPr>
          <w:rFonts w:cs="Times New Roman"/>
          <w:noProof/>
          <w:szCs w:val="24"/>
          <w:lang w:val="sr-Cyrl-RS"/>
        </w:rPr>
        <w:t xml:space="preserve"> (газдинстава и других правних облика). Највећи број газдинстава је мале или средње величине и практикује екстензивну производњу, без специјализоване производње у одређеном сектору. Газдинства до 5 ha чине 71,47% укупног броја, док је просечна површина коришћеног пољопривредног земљишта на нивоу Србије 6,16 ha</w:t>
      </w:r>
      <w:r w:rsidRPr="00C32D10">
        <w:rPr>
          <w:rStyle w:val="FootnoteReference"/>
          <w:rFonts w:cs="Times New Roman"/>
          <w:noProof/>
          <w:lang w:val="sr-Cyrl-RS"/>
        </w:rPr>
        <w:footnoteReference w:id="101"/>
      </w:r>
      <w:r w:rsidRPr="00C32D10">
        <w:rPr>
          <w:rFonts w:cs="Times New Roman"/>
          <w:noProof/>
          <w:szCs w:val="24"/>
          <w:lang w:val="sr-Cyrl-RS"/>
        </w:rPr>
        <w:t xml:space="preserve">. Фарме таквог просека су премале да би биле конкурентне, како за директну продају на европском тржишту, тако и за продају сировина за прераду. На неефикасност процеса комасације који је регулисан </w:t>
      </w:r>
      <w:r w:rsidRPr="00C32D10">
        <w:rPr>
          <w:rFonts w:cs="Times New Roman"/>
          <w:i/>
          <w:noProof/>
          <w:szCs w:val="24"/>
          <w:lang w:val="sr-Cyrl-RS"/>
        </w:rPr>
        <w:t>Законом о пољопривредном земљишту</w:t>
      </w:r>
      <w:r w:rsidRPr="00C32D10">
        <w:rPr>
          <w:rFonts w:cs="Times New Roman"/>
          <w:noProof/>
          <w:szCs w:val="24"/>
          <w:lang w:val="sr-Cyrl-RS"/>
        </w:rPr>
        <w:t xml:space="preserve"> </w:t>
      </w:r>
      <w:r>
        <w:rPr>
          <w:rFonts w:cs="Times New Roman"/>
          <w:noProof/>
          <w:szCs w:val="24"/>
          <w:lang w:val="sr-Cyrl-RS"/>
        </w:rPr>
        <w:t>(„Службени гласник</w:t>
      </w:r>
      <w:r w:rsidRPr="00C32D10">
        <w:rPr>
          <w:rFonts w:cs="Times New Roman"/>
          <w:noProof/>
          <w:szCs w:val="24"/>
          <w:lang w:val="sr-Cyrl-RS"/>
        </w:rPr>
        <w:t xml:space="preserve"> </w:t>
      </w:r>
      <w:r>
        <w:rPr>
          <w:rFonts w:cs="Times New Roman"/>
          <w:noProof/>
          <w:szCs w:val="24"/>
          <w:lang w:val="sr-Cyrl-RS"/>
        </w:rPr>
        <w:t xml:space="preserve">РС“, бр. </w:t>
      </w:r>
      <w:r w:rsidRPr="00C32D10">
        <w:rPr>
          <w:rFonts w:cs="Times New Roman"/>
          <w:noProof/>
          <w:szCs w:val="24"/>
          <w:lang w:val="sr-Cyrl-RS"/>
        </w:rPr>
        <w:t>95/</w:t>
      </w:r>
      <w:r>
        <w:rPr>
          <w:rFonts w:cs="Times New Roman"/>
          <w:noProof/>
          <w:szCs w:val="24"/>
          <w:lang w:val="sr-Cyrl-RS"/>
        </w:rPr>
        <w:t>20</w:t>
      </w:r>
      <w:r w:rsidRPr="00C32D10">
        <w:rPr>
          <w:rFonts w:cs="Times New Roman"/>
          <w:noProof/>
          <w:szCs w:val="24"/>
          <w:lang w:val="sr-Cyrl-RS"/>
        </w:rPr>
        <w:t>18</w:t>
      </w:r>
      <w:r>
        <w:rPr>
          <w:rFonts w:cs="Times New Roman"/>
          <w:noProof/>
          <w:szCs w:val="24"/>
          <w:lang w:val="sr-Cyrl-RS"/>
        </w:rPr>
        <w:t>)</w:t>
      </w:r>
      <w:r w:rsidRPr="00C32D10">
        <w:rPr>
          <w:rFonts w:cs="Times New Roman"/>
          <w:noProof/>
          <w:szCs w:val="24"/>
          <w:lang w:val="sr-Cyrl-RS"/>
        </w:rPr>
        <w:t xml:space="preserve"> указује просечно трајање поступка од усвајања програма комасације од стране скупштине ЈЛС до увођења власника у посед за комасациона подручја које износи око 3 године и 4 месеца</w:t>
      </w:r>
      <w:r w:rsidRPr="00C32D10">
        <w:rPr>
          <w:rStyle w:val="FootnoteReference"/>
          <w:rFonts w:cs="Times New Roman"/>
          <w:noProof/>
          <w:lang w:val="sr-Cyrl-RS"/>
        </w:rPr>
        <w:footnoteReference w:id="102"/>
      </w:r>
      <w:r w:rsidRPr="00C32D10">
        <w:rPr>
          <w:rFonts w:cs="Times New Roman"/>
          <w:noProof/>
          <w:szCs w:val="24"/>
          <w:lang w:val="sr-Cyrl-RS"/>
        </w:rPr>
        <w:t>. Због уситњених поседа, значајан удео обрадивог земљишта остаје необрађен, што одвраћа инвестиције у пољопривреду, кочи раст продуктивности и отежава запошљавање</w:t>
      </w:r>
      <w:r>
        <w:rPr>
          <w:rFonts w:cs="Times New Roman"/>
          <w:noProof/>
          <w:szCs w:val="24"/>
          <w:lang w:val="sr-Cyrl-RS"/>
        </w:rPr>
        <w:t xml:space="preserve"> (усвајање новог </w:t>
      </w:r>
      <w:r w:rsidRPr="006544ED">
        <w:rPr>
          <w:rFonts w:cs="Times New Roman"/>
          <w:i/>
          <w:noProof/>
          <w:szCs w:val="24"/>
          <w:lang w:val="sr-Cyrl-RS"/>
        </w:rPr>
        <w:t>Закона о пољопривредном земљишту</w:t>
      </w:r>
      <w:r>
        <w:rPr>
          <w:rFonts w:cs="Times New Roman"/>
          <w:noProof/>
          <w:szCs w:val="24"/>
          <w:lang w:val="sr-Cyrl-RS"/>
        </w:rPr>
        <w:t xml:space="preserve"> и </w:t>
      </w:r>
      <w:r w:rsidRPr="006544ED">
        <w:rPr>
          <w:rFonts w:cs="Times New Roman"/>
          <w:i/>
          <w:noProof/>
          <w:szCs w:val="24"/>
          <w:lang w:val="sr-Cyrl-RS"/>
        </w:rPr>
        <w:t>Закона о комасацији</w:t>
      </w:r>
      <w:r>
        <w:rPr>
          <w:rFonts w:cs="Times New Roman"/>
          <w:noProof/>
          <w:szCs w:val="24"/>
          <w:lang w:val="sr-Cyrl-RS"/>
        </w:rPr>
        <w:t xml:space="preserve"> очекује се до краја 2021. године). Нето прилив </w:t>
      </w:r>
      <w:r w:rsidRPr="00C32D10">
        <w:rPr>
          <w:rFonts w:cs="Times New Roman"/>
          <w:noProof/>
          <w:szCs w:val="24"/>
          <w:lang w:val="sr-Cyrl-RS"/>
        </w:rPr>
        <w:t xml:space="preserve">СДИ </w:t>
      </w:r>
      <w:r>
        <w:rPr>
          <w:rFonts w:cs="Times New Roman"/>
          <w:noProof/>
          <w:szCs w:val="24"/>
          <w:lang w:val="sr-Cyrl-RS"/>
        </w:rPr>
        <w:t xml:space="preserve">у пољопривреду током првог полугодишта 2021. године износио је </w:t>
      </w:r>
      <w:r w:rsidRPr="00FE0480">
        <w:rPr>
          <w:rFonts w:cs="Times New Roman"/>
          <w:noProof/>
          <w:szCs w:val="24"/>
          <w:lang w:val="sr-Cyrl-RS"/>
        </w:rPr>
        <w:t>17,1 мил</w:t>
      </w:r>
      <w:r>
        <w:rPr>
          <w:rFonts w:cs="Times New Roman"/>
          <w:noProof/>
          <w:szCs w:val="24"/>
          <w:lang w:val="sr-Cyrl-RS"/>
        </w:rPr>
        <w:t>иона</w:t>
      </w:r>
      <w:r w:rsidRPr="00FE0480">
        <w:rPr>
          <w:rFonts w:cs="Times New Roman"/>
          <w:noProof/>
          <w:szCs w:val="24"/>
          <w:lang w:val="sr-Cyrl-RS"/>
        </w:rPr>
        <w:t xml:space="preserve"> </w:t>
      </w:r>
      <w:r>
        <w:rPr>
          <w:rFonts w:cs="Times New Roman"/>
          <w:noProof/>
          <w:szCs w:val="24"/>
          <w:lang w:val="sr-Cyrl-RS"/>
        </w:rPr>
        <w:t>евра (што је за 3,4 милиона евра</w:t>
      </w:r>
      <w:r w:rsidRPr="00FE0480">
        <w:rPr>
          <w:rFonts w:cs="Times New Roman"/>
          <w:noProof/>
          <w:szCs w:val="24"/>
          <w:lang w:val="sr-Cyrl-RS"/>
        </w:rPr>
        <w:t xml:space="preserve"> </w:t>
      </w:r>
      <w:r w:rsidRPr="00C44ED1">
        <w:rPr>
          <w:rFonts w:cs="Times New Roman"/>
          <w:noProof/>
          <w:szCs w:val="24"/>
          <w:lang w:val="sr-Cyrl-RS"/>
        </w:rPr>
        <w:t>мање у односу на исти период претходне године),</w:t>
      </w:r>
      <w:r w:rsidRPr="00C32D10">
        <w:rPr>
          <w:rFonts w:cs="Times New Roman"/>
          <w:noProof/>
          <w:szCs w:val="24"/>
          <w:lang w:val="sr-Cyrl-RS"/>
        </w:rPr>
        <w:t xml:space="preserve"> односно 0,</w:t>
      </w:r>
      <w:r>
        <w:rPr>
          <w:rFonts w:cs="Times New Roman"/>
          <w:noProof/>
          <w:szCs w:val="24"/>
          <w:lang w:val="sr-Cyrl-RS"/>
        </w:rPr>
        <w:t>97</w:t>
      </w:r>
      <w:r w:rsidRPr="00C32D10">
        <w:rPr>
          <w:rFonts w:cs="Times New Roman"/>
          <w:noProof/>
          <w:szCs w:val="24"/>
          <w:lang w:val="sr-Cyrl-RS"/>
        </w:rPr>
        <w:t>%</w:t>
      </w:r>
      <w:r>
        <w:rPr>
          <w:rFonts w:cs="Times New Roman"/>
          <w:noProof/>
          <w:szCs w:val="24"/>
          <w:lang w:val="sr-Cyrl-RS"/>
        </w:rPr>
        <w:t xml:space="preserve"> </w:t>
      </w:r>
      <w:r w:rsidRPr="00C32D10">
        <w:rPr>
          <w:rFonts w:cs="Times New Roman"/>
          <w:noProof/>
          <w:szCs w:val="24"/>
          <w:lang w:val="sr-Cyrl-RS"/>
        </w:rPr>
        <w:t xml:space="preserve">укупног </w:t>
      </w:r>
      <w:r>
        <w:rPr>
          <w:rFonts w:cs="Times New Roman"/>
          <w:noProof/>
          <w:szCs w:val="24"/>
          <w:lang w:val="sr-Cyrl-RS"/>
        </w:rPr>
        <w:t>прилива</w:t>
      </w:r>
      <w:r w:rsidRPr="00C32D10">
        <w:rPr>
          <w:rFonts w:cs="Times New Roman"/>
          <w:noProof/>
          <w:szCs w:val="24"/>
          <w:lang w:val="sr-Cyrl-RS"/>
        </w:rPr>
        <w:t xml:space="preserve"> СДИ </w:t>
      </w:r>
      <w:r>
        <w:rPr>
          <w:rFonts w:cs="Times New Roman"/>
          <w:noProof/>
          <w:szCs w:val="24"/>
          <w:lang w:val="sr-Cyrl-RS"/>
        </w:rPr>
        <w:t>у Србију, што показује да овај сектор није довољно привлачан за стране инвеститоре.</w:t>
      </w:r>
    </w:p>
    <w:p w14:paraId="68FC9A82" w14:textId="77777777" w:rsidR="00DC7F92" w:rsidRPr="00C32D10" w:rsidRDefault="00DC7F92" w:rsidP="002B64C7">
      <w:pPr>
        <w:spacing w:after="60"/>
        <w:rPr>
          <w:rFonts w:cs="Times New Roman"/>
          <w:noProof/>
          <w:szCs w:val="24"/>
          <w:lang w:val="sr-Cyrl-RS"/>
        </w:rPr>
      </w:pPr>
      <w:r w:rsidRPr="00C32D10">
        <w:rPr>
          <w:rFonts w:cs="Times New Roman"/>
          <w:b/>
          <w:noProof/>
          <w:szCs w:val="24"/>
          <w:lang w:val="sr-Cyrl-RS"/>
        </w:rPr>
        <w:t xml:space="preserve">Смањење броја сеоског становништва и исељавање младих последица је лошег економског положаја руралног становништва и неповољних инфраструктурних услова. </w:t>
      </w:r>
      <w:r w:rsidRPr="00C32D10">
        <w:rPr>
          <w:rFonts w:cs="Times New Roman"/>
          <w:noProof/>
          <w:szCs w:val="24"/>
          <w:lang w:val="sr-Cyrl-RS"/>
        </w:rPr>
        <w:t xml:space="preserve">Код спровођења националних мера подршке руралном развоју, као и код акредитованих ИПАРД мера које се тренутно спроводе, млади пољопривредници имају предност када се врши бодовање и рангирање пројеката/корисника. </w:t>
      </w:r>
      <w:r w:rsidRPr="00305ECD">
        <w:rPr>
          <w:rFonts w:cs="Times New Roman"/>
          <w:i/>
          <w:noProof/>
          <w:szCs w:val="24"/>
          <w:lang w:val="sr-Cyrl-RS"/>
        </w:rPr>
        <w:t>Уредбом о расподели подстицаја у пољопривреди и руралном развоју</w:t>
      </w:r>
      <w:r>
        <w:rPr>
          <w:rFonts w:cs="Times New Roman"/>
          <w:noProof/>
          <w:szCs w:val="24"/>
        </w:rPr>
        <w:t xml:space="preserve"> у</w:t>
      </w:r>
      <w:r>
        <w:rPr>
          <w:rFonts w:cs="Times New Roman"/>
          <w:noProof/>
          <w:szCs w:val="24"/>
          <w:lang w:val="sr-Cyrl-RS"/>
        </w:rPr>
        <w:t xml:space="preserve"> 2021. години</w:t>
      </w:r>
      <w:r w:rsidRPr="00C32D10">
        <w:rPr>
          <w:rFonts w:cs="Times New Roman"/>
          <w:noProof/>
          <w:szCs w:val="24"/>
          <w:lang w:val="sr-Cyrl-RS"/>
        </w:rPr>
        <w:t xml:space="preserve"> </w:t>
      </w:r>
      <w:r>
        <w:rPr>
          <w:rFonts w:cs="Times New Roman"/>
          <w:noProof/>
          <w:szCs w:val="24"/>
          <w:lang w:val="sr-Cyrl-RS"/>
        </w:rPr>
        <w:t xml:space="preserve">(„Службени гласник РС“, бр. 64/2021) </w:t>
      </w:r>
      <w:r w:rsidRPr="00C32D10">
        <w:rPr>
          <w:rFonts w:cs="Times New Roman"/>
          <w:noProof/>
          <w:szCs w:val="24"/>
          <w:lang w:val="sr-Cyrl-RS"/>
        </w:rPr>
        <w:t>за подршку младим пољо</w:t>
      </w:r>
      <w:r>
        <w:rPr>
          <w:rFonts w:cs="Times New Roman"/>
          <w:noProof/>
          <w:szCs w:val="24"/>
          <w:lang w:val="sr-Cyrl-RS"/>
        </w:rPr>
        <w:t>привредницима опредељено је 5,8</w:t>
      </w:r>
      <w:r w:rsidRPr="00C32D10">
        <w:rPr>
          <w:rFonts w:cs="Times New Roman"/>
          <w:noProof/>
          <w:szCs w:val="24"/>
          <w:lang w:val="sr-Cyrl-RS"/>
        </w:rPr>
        <w:t xml:space="preserve"> мил</w:t>
      </w:r>
      <w:r>
        <w:rPr>
          <w:rFonts w:cs="Times New Roman"/>
          <w:noProof/>
          <w:szCs w:val="24"/>
          <w:lang w:val="sr-Cyrl-RS"/>
        </w:rPr>
        <w:t>. евра (1,7 милиона евра у 2020. години)</w:t>
      </w:r>
      <w:r w:rsidRPr="00C32D10">
        <w:rPr>
          <w:rFonts w:cs="Times New Roman"/>
          <w:noProof/>
          <w:szCs w:val="24"/>
          <w:lang w:val="sr-Cyrl-RS"/>
        </w:rPr>
        <w:t>.</w:t>
      </w:r>
    </w:p>
    <w:p w14:paraId="3DC06EC7" w14:textId="77777777" w:rsidR="00DC7F92" w:rsidRDefault="00DC7F92" w:rsidP="002B64C7">
      <w:pPr>
        <w:spacing w:after="60"/>
        <w:rPr>
          <w:rFonts w:cs="Times New Roman"/>
          <w:noProof/>
          <w:szCs w:val="24"/>
          <w:lang w:val="sr-Cyrl-RS"/>
        </w:rPr>
      </w:pPr>
      <w:r w:rsidRPr="00C32D10">
        <w:rPr>
          <w:rFonts w:cs="Times New Roman"/>
          <w:b/>
          <w:noProof/>
          <w:szCs w:val="24"/>
          <w:lang w:val="sr-Cyrl-RS"/>
        </w:rPr>
        <w:t>Учешће наводњаваних површина је ниско (око 4,6%</w:t>
      </w:r>
      <w:r w:rsidRPr="00C32D10">
        <w:rPr>
          <w:rStyle w:val="FootnoteReference"/>
          <w:rFonts w:cs="Times New Roman"/>
          <w:b/>
          <w:noProof/>
          <w:szCs w:val="24"/>
          <w:lang w:val="sr-Cyrl-RS"/>
        </w:rPr>
        <w:footnoteReference w:id="103"/>
      </w:r>
      <w:r w:rsidRPr="00C32D10">
        <w:rPr>
          <w:rFonts w:cs="Times New Roman"/>
          <w:b/>
          <w:noProof/>
          <w:szCs w:val="24"/>
          <w:lang w:val="sr-Cyrl-RS"/>
        </w:rPr>
        <w:t xml:space="preserve"> укупне површине коришћеног пољопривредног земљишта)</w:t>
      </w:r>
      <w:r w:rsidRPr="00C32D10">
        <w:rPr>
          <w:rFonts w:cs="Times New Roman"/>
          <w:noProof/>
          <w:szCs w:val="24"/>
          <w:lang w:val="sr-Cyrl-RS"/>
        </w:rPr>
        <w:t xml:space="preserve">, али су у претходном периоду, од 2017. године, </w:t>
      </w:r>
      <w:r w:rsidRPr="00C32D10">
        <w:rPr>
          <w:rFonts w:cs="Times New Roman"/>
          <w:b/>
          <w:noProof/>
          <w:szCs w:val="24"/>
          <w:lang w:val="sr-Cyrl-RS"/>
        </w:rPr>
        <w:t xml:space="preserve">завршени радови </w:t>
      </w:r>
      <w:r w:rsidRPr="00C32D10">
        <w:rPr>
          <w:rFonts w:cs="Times New Roman"/>
          <w:noProof/>
          <w:szCs w:val="24"/>
          <w:lang w:val="sr-Cyrl-RS"/>
        </w:rPr>
        <w:t xml:space="preserve">који стварају услове за </w:t>
      </w:r>
      <w:r w:rsidRPr="00C32D10">
        <w:rPr>
          <w:rFonts w:cs="Times New Roman"/>
          <w:b/>
          <w:noProof/>
          <w:szCs w:val="24"/>
          <w:lang w:val="sr-Cyrl-RS"/>
        </w:rPr>
        <w:t>наводњавање око 47.954 ha</w:t>
      </w:r>
      <w:r w:rsidRPr="00C32D10">
        <w:rPr>
          <w:rFonts w:cs="Times New Roman"/>
          <w:noProof/>
          <w:szCs w:val="24"/>
          <w:lang w:val="sr-Cyrl-RS"/>
        </w:rPr>
        <w:t xml:space="preserve"> додатних површина пољопривредног земљишта. </w:t>
      </w:r>
      <w:r>
        <w:rPr>
          <w:rFonts w:cs="Times New Roman"/>
          <w:noProof/>
          <w:szCs w:val="24"/>
          <w:lang w:val="sr-Cyrl-RS"/>
        </w:rPr>
        <w:t>Кроз</w:t>
      </w:r>
      <w:r w:rsidRPr="00C32D10">
        <w:rPr>
          <w:rFonts w:cs="Times New Roman"/>
          <w:noProof/>
          <w:szCs w:val="24"/>
          <w:lang w:val="sr-Cyrl-RS"/>
        </w:rPr>
        <w:t xml:space="preserve"> пројек</w:t>
      </w:r>
      <w:r>
        <w:rPr>
          <w:rFonts w:cs="Times New Roman"/>
          <w:noProof/>
          <w:szCs w:val="24"/>
          <w:lang w:val="sr-Cyrl-RS"/>
        </w:rPr>
        <w:t>а</w:t>
      </w:r>
      <w:r w:rsidRPr="00C32D10">
        <w:rPr>
          <w:rFonts w:cs="Times New Roman"/>
          <w:noProof/>
          <w:szCs w:val="24"/>
          <w:lang w:val="sr-Cyrl-RS"/>
        </w:rPr>
        <w:t>т „Развој система за наводњавање - I фаза” у 2020. години закључено је 10 уговора о извођењу радова на изградњи</w:t>
      </w:r>
      <w:r>
        <w:rPr>
          <w:rFonts w:cs="Times New Roman"/>
          <w:noProof/>
          <w:szCs w:val="24"/>
          <w:lang w:val="sr-Cyrl-RS"/>
        </w:rPr>
        <w:t xml:space="preserve"> и</w:t>
      </w:r>
      <w:r w:rsidRPr="00C32D10">
        <w:rPr>
          <w:rFonts w:cs="Times New Roman"/>
          <w:noProof/>
          <w:szCs w:val="24"/>
          <w:lang w:val="sr-Cyrl-RS"/>
        </w:rPr>
        <w:t xml:space="preserve"> санацији водних објеката </w:t>
      </w:r>
      <w:r>
        <w:rPr>
          <w:rFonts w:cs="Times New Roman"/>
          <w:noProof/>
          <w:szCs w:val="24"/>
          <w:lang w:val="sr-Cyrl-RS"/>
        </w:rPr>
        <w:t xml:space="preserve">што </w:t>
      </w:r>
      <w:r w:rsidRPr="00C32D10">
        <w:rPr>
          <w:rFonts w:cs="Times New Roman"/>
          <w:noProof/>
          <w:szCs w:val="24"/>
          <w:lang w:val="sr-Cyrl-RS"/>
        </w:rPr>
        <w:t xml:space="preserve">ће обезбедити наводњавање додатних 57.248 ha површина пољопривредног земљишта. </w:t>
      </w:r>
      <w:r>
        <w:rPr>
          <w:rFonts w:cs="Times New Roman"/>
          <w:noProof/>
          <w:szCs w:val="24"/>
          <w:lang w:val="sr-Cyrl-RS"/>
        </w:rPr>
        <w:t>К</w:t>
      </w:r>
      <w:r w:rsidRPr="00C32D10">
        <w:rPr>
          <w:rFonts w:cs="Times New Roman"/>
          <w:noProof/>
          <w:szCs w:val="24"/>
          <w:lang w:val="sr-Cyrl-RS"/>
        </w:rPr>
        <w:t xml:space="preserve">роз реализацију </w:t>
      </w:r>
      <w:r>
        <w:rPr>
          <w:rFonts w:cs="Times New Roman"/>
          <w:noProof/>
          <w:szCs w:val="24"/>
          <w:lang w:val="sr-Cyrl-RS"/>
        </w:rPr>
        <w:t>„</w:t>
      </w:r>
      <w:r w:rsidRPr="00C32D10">
        <w:rPr>
          <w:rFonts w:cs="Times New Roman"/>
          <w:noProof/>
          <w:szCs w:val="24"/>
          <w:lang w:val="sr-Cyrl-RS"/>
        </w:rPr>
        <w:t>Програма за отпорност на климатске промене и наводњавање у Србији - фаза I</w:t>
      </w:r>
      <w:r>
        <w:rPr>
          <w:rFonts w:cs="Times New Roman"/>
          <w:noProof/>
          <w:szCs w:val="24"/>
          <w:lang w:val="sr-Cyrl-RS"/>
        </w:rPr>
        <w:t>“</w:t>
      </w:r>
      <w:r w:rsidRPr="00C32D10">
        <w:rPr>
          <w:rFonts w:cs="Times New Roman"/>
          <w:noProof/>
          <w:szCs w:val="24"/>
          <w:lang w:val="sr-Cyrl-RS"/>
        </w:rPr>
        <w:t xml:space="preserve">, планира се изградња и рехабилитација критичне инфраструктуре за наводњавање у подручју источне </w:t>
      </w:r>
      <w:r>
        <w:rPr>
          <w:rFonts w:cs="Times New Roman"/>
          <w:noProof/>
          <w:szCs w:val="24"/>
          <w:lang w:val="sr-Cyrl-RS"/>
        </w:rPr>
        <w:t>(</w:t>
      </w:r>
      <w:r w:rsidRPr="00C32D10">
        <w:rPr>
          <w:rFonts w:cs="Times New Roman"/>
          <w:noProof/>
          <w:szCs w:val="24"/>
          <w:lang w:val="sr-Cyrl-RS"/>
        </w:rPr>
        <w:t>870 ha које до сада нису биле наводњаване, као и за 1.100 ha земљишта које се тренутно делимично наводњава</w:t>
      </w:r>
      <w:r>
        <w:rPr>
          <w:rFonts w:cs="Times New Roman"/>
          <w:noProof/>
          <w:szCs w:val="24"/>
          <w:lang w:val="sr-Cyrl-RS"/>
        </w:rPr>
        <w:t xml:space="preserve">) </w:t>
      </w:r>
      <w:r w:rsidRPr="00C32D10">
        <w:rPr>
          <w:rFonts w:cs="Times New Roman"/>
          <w:noProof/>
          <w:szCs w:val="24"/>
          <w:lang w:val="sr-Cyrl-RS"/>
        </w:rPr>
        <w:t>и централне Србије</w:t>
      </w:r>
      <w:r>
        <w:rPr>
          <w:rFonts w:cs="Times New Roman"/>
          <w:noProof/>
          <w:szCs w:val="24"/>
          <w:lang w:val="sr-Cyrl-RS"/>
        </w:rPr>
        <w:t xml:space="preserve"> (</w:t>
      </w:r>
      <w:r w:rsidRPr="00C32D10">
        <w:rPr>
          <w:rFonts w:cs="Times New Roman"/>
          <w:noProof/>
          <w:szCs w:val="24"/>
          <w:lang w:val="sr-Cyrl-RS"/>
        </w:rPr>
        <w:t>1.040 ha земљишта</w:t>
      </w:r>
      <w:r>
        <w:rPr>
          <w:rFonts w:cs="Times New Roman"/>
          <w:noProof/>
          <w:szCs w:val="24"/>
          <w:lang w:val="sr-Cyrl-RS"/>
        </w:rPr>
        <w:t>).</w:t>
      </w:r>
      <w:r w:rsidRPr="00C32D10">
        <w:rPr>
          <w:rFonts w:cs="Times New Roman"/>
          <w:noProof/>
          <w:szCs w:val="24"/>
          <w:lang w:val="sr-Cyrl-RS"/>
        </w:rPr>
        <w:t xml:space="preserve"> Набавка система за наводњавање за </w:t>
      </w:r>
      <w:r w:rsidRPr="00C32D10">
        <w:rPr>
          <w:rFonts w:cs="Times New Roman"/>
          <w:noProof/>
          <w:szCs w:val="24"/>
          <w:lang w:val="sr-Cyrl-RS"/>
        </w:rPr>
        <w:lastRenderedPageBreak/>
        <w:t>пољопривредна газдинства је подржана кроз националне мере подршке руралном развоју и ИПАРД програм.</w:t>
      </w:r>
    </w:p>
    <w:p w14:paraId="1A66A44F" w14:textId="04F8CF0A" w:rsidR="00DC7F92" w:rsidRDefault="00DC7F92" w:rsidP="002B64C7">
      <w:pPr>
        <w:spacing w:after="60"/>
        <w:rPr>
          <w:rFonts w:cs="Times New Roman"/>
          <w:noProof/>
          <w:szCs w:val="24"/>
          <w:lang w:val="sr-Cyrl-RS"/>
        </w:rPr>
      </w:pPr>
      <w:r w:rsidRPr="005520CA">
        <w:rPr>
          <w:rFonts w:cs="Times New Roman"/>
          <w:b/>
          <w:noProof/>
          <w:szCs w:val="24"/>
          <w:lang w:val="sr-Cyrl-RS"/>
        </w:rPr>
        <w:t>Недовољно ефикасни механизми за борбу против суша и других временских непогода умањују приносе у односу на потенцијале</w:t>
      </w:r>
      <w:r w:rsidRPr="005520CA">
        <w:rPr>
          <w:rFonts w:cs="Times New Roman"/>
          <w:noProof/>
          <w:szCs w:val="24"/>
          <w:lang w:val="sr-Cyrl-RS"/>
        </w:rPr>
        <w:t xml:space="preserve">. Да би се смањиле штете које настају услед елементарних непогода, Влада </w:t>
      </w:r>
      <w:r>
        <w:rPr>
          <w:rFonts w:cs="Times New Roman"/>
          <w:noProof/>
          <w:szCs w:val="24"/>
          <w:lang w:val="sr-Cyrl-RS"/>
        </w:rPr>
        <w:t xml:space="preserve">РС </w:t>
      </w:r>
      <w:r w:rsidRPr="005520CA">
        <w:rPr>
          <w:rFonts w:cs="Times New Roman"/>
          <w:noProof/>
          <w:szCs w:val="24"/>
          <w:lang w:val="sr-Cyrl-RS"/>
        </w:rPr>
        <w:t xml:space="preserve">субвенционише премије осигурања. Обим опредељених средстава за ову меру се годинама повећавао. Број осигураних газдинстава је порастао од 2006. године са 2.594 на </w:t>
      </w:r>
      <w:r w:rsidR="00D96EE0">
        <w:rPr>
          <w:rFonts w:cs="Times New Roman"/>
          <w:noProof/>
          <w:szCs w:val="24"/>
        </w:rPr>
        <w:t>29.707</w:t>
      </w:r>
      <w:r w:rsidRPr="005520CA">
        <w:rPr>
          <w:lang w:val="sr-Cyrl-RS"/>
        </w:rPr>
        <w:t xml:space="preserve"> </w:t>
      </w:r>
      <w:r w:rsidRPr="005520CA">
        <w:rPr>
          <w:rFonts w:cs="Times New Roman"/>
          <w:noProof/>
          <w:szCs w:val="24"/>
          <w:lang w:val="sr-Cyrl-RS"/>
        </w:rPr>
        <w:t>поднетих захтева (</w:t>
      </w:r>
      <w:r w:rsidR="006125A9">
        <w:rPr>
          <w:lang w:val="sr-Cyrl-RS"/>
        </w:rPr>
        <w:t xml:space="preserve">28.576 </w:t>
      </w:r>
      <w:r w:rsidRPr="00192D2B">
        <w:rPr>
          <w:rFonts w:cs="Times New Roman"/>
          <w:noProof/>
          <w:szCs w:val="24"/>
          <w:lang w:val="sr-Cyrl-RS"/>
        </w:rPr>
        <w:t xml:space="preserve"> </w:t>
      </w:r>
      <w:r w:rsidRPr="005520CA">
        <w:rPr>
          <w:rFonts w:cs="Times New Roman"/>
          <w:noProof/>
          <w:szCs w:val="24"/>
          <w:lang w:val="sr-Cyrl-RS"/>
        </w:rPr>
        <w:t xml:space="preserve">захтева за осигурање биљне производње, односно </w:t>
      </w:r>
      <w:r w:rsidR="006125A9">
        <w:rPr>
          <w:lang w:val="sr-Cyrl-RS"/>
        </w:rPr>
        <w:t>1.131</w:t>
      </w:r>
      <w:r w:rsidRPr="005520CA">
        <w:rPr>
          <w:rFonts w:cs="Times New Roman"/>
          <w:noProof/>
          <w:szCs w:val="24"/>
          <w:lang w:val="sr-Cyrl-RS"/>
        </w:rPr>
        <w:t xml:space="preserve">захтев за осигурање животиња) у </w:t>
      </w:r>
      <w:r w:rsidRPr="00192D2B">
        <w:rPr>
          <w:rFonts w:cs="Times New Roman"/>
          <w:noProof/>
          <w:szCs w:val="24"/>
          <w:lang w:val="sr-Cyrl-RS"/>
        </w:rPr>
        <w:t>202</w:t>
      </w:r>
      <w:r w:rsidR="006125A9">
        <w:rPr>
          <w:rFonts w:cs="Times New Roman"/>
          <w:noProof/>
          <w:szCs w:val="24"/>
          <w:lang w:val="sr-Latn-RS"/>
        </w:rPr>
        <w:t>1</w:t>
      </w:r>
      <w:r w:rsidRPr="005520CA">
        <w:rPr>
          <w:rFonts w:cs="Times New Roman"/>
          <w:noProof/>
          <w:szCs w:val="24"/>
          <w:lang w:val="sr-Cyrl-RS"/>
        </w:rPr>
        <w:t>. години када је исплаћено</w:t>
      </w:r>
      <w:r w:rsidR="009E7843">
        <w:rPr>
          <w:rFonts w:cs="Times New Roman"/>
          <w:noProof/>
          <w:szCs w:val="24"/>
          <w:lang w:val="sr-Cyrl-RS"/>
        </w:rPr>
        <w:t xml:space="preserve"> 327.044.110,11</w:t>
      </w:r>
      <w:r w:rsidRPr="005520CA">
        <w:rPr>
          <w:rFonts w:cs="Times New Roman"/>
          <w:noProof/>
          <w:szCs w:val="24"/>
          <w:lang w:val="sr-Cyrl-RS"/>
        </w:rPr>
        <w:t xml:space="preserve"> </w:t>
      </w:r>
      <w:r w:rsidR="006125A9">
        <w:rPr>
          <w:lang w:val="sr-Cyrl-RS"/>
        </w:rPr>
        <w:t xml:space="preserve"> динара</w:t>
      </w:r>
      <w:r w:rsidRPr="005520CA">
        <w:rPr>
          <w:rFonts w:cs="Times New Roman"/>
          <w:noProof/>
          <w:szCs w:val="24"/>
          <w:lang w:val="sr-Cyrl-RS"/>
        </w:rPr>
        <w:t>.</w:t>
      </w:r>
    </w:p>
    <w:p w14:paraId="6EBA2045" w14:textId="77777777" w:rsidR="00DC7F92" w:rsidRPr="00341608" w:rsidRDefault="00DC7F92" w:rsidP="002B64C7">
      <w:pPr>
        <w:spacing w:after="60"/>
        <w:rPr>
          <w:rFonts w:cs="Times New Roman"/>
          <w:noProof/>
          <w:szCs w:val="24"/>
          <w:lang w:val="sr-Latn-RS"/>
        </w:rPr>
      </w:pPr>
      <w:r w:rsidRPr="0094200E">
        <w:rPr>
          <w:rFonts w:cs="Times New Roman"/>
          <w:noProof/>
          <w:szCs w:val="24"/>
          <w:lang w:val="sr-Cyrl-RS"/>
        </w:rPr>
        <w:t>Пољопривредници морају бити уписани у Регистар пољопривредних газдинстава (РПГ) у статусу</w:t>
      </w:r>
      <w:r>
        <w:rPr>
          <w:rFonts w:cs="Times New Roman"/>
          <w:noProof/>
          <w:szCs w:val="24"/>
          <w:lang w:val="sr-Cyrl-RS"/>
        </w:rPr>
        <w:t xml:space="preserve"> правног лица</w:t>
      </w:r>
      <w:r w:rsidRPr="0094200E">
        <w:rPr>
          <w:rFonts w:cs="Times New Roman"/>
          <w:noProof/>
          <w:szCs w:val="24"/>
          <w:lang w:val="sr-Cyrl-RS"/>
        </w:rPr>
        <w:t xml:space="preserve"> како би могли да конкуришу за средства из националних субвенција или из ИПАРД фонда. Тренутно је у РПГ уписано 449.452</w:t>
      </w:r>
      <w:r w:rsidRPr="0094200E">
        <w:rPr>
          <w:rStyle w:val="FootnoteReference"/>
          <w:rFonts w:cs="Times New Roman"/>
          <w:noProof/>
          <w:lang w:val="sr-Cyrl-RS"/>
        </w:rPr>
        <w:footnoteReference w:id="104"/>
      </w:r>
      <w:r w:rsidRPr="0094200E">
        <w:rPr>
          <w:rFonts w:cs="Times New Roman"/>
          <w:noProof/>
          <w:szCs w:val="24"/>
          <w:lang w:val="sr-Cyrl-RS"/>
        </w:rPr>
        <w:t xml:space="preserve"> пољопривредних газдинстава (ПГ) од чега је 446.080 регистровано у статусу физичког лица, док је само 3.372 регистровано као ПГ у статусу правног лица. Овакав однос указује на низак степен развијености пословног окружења у оквиру пољопривредне делатности. </w:t>
      </w:r>
    </w:p>
    <w:p w14:paraId="7574F265" w14:textId="77777777" w:rsidR="00DC7F92" w:rsidRPr="00C32D10" w:rsidRDefault="00DC7F92" w:rsidP="002B64C7">
      <w:pPr>
        <w:spacing w:after="60"/>
        <w:rPr>
          <w:rFonts w:cs="Times New Roman"/>
          <w:noProof/>
          <w:szCs w:val="24"/>
          <w:lang w:val="sr-Cyrl-RS"/>
        </w:rPr>
      </w:pPr>
      <w:r w:rsidRPr="009359D1">
        <w:rPr>
          <w:rFonts w:cs="Times New Roman"/>
          <w:b/>
          <w:noProof/>
          <w:szCs w:val="24"/>
          <w:lang w:val="sr-Cyrl-RS"/>
        </w:rPr>
        <w:t xml:space="preserve">Расписано је укупно дванаест јавних позива за ИПАРД подршку. </w:t>
      </w:r>
      <w:r w:rsidRPr="009359D1">
        <w:rPr>
          <w:rFonts w:cs="Times New Roman"/>
          <w:noProof/>
          <w:szCs w:val="24"/>
          <w:lang w:val="sr-Cyrl-RS"/>
        </w:rPr>
        <w:t>Укупно је пристигло 2.117 захтева за одобравање пројеката. Одобрено је 764 захтева, укупне вредности 126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на дан 28.10.2021. Уговорено је 72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од одобрених 764 захтева, а укупно је исплаћено 458 захтева вредности 24,9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до 28.10.2021. Постоји много потешкоћа у почетној фази имплементације ИПАРД-а. Ограничени број особа које су ангажоване и обучене у Управи за аграрна плаћања довео је до спорије обраде захтева, а процес обраде додатно је успорен због подношења непотпуних захтева од стране корисника. Четврти јавни позив у оквиру Мере 3</w:t>
      </w:r>
      <w:r>
        <w:rPr>
          <w:rFonts w:cs="Times New Roman"/>
          <w:noProof/>
          <w:szCs w:val="24"/>
        </w:rPr>
        <w:t xml:space="preserve"> </w:t>
      </w:r>
      <w:r w:rsidRPr="008C3374">
        <w:rPr>
          <w:rFonts w:cs="Times New Roman"/>
          <w:noProof/>
          <w:szCs w:val="24"/>
        </w:rPr>
        <w:t xml:space="preserve">(инвестиције у физичку имовину које се тичу прераде и маркетинга пољопривредних производа и производа рибарства) </w:t>
      </w:r>
      <w:r w:rsidRPr="009359D1">
        <w:rPr>
          <w:rFonts w:cs="Times New Roman"/>
          <w:noProof/>
          <w:szCs w:val="24"/>
          <w:lang w:val="sr-Cyrl-RS"/>
        </w:rPr>
        <w:t>објављен је 16.08.2021. и до краја октобра је достављено 15 захтева. Други јавни позив у оквиру Мере 7</w:t>
      </w:r>
      <w:r>
        <w:rPr>
          <w:rFonts w:cs="Times New Roman"/>
          <w:noProof/>
          <w:szCs w:val="24"/>
        </w:rPr>
        <w:t xml:space="preserve"> </w:t>
      </w:r>
      <w:r w:rsidRPr="00E94537">
        <w:rPr>
          <w:rFonts w:cs="Times New Roman"/>
          <w:noProof/>
          <w:szCs w:val="24"/>
        </w:rPr>
        <w:t>(диверзификација пољопривредних газдинстава и развој пословања)</w:t>
      </w:r>
      <w:r w:rsidRPr="009359D1">
        <w:rPr>
          <w:rFonts w:cs="Times New Roman"/>
          <w:noProof/>
          <w:szCs w:val="24"/>
          <w:lang w:val="sr-Cyrl-RS"/>
        </w:rPr>
        <w:t>, која се односи на диверзификацију пољопривредних газдинстава и развој пословања</w:t>
      </w:r>
      <w:r>
        <w:rPr>
          <w:rFonts w:cs="Times New Roman"/>
          <w:noProof/>
          <w:szCs w:val="24"/>
          <w:lang w:val="sr-Cyrl-RS"/>
        </w:rPr>
        <w:t>,</w:t>
      </w:r>
      <w:r w:rsidRPr="009359D1">
        <w:rPr>
          <w:rFonts w:cs="Times New Roman"/>
          <w:noProof/>
          <w:szCs w:val="24"/>
          <w:lang w:val="sr-Cyrl-RS"/>
        </w:rPr>
        <w:t xml:space="preserve"> објављен је 23.9.2021. и до краја октобра је достављено такође 15 захтева.</w:t>
      </w:r>
      <w:r w:rsidRPr="00C32D10">
        <w:rPr>
          <w:rFonts w:cs="Times New Roman"/>
          <w:noProof/>
          <w:szCs w:val="24"/>
          <w:lang w:val="sr-Cyrl-RS"/>
        </w:rPr>
        <w:t xml:space="preserve"> </w:t>
      </w:r>
    </w:p>
    <w:p w14:paraId="22840C4C" w14:textId="77777777" w:rsidR="00DC7F92" w:rsidRPr="00C32D10" w:rsidRDefault="00DC7F92" w:rsidP="002B64C7">
      <w:pPr>
        <w:spacing w:after="60"/>
        <w:rPr>
          <w:rFonts w:cs="Times New Roman"/>
          <w:noProof/>
          <w:szCs w:val="24"/>
          <w:lang w:val="sr-Cyrl-RS"/>
        </w:rPr>
      </w:pPr>
      <w:r w:rsidRPr="00C32D10">
        <w:rPr>
          <w:rFonts w:cs="Times New Roman"/>
          <w:b/>
          <w:noProof/>
          <w:szCs w:val="24"/>
          <w:lang w:val="sr-Cyrl-RS"/>
        </w:rPr>
        <w:t>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w:t>
      </w:r>
      <w:r w:rsidRPr="00C32D10">
        <w:rPr>
          <w:rFonts w:cs="Times New Roman"/>
          <w:noProof/>
          <w:szCs w:val="24"/>
          <w:lang w:val="sr-Cyrl-RS"/>
        </w:rPr>
        <w:t xml:space="preserve"> Неопходно је подржати инвестиције у секторима где Србија има компаративне предности (сектори производње воћа, поврћа, сточарства), унапредити менаџмент у пословању и пружити адекватну логистичку подршку. </w:t>
      </w:r>
    </w:p>
    <w:p w14:paraId="3ED87FF9" w14:textId="77777777" w:rsidR="00DC7F92" w:rsidRPr="00C32D10" w:rsidRDefault="00DC7F92" w:rsidP="002B64C7">
      <w:pPr>
        <w:spacing w:after="60"/>
        <w:rPr>
          <w:rFonts w:cs="Times New Roman"/>
          <w:noProof/>
          <w:szCs w:val="24"/>
          <w:lang w:val="sr-Cyrl-RS"/>
        </w:rPr>
      </w:pPr>
      <w:r w:rsidRPr="00C32D10">
        <w:rPr>
          <w:rFonts w:cs="Times New Roman"/>
          <w:noProof/>
          <w:szCs w:val="24"/>
          <w:lang w:val="sr-Cyrl-RS"/>
        </w:rPr>
        <w:t xml:space="preserve">Као и у случају земаља чланица ЕУ, које ће у наредном периоду у своја национална законодавства и вишегодишње стратешке планове имплементирати одредбе и постулате </w:t>
      </w:r>
      <w:r w:rsidRPr="00C32D10">
        <w:rPr>
          <w:rFonts w:cs="Times New Roman"/>
          <w:b/>
          <w:noProof/>
          <w:szCs w:val="24"/>
          <w:lang w:val="sr-Cyrl-RS"/>
        </w:rPr>
        <w:t>Европског зеленог договора</w:t>
      </w:r>
      <w:r w:rsidRPr="00C32D10">
        <w:rPr>
          <w:rFonts w:cs="Times New Roman"/>
          <w:noProof/>
          <w:szCs w:val="24"/>
          <w:lang w:val="sr-Cyrl-RS"/>
        </w:rPr>
        <w:t xml:space="preserve"> (</w:t>
      </w:r>
      <w:r w:rsidRPr="00C32D10">
        <w:rPr>
          <w:rFonts w:cs="Times New Roman"/>
          <w:i/>
          <w:noProof/>
          <w:szCs w:val="24"/>
          <w:lang w:val="sr-Cyrl-RS"/>
        </w:rPr>
        <w:t>The European Green Deal)</w:t>
      </w:r>
      <w:r w:rsidRPr="00C32D10">
        <w:rPr>
          <w:rFonts w:cs="Times New Roman"/>
          <w:noProof/>
          <w:szCs w:val="24"/>
          <w:lang w:val="sr-Cyrl-RS"/>
        </w:rPr>
        <w:t xml:space="preserve">, будући правни оквир у области пољопривреде у Републици Србији укључиће циљеве и активности овог плана, 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 заштите животне средине и очувања биодиверзитета, с друге стране. У току је процес припреме ИПАРД III програма који се припрема у складу са Европским зеленим договором. Планирано је поједностављење процедура и увођење авансних плаћања како би се повећала искоришћеност средстава. Све инвестиције у механизацију </w:t>
      </w:r>
      <w:r w:rsidRPr="00C32D10">
        <w:rPr>
          <w:rFonts w:cs="Times New Roman"/>
          <w:noProof/>
          <w:szCs w:val="24"/>
          <w:lang w:val="sr-Cyrl-RS"/>
        </w:rPr>
        <w:lastRenderedPageBreak/>
        <w:t xml:space="preserve">и опрему које су предмет подршке морају да задовоље стандарде који се тичу емисије штетних гасова. </w:t>
      </w:r>
    </w:p>
    <w:p w14:paraId="12B24E6C" w14:textId="77777777" w:rsidR="00DC7F92" w:rsidRDefault="00DC7F92" w:rsidP="002B64C7">
      <w:pPr>
        <w:spacing w:after="60"/>
        <w:rPr>
          <w:rFonts w:cs="Times New Roman"/>
          <w:noProof/>
          <w:szCs w:val="24"/>
          <w:lang w:val="sr-Cyrl-RS"/>
        </w:rPr>
      </w:pPr>
      <w:r w:rsidRPr="00A12CFF">
        <w:rPr>
          <w:rFonts w:cs="Times New Roman"/>
          <w:b/>
          <w:noProof/>
          <w:szCs w:val="24"/>
          <w:lang w:val="sr-Cyrl-RS"/>
        </w:rPr>
        <w:t>Индустријска производња је одржала ниво у условима пандемије</w:t>
      </w:r>
      <w:r w:rsidRPr="00A12CFF">
        <w:rPr>
          <w:rFonts w:cs="Times New Roman"/>
          <w:b/>
          <w:noProof/>
          <w:szCs w:val="24"/>
        </w:rPr>
        <w:t xml:space="preserve">, </w:t>
      </w:r>
      <w:r w:rsidRPr="00A12CFF">
        <w:rPr>
          <w:rFonts w:cs="Times New Roman"/>
          <w:b/>
          <w:noProof/>
          <w:szCs w:val="24"/>
          <w:lang w:val="sr-Cyrl-RS"/>
        </w:rPr>
        <w:t>без обзира на н</w:t>
      </w:r>
      <w:r w:rsidRPr="00A12CFF">
        <w:rPr>
          <w:rFonts w:cs="Times New Roman"/>
          <w:b/>
          <w:bCs/>
          <w:noProof/>
          <w:szCs w:val="24"/>
          <w:lang w:val="sr-Cyrl-RS"/>
        </w:rPr>
        <w:t>едостатак сировина из увоза, прекид трговинских ланаца и смањење тражње</w:t>
      </w:r>
      <w:r w:rsidRPr="00A12CFF">
        <w:rPr>
          <w:rFonts w:cs="Times New Roman"/>
          <w:b/>
          <w:noProof/>
          <w:szCs w:val="24"/>
          <w:lang w:val="sr-Cyrl-RS"/>
        </w:rPr>
        <w:t xml:space="preserve"> </w:t>
      </w:r>
      <w:r w:rsidRPr="00A12CFF">
        <w:rPr>
          <w:rFonts w:cs="Times New Roman"/>
          <w:noProof/>
          <w:szCs w:val="24"/>
          <w:lang w:val="sr-Cyrl-RS"/>
        </w:rPr>
        <w:t xml:space="preserve">(мг раст индустрије </w:t>
      </w:r>
      <w:r w:rsidRPr="00A12CFF">
        <w:rPr>
          <w:rFonts w:cs="Times New Roman"/>
          <w:noProof/>
          <w:szCs w:val="24"/>
        </w:rPr>
        <w:t>0,4</w:t>
      </w:r>
      <w:r w:rsidRPr="00A12CFF">
        <w:rPr>
          <w:rFonts w:cs="Times New Roman"/>
          <w:noProof/>
          <w:szCs w:val="24"/>
          <w:lang w:val="sr-Cyrl-RS"/>
        </w:rPr>
        <w:t xml:space="preserve">%, прерађивачке индустрије </w:t>
      </w:r>
      <w:r w:rsidRPr="00A12CFF">
        <w:rPr>
          <w:rFonts w:cs="Times New Roman"/>
          <w:noProof/>
          <w:szCs w:val="24"/>
        </w:rPr>
        <w:t>0,1</w:t>
      </w:r>
      <w:r w:rsidRPr="00A12CFF">
        <w:rPr>
          <w:rFonts w:cs="Times New Roman"/>
          <w:noProof/>
          <w:szCs w:val="24"/>
          <w:lang w:val="sr-Cyrl-RS"/>
        </w:rPr>
        <w:t>% у 202</w:t>
      </w:r>
      <w:r w:rsidRPr="00A12CFF">
        <w:rPr>
          <w:rFonts w:cs="Times New Roman"/>
          <w:noProof/>
          <w:szCs w:val="24"/>
        </w:rPr>
        <w:t>0</w:t>
      </w:r>
      <w:r w:rsidRPr="00A12CFF">
        <w:rPr>
          <w:rFonts w:cs="Times New Roman"/>
          <w:noProof/>
          <w:szCs w:val="24"/>
          <w:lang w:val="sr-Cyrl-RS"/>
        </w:rPr>
        <w:t>. годин</w:t>
      </w:r>
      <w:r>
        <w:rPr>
          <w:rFonts w:cs="Times New Roman"/>
          <w:noProof/>
          <w:szCs w:val="24"/>
          <w:lang w:val="sr-Cyrl-RS"/>
        </w:rPr>
        <w:t>и</w:t>
      </w:r>
      <w:r w:rsidRPr="00A12CFF">
        <w:rPr>
          <w:rFonts w:cs="Times New Roman"/>
          <w:noProof/>
          <w:szCs w:val="24"/>
          <w:lang w:val="sr-Cyrl-RS"/>
        </w:rPr>
        <w:t>). Учешће индустрије у стварању укупног БДВ износило је 24</w:t>
      </w:r>
      <w:r w:rsidRPr="00A12CFF">
        <w:rPr>
          <w:rFonts w:cs="Times New Roman"/>
          <w:noProof/>
          <w:szCs w:val="24"/>
        </w:rPr>
        <w:t>,7</w:t>
      </w:r>
      <w:r w:rsidRPr="00A12CFF">
        <w:rPr>
          <w:rFonts w:cs="Times New Roman"/>
          <w:noProof/>
          <w:szCs w:val="24"/>
          <w:lang w:val="sr-Cyrl-RS"/>
        </w:rPr>
        <w:t>% у 20</w:t>
      </w:r>
      <w:r w:rsidRPr="00A12CFF">
        <w:rPr>
          <w:rFonts w:cs="Times New Roman"/>
          <w:noProof/>
          <w:szCs w:val="24"/>
        </w:rPr>
        <w:t>20</w:t>
      </w:r>
      <w:r w:rsidRPr="00A12CFF">
        <w:rPr>
          <w:rFonts w:cs="Times New Roman"/>
          <w:noProof/>
          <w:szCs w:val="24"/>
          <w:lang w:val="sr-Cyrl-RS"/>
        </w:rPr>
        <w:t>. Укупна индустрија је показала брз опоравак након рецесије и у првих шест месеци 2021. године достигла раст од 9,1%, а прерађивачка индустрија 10,2% (узимајући у обзир и ниску базу из истог периода претходне године). Опоравку индустрије допринеле су и СДИ у прерађивачку индустрију (</w:t>
      </w:r>
      <w:r>
        <w:rPr>
          <w:rFonts w:cs="Times New Roman"/>
          <w:noProof/>
          <w:szCs w:val="24"/>
          <w:lang w:val="sr-Cyrl-RS"/>
        </w:rPr>
        <w:t>33,3</w:t>
      </w:r>
      <w:r w:rsidRPr="00A12CFF">
        <w:rPr>
          <w:rFonts w:cs="Times New Roman"/>
          <w:noProof/>
          <w:szCs w:val="24"/>
          <w:lang w:val="sr-Cyrl-RS"/>
        </w:rPr>
        <w:t>% укупних СДИ у 2020.</w:t>
      </w:r>
      <w:r w:rsidRPr="00A12CFF">
        <w:rPr>
          <w:rFonts w:cs="Times New Roman"/>
          <w:noProof/>
          <w:szCs w:val="24"/>
        </w:rPr>
        <w:t xml:space="preserve"> </w:t>
      </w:r>
      <w:r w:rsidRPr="00A12CFF">
        <w:rPr>
          <w:rFonts w:cs="Times New Roman"/>
          <w:noProof/>
          <w:szCs w:val="24"/>
          <w:lang w:val="sr-Cyrl-RS"/>
        </w:rPr>
        <w:t xml:space="preserve">и </w:t>
      </w:r>
      <w:r>
        <w:rPr>
          <w:rFonts w:cs="Times New Roman"/>
          <w:noProof/>
          <w:szCs w:val="24"/>
          <w:lang w:val="sr-Cyrl-RS"/>
        </w:rPr>
        <w:t>20</w:t>
      </w:r>
      <w:r w:rsidRPr="00A12CFF">
        <w:rPr>
          <w:rFonts w:cs="Times New Roman"/>
          <w:noProof/>
          <w:szCs w:val="24"/>
          <w:lang w:val="sr-Cyrl-RS"/>
        </w:rPr>
        <w:t>,1% у првом полугодишту 2021. године)</w:t>
      </w:r>
      <w:r w:rsidRPr="00A12CFF">
        <w:rPr>
          <w:rFonts w:cs="Times New Roman"/>
          <w:noProof/>
          <w:szCs w:val="24"/>
        </w:rPr>
        <w:t>.</w:t>
      </w:r>
      <w:r w:rsidRPr="00A12CFF">
        <w:t xml:space="preserve"> </w:t>
      </w:r>
      <w:r w:rsidRPr="00A12CFF">
        <w:rPr>
          <w:rFonts w:cs="Times New Roman"/>
          <w:noProof/>
          <w:szCs w:val="24"/>
          <w:lang w:val="sr-Cyrl-RS"/>
        </w:rPr>
        <w:t>У</w:t>
      </w:r>
      <w:r w:rsidRPr="00A12CFF">
        <w:rPr>
          <w:rFonts w:cs="Times New Roman"/>
          <w:noProof/>
          <w:szCs w:val="24"/>
        </w:rPr>
        <w:t>пркос ризику да криза произведе озбиљне поремећаје на тржишту рада</w:t>
      </w:r>
      <w:r w:rsidRPr="00A12CFF">
        <w:rPr>
          <w:rFonts w:cs="Times New Roman"/>
          <w:noProof/>
          <w:szCs w:val="24"/>
          <w:lang w:val="sr-Cyrl-RS"/>
        </w:rPr>
        <w:t xml:space="preserve">, запосленост у прерађивачкој индустрији је очувана и повећана за 3,6% у 2020. години, а такав тренд је настављен и у првих 6 месеци 2021. године када је забележен раст од 3,5% (16.857 лица) у односу на крај 2020. године. Такође, и извоз укупне индустрије бележи раст од 36% мг </w:t>
      </w:r>
      <w:r>
        <w:rPr>
          <w:rFonts w:cs="Times New Roman"/>
          <w:noProof/>
          <w:szCs w:val="24"/>
          <w:lang w:val="sr-Cyrl-RS"/>
        </w:rPr>
        <w:t>у првој половини</w:t>
      </w:r>
      <w:r w:rsidRPr="00A12CFF">
        <w:rPr>
          <w:rFonts w:cs="Times New Roman"/>
          <w:noProof/>
          <w:szCs w:val="24"/>
          <w:lang w:val="sr-Cyrl-RS"/>
        </w:rPr>
        <w:t xml:space="preserve"> 2021. године (пад од 10,2% у истом периоду 2020. због увођења епидемиолошки</w:t>
      </w:r>
      <w:r>
        <w:rPr>
          <w:rFonts w:cs="Times New Roman"/>
          <w:noProof/>
          <w:szCs w:val="24"/>
          <w:lang w:val="sr-Cyrl-RS"/>
        </w:rPr>
        <w:t>х</w:t>
      </w:r>
      <w:r w:rsidRPr="00A12CFF">
        <w:rPr>
          <w:rFonts w:cs="Times New Roman"/>
          <w:noProof/>
          <w:szCs w:val="24"/>
          <w:lang w:val="sr-Cyrl-RS"/>
        </w:rPr>
        <w:t xml:space="preserve"> мера широм света, којима је било отежано или чак онемогућено кретање људи и роба између граница), при чему је раст прерађивачке индустрије 35% мг</w:t>
      </w:r>
      <w:r>
        <w:rPr>
          <w:rFonts w:cs="Times New Roman"/>
          <w:noProof/>
          <w:szCs w:val="24"/>
          <w:lang w:val="sr-Cyrl-RS"/>
        </w:rPr>
        <w:t xml:space="preserve"> (</w:t>
      </w:r>
      <w:r w:rsidRPr="00A12CFF">
        <w:rPr>
          <w:rFonts w:cs="Times New Roman"/>
          <w:noProof/>
          <w:szCs w:val="24"/>
          <w:lang w:val="sr-Cyrl-RS"/>
        </w:rPr>
        <w:t>око 90% укупног извоза</w:t>
      </w:r>
      <w:r>
        <w:rPr>
          <w:rFonts w:cs="Times New Roman"/>
          <w:noProof/>
          <w:szCs w:val="24"/>
          <w:lang w:val="sr-Cyrl-RS"/>
        </w:rPr>
        <w:t>).</w:t>
      </w:r>
    </w:p>
    <w:p w14:paraId="5D774C57" w14:textId="77777777" w:rsidR="00DC7F92" w:rsidRDefault="00DC7F92" w:rsidP="002B64C7">
      <w:pPr>
        <w:pStyle w:val="Standard"/>
        <w:widowControl w:val="0"/>
        <w:spacing w:after="60"/>
        <w:jc w:val="both"/>
        <w:rPr>
          <w:color w:val="000000"/>
          <w:lang w:val="sr-Cyrl-RS"/>
        </w:rPr>
      </w:pPr>
      <w:r w:rsidRPr="00A12CFF">
        <w:rPr>
          <w:b/>
          <w:lang w:val="sr-Cyrl-RS"/>
        </w:rPr>
        <w:t>Приступ финансирању МСПП из године у годину се побољшава</w:t>
      </w:r>
      <w:r w:rsidRPr="00A12CFF">
        <w:rPr>
          <w:lang w:val="sr-Cyrl-RS"/>
        </w:rPr>
        <w:t>. Правни оквир у области финанси</w:t>
      </w:r>
      <w:r>
        <w:rPr>
          <w:lang w:val="sr-Cyrl-RS"/>
        </w:rPr>
        <w:t>рања</w:t>
      </w:r>
      <w:r w:rsidRPr="00A12CFF">
        <w:rPr>
          <w:lang w:val="sr-Cyrl-RS"/>
        </w:rPr>
        <w:t xml:space="preserve"> унапређен је доношењем </w:t>
      </w:r>
      <w:r w:rsidRPr="00A12CFF">
        <w:rPr>
          <w:i/>
          <w:lang w:val="sr-Cyrl-RS"/>
        </w:rPr>
        <w:t>Закона о отвореним инвестиционим фондовима са јавном понудом</w:t>
      </w:r>
      <w:r w:rsidRPr="00A12CFF">
        <w:rPr>
          <w:lang w:val="sr-Cyrl-RS"/>
        </w:rPr>
        <w:t xml:space="preserve"> и </w:t>
      </w:r>
      <w:r w:rsidRPr="00A12CFF">
        <w:rPr>
          <w:i/>
          <w:lang w:val="sr-Cyrl-RS"/>
        </w:rPr>
        <w:t>Закона о алтернативним инвестиционим фондовима</w:t>
      </w:r>
      <w:r w:rsidRPr="00A12CFF">
        <w:rPr>
          <w:lang w:val="sr-Cyrl-RS"/>
        </w:rPr>
        <w:t xml:space="preserve"> (</w:t>
      </w:r>
      <w:r>
        <w:rPr>
          <w:lang w:val="sr-Cyrl-RS"/>
        </w:rPr>
        <w:t>„</w:t>
      </w:r>
      <w:r w:rsidRPr="00A12CFF">
        <w:rPr>
          <w:lang w:val="sr-Cyrl-RS"/>
        </w:rPr>
        <w:t>С</w:t>
      </w:r>
      <w:r>
        <w:rPr>
          <w:lang w:val="sr-Cyrl-RS"/>
        </w:rPr>
        <w:t>лужбени гласник</w:t>
      </w:r>
      <w:r w:rsidRPr="00A12CFF">
        <w:rPr>
          <w:lang w:val="sr-Cyrl-RS"/>
        </w:rPr>
        <w:t xml:space="preserve"> РС</w:t>
      </w:r>
      <w:r>
        <w:rPr>
          <w:lang w:val="sr-Cyrl-RS"/>
        </w:rPr>
        <w:t>“, бр.</w:t>
      </w:r>
      <w:r w:rsidRPr="00A12CFF">
        <w:rPr>
          <w:lang w:val="sr-Cyrl-RS"/>
        </w:rPr>
        <w:t xml:space="preserve"> 73/19), којима се омогућавају алтернативни извори финансирања</w:t>
      </w:r>
      <w:r w:rsidRPr="00A12CFF">
        <w:rPr>
          <w:rStyle w:val="FootnoteReference"/>
          <w:lang w:val="sr-Cyrl-RS"/>
        </w:rPr>
        <w:footnoteReference w:id="105"/>
      </w:r>
      <w:r w:rsidRPr="00A12CFF">
        <w:rPr>
          <w:lang w:val="sr-Cyrl-RS"/>
        </w:rPr>
        <w:t xml:space="preserve">. Успостављено </w:t>
      </w:r>
      <w:r w:rsidRPr="00D1113C">
        <w:rPr>
          <w:color w:val="000000"/>
          <w:lang w:val="sr-Cyrl-RS"/>
        </w:rPr>
        <w:t xml:space="preserve">је системско праћење кредитирања МСПП на месечном нивоу од 2017. године, које показује константно побољшање услова финансирања МСПП (ниже каматне стопе, дужа рочност кредита, већи обим </w:t>
      </w:r>
      <w:r w:rsidRPr="000F3774">
        <w:rPr>
          <w:color w:val="000000"/>
          <w:lang w:val="sr-Cyrl-RS"/>
        </w:rPr>
        <w:t>кредита).</w:t>
      </w:r>
      <w:r>
        <w:rPr>
          <w:color w:val="000000"/>
          <w:lang w:val="sr-Cyrl-RS"/>
        </w:rPr>
        <w:t xml:space="preserve"> Побољшана је конкурентност сектора МСПП, чија је продуктивност (однос БДВ по запосленом) већа за 12,6% у 2018. у односу на 2010. годину.</w:t>
      </w:r>
      <w:r w:rsidRPr="000F3774">
        <w:rPr>
          <w:color w:val="000000"/>
          <w:lang w:val="sr-Cyrl-RS"/>
        </w:rPr>
        <w:t xml:space="preserve"> Као по</w:t>
      </w:r>
      <w:r>
        <w:rPr>
          <w:color w:val="000000"/>
          <w:lang w:val="sr-Cyrl-RS"/>
        </w:rPr>
        <w:t>дршку</w:t>
      </w:r>
      <w:r w:rsidRPr="000F3774">
        <w:rPr>
          <w:color w:val="000000"/>
          <w:lang w:val="sr-Cyrl-RS"/>
        </w:rPr>
        <w:t xml:space="preserve"> сектору </w:t>
      </w:r>
      <w:r w:rsidRPr="00E82DA2">
        <w:rPr>
          <w:color w:val="000000"/>
          <w:lang w:val="sr-Cyrl-RS"/>
        </w:rPr>
        <w:t>МСПП</w:t>
      </w:r>
      <w:r w:rsidRPr="000F3774">
        <w:rPr>
          <w:color w:val="000000"/>
          <w:lang w:val="sr-Cyrl-RS"/>
        </w:rPr>
        <w:t xml:space="preserve"> у превазилажењу проблема насталих због пандемије, одобр</w:t>
      </w:r>
      <w:r>
        <w:rPr>
          <w:color w:val="000000"/>
          <w:lang w:val="sr-Cyrl-RS"/>
        </w:rPr>
        <w:t>ене</w:t>
      </w:r>
      <w:r w:rsidRPr="000F3774">
        <w:rPr>
          <w:color w:val="000000"/>
          <w:lang w:val="sr-Cyrl-RS"/>
        </w:rPr>
        <w:t xml:space="preserve"> </w:t>
      </w:r>
      <w:r>
        <w:rPr>
          <w:color w:val="000000"/>
          <w:lang w:val="sr-Cyrl-RS"/>
        </w:rPr>
        <w:t>су</w:t>
      </w:r>
      <w:r w:rsidRPr="000F3774">
        <w:rPr>
          <w:color w:val="000000"/>
          <w:lang w:val="sr-Cyrl-RS"/>
        </w:rPr>
        <w:t xml:space="preserve"> две гарантне шеме за кредите за одржавање ликвидности </w:t>
      </w:r>
      <w:r>
        <w:rPr>
          <w:color w:val="000000"/>
          <w:lang w:val="sr-Cyrl-RS"/>
        </w:rPr>
        <w:t>привредних субјеката вредности</w:t>
      </w:r>
      <w:r w:rsidRPr="000F3774">
        <w:rPr>
          <w:color w:val="000000"/>
          <w:lang w:val="sr-Cyrl-RS"/>
        </w:rPr>
        <w:t xml:space="preserve"> око 2,5 млрд. </w:t>
      </w:r>
      <w:r>
        <w:rPr>
          <w:color w:val="000000"/>
          <w:lang w:val="sr-Cyrl-RS"/>
        </w:rPr>
        <w:t>евра</w:t>
      </w:r>
      <w:r w:rsidRPr="000F3774">
        <w:rPr>
          <w:color w:val="000000"/>
          <w:lang w:val="sr-Cyrl-RS"/>
        </w:rPr>
        <w:t xml:space="preserve"> и 0,5 млрд. </w:t>
      </w:r>
      <w:r>
        <w:rPr>
          <w:color w:val="000000"/>
          <w:lang w:val="sr-Cyrl-RS"/>
        </w:rPr>
        <w:t>евра</w:t>
      </w:r>
      <w:r w:rsidRPr="000F3774">
        <w:rPr>
          <w:color w:val="000000"/>
          <w:lang w:val="sr-Cyrl-RS"/>
        </w:rPr>
        <w:t xml:space="preserve"> (</w:t>
      </w:r>
      <w:r>
        <w:rPr>
          <w:color w:val="000000"/>
          <w:lang w:val="sr-Cyrl-RS"/>
        </w:rPr>
        <w:t xml:space="preserve">само </w:t>
      </w:r>
      <w:r w:rsidRPr="000F3774">
        <w:rPr>
          <w:color w:val="000000"/>
          <w:lang w:val="sr-Cyrl-RS"/>
        </w:rPr>
        <w:t xml:space="preserve">за предузећа из најпогођенијих делатности и предузећа са падом прихода већим од 20% у 2020. години), које су на располагању до краја јула 2022. године. Ове шеме су допринеле да </w:t>
      </w:r>
      <w:r>
        <w:rPr>
          <w:color w:val="000000"/>
          <w:lang w:val="sr-Cyrl-RS"/>
        </w:rPr>
        <w:t>с</w:t>
      </w:r>
      <w:r w:rsidRPr="000F3774">
        <w:rPr>
          <w:color w:val="000000"/>
          <w:lang w:val="sr-Cyrl-RS"/>
        </w:rPr>
        <w:t>ко</w:t>
      </w:r>
      <w:r>
        <w:rPr>
          <w:color w:val="000000"/>
          <w:lang w:val="sr-Cyrl-RS"/>
        </w:rPr>
        <w:t>ро</w:t>
      </w:r>
      <w:r w:rsidRPr="000F3774">
        <w:rPr>
          <w:color w:val="000000"/>
          <w:lang w:val="sr-Cyrl-RS"/>
        </w:rPr>
        <w:t xml:space="preserve"> 2/3 кредита одобрених привреди </w:t>
      </w:r>
      <w:r>
        <w:rPr>
          <w:color w:val="000000"/>
          <w:lang w:val="sr-Cyrl-RS"/>
        </w:rPr>
        <w:t xml:space="preserve">у претходном периоду </w:t>
      </w:r>
      <w:r w:rsidRPr="000F3774">
        <w:rPr>
          <w:color w:val="000000"/>
          <w:lang w:val="sr-Cyrl-RS"/>
        </w:rPr>
        <w:t xml:space="preserve">чине кредити </w:t>
      </w:r>
      <w:r w:rsidRPr="00E82DA2">
        <w:rPr>
          <w:color w:val="000000"/>
          <w:lang w:val="sr-Cyrl-RS"/>
        </w:rPr>
        <w:t>малим и средњим предузећима</w:t>
      </w:r>
      <w:r w:rsidRPr="000F3774">
        <w:rPr>
          <w:color w:val="000000"/>
          <w:lang w:val="sr-Cyrl-RS"/>
        </w:rPr>
        <w:t>.</w:t>
      </w:r>
      <w:r>
        <w:rPr>
          <w:color w:val="000000"/>
          <w:lang w:val="sr-Cyrl-RS"/>
        </w:rPr>
        <w:t xml:space="preserve"> Примена нове </w:t>
      </w:r>
      <w:r w:rsidRPr="006F3C8E">
        <w:rPr>
          <w:i/>
          <w:color w:val="000000"/>
          <w:lang w:val="sr-Cyrl-RS"/>
        </w:rPr>
        <w:t>Стратегиј</w:t>
      </w:r>
      <w:r>
        <w:rPr>
          <w:i/>
          <w:color w:val="000000"/>
          <w:lang w:val="sr-Cyrl-RS"/>
        </w:rPr>
        <w:t>е</w:t>
      </w:r>
      <w:r w:rsidRPr="006F3C8E">
        <w:rPr>
          <w:i/>
          <w:color w:val="000000"/>
          <w:lang w:val="sr-Cyrl-RS"/>
        </w:rPr>
        <w:t xml:space="preserve"> индустријске политике РС од 2021-2030. године</w:t>
      </w:r>
      <w:r>
        <w:rPr>
          <w:color w:val="000000"/>
          <w:lang w:val="sr-Cyrl-RS"/>
        </w:rPr>
        <w:t xml:space="preserve"> („Службени гласник РС“, бр. 35/2000) и припадајућег </w:t>
      </w:r>
      <w:r w:rsidRPr="006F3C8E">
        <w:rPr>
          <w:i/>
          <w:color w:val="000000"/>
          <w:lang w:val="sr-Cyrl-RS"/>
        </w:rPr>
        <w:t>Акцион</w:t>
      </w:r>
      <w:r>
        <w:rPr>
          <w:i/>
          <w:color w:val="000000"/>
          <w:lang w:val="sr-Cyrl-RS"/>
        </w:rPr>
        <w:t>ог</w:t>
      </w:r>
      <w:r w:rsidRPr="006F3C8E">
        <w:rPr>
          <w:i/>
          <w:color w:val="000000"/>
          <w:lang w:val="sr-Cyrl-RS"/>
        </w:rPr>
        <w:t xml:space="preserve"> план</w:t>
      </w:r>
      <w:r>
        <w:rPr>
          <w:i/>
          <w:color w:val="000000"/>
          <w:lang w:val="sr-Cyrl-RS"/>
        </w:rPr>
        <w:t>а</w:t>
      </w:r>
      <w:r>
        <w:rPr>
          <w:color w:val="000000"/>
          <w:lang w:val="sr-Cyrl-RS"/>
        </w:rPr>
        <w:t xml:space="preserve"> („Службени гласник РС“, бр. 37/2021) омогућиће унапређење конкурентности</w:t>
      </w:r>
      <w:r w:rsidRPr="006F3C8E">
        <w:rPr>
          <w:color w:val="000000"/>
          <w:lang w:val="sr-Cyrl-RS"/>
        </w:rPr>
        <w:t xml:space="preserve"> домаће индустрије</w:t>
      </w:r>
      <w:r>
        <w:rPr>
          <w:color w:val="000000"/>
          <w:lang w:val="sr-Cyrl-RS"/>
        </w:rPr>
        <w:t>, пре свега у сектору МСПП</w:t>
      </w:r>
      <w:r w:rsidRPr="006F3C8E">
        <w:rPr>
          <w:color w:val="000000"/>
          <w:lang w:val="sr-Cyrl-RS"/>
        </w:rPr>
        <w:t>,</w:t>
      </w:r>
      <w:r>
        <w:rPr>
          <w:color w:val="000000"/>
          <w:lang w:val="sr-Cyrl-RS"/>
        </w:rPr>
        <w:t xml:space="preserve"> повећан обим квалитетних инвестиција,</w:t>
      </w:r>
      <w:r w:rsidRPr="006F3C8E">
        <w:rPr>
          <w:color w:val="000000"/>
          <w:lang w:val="sr-Cyrl-RS"/>
        </w:rPr>
        <w:t xml:space="preserve"> </w:t>
      </w:r>
      <w:r>
        <w:rPr>
          <w:color w:val="000000"/>
          <w:lang w:val="sr-Cyrl-RS"/>
        </w:rPr>
        <w:t xml:space="preserve">промену </w:t>
      </w:r>
      <w:r w:rsidRPr="006F3C8E">
        <w:rPr>
          <w:color w:val="000000"/>
          <w:lang w:val="sr-Cyrl-RS"/>
        </w:rPr>
        <w:t>технолошк</w:t>
      </w:r>
      <w:r>
        <w:rPr>
          <w:color w:val="000000"/>
          <w:lang w:val="sr-Cyrl-RS"/>
        </w:rPr>
        <w:t>е структуре индустрије, већу аутоматизацију и дигитализацију пословних процеса</w:t>
      </w:r>
      <w:r w:rsidRPr="006F3C8E">
        <w:rPr>
          <w:color w:val="000000"/>
          <w:lang w:val="sr-Cyrl-RS"/>
        </w:rPr>
        <w:t xml:space="preserve">, </w:t>
      </w:r>
      <w:r>
        <w:rPr>
          <w:color w:val="000000"/>
          <w:lang w:val="sr-Cyrl-RS"/>
        </w:rPr>
        <w:t>подршку</w:t>
      </w:r>
      <w:r w:rsidRPr="006F3C8E">
        <w:rPr>
          <w:color w:val="000000"/>
          <w:lang w:val="sr-Cyrl-RS"/>
        </w:rPr>
        <w:t xml:space="preserve"> научно-истраживачки</w:t>
      </w:r>
      <w:r>
        <w:rPr>
          <w:color w:val="000000"/>
          <w:lang w:val="sr-Cyrl-RS"/>
        </w:rPr>
        <w:t>м</w:t>
      </w:r>
      <w:r w:rsidRPr="006F3C8E">
        <w:rPr>
          <w:color w:val="000000"/>
          <w:lang w:val="sr-Cyrl-RS"/>
        </w:rPr>
        <w:t xml:space="preserve"> и иновативни</w:t>
      </w:r>
      <w:r>
        <w:rPr>
          <w:color w:val="000000"/>
          <w:lang w:val="sr-Cyrl-RS"/>
        </w:rPr>
        <w:t>м</w:t>
      </w:r>
      <w:r w:rsidRPr="006F3C8E">
        <w:rPr>
          <w:color w:val="000000"/>
          <w:lang w:val="sr-Cyrl-RS"/>
        </w:rPr>
        <w:t xml:space="preserve"> решењ</w:t>
      </w:r>
      <w:r>
        <w:rPr>
          <w:color w:val="000000"/>
          <w:lang w:val="sr-Cyrl-RS"/>
        </w:rPr>
        <w:t>им</w:t>
      </w:r>
      <w:r w:rsidRPr="006F3C8E">
        <w:rPr>
          <w:color w:val="000000"/>
          <w:lang w:val="sr-Cyrl-RS"/>
        </w:rPr>
        <w:t>а.</w:t>
      </w:r>
    </w:p>
    <w:p w14:paraId="44B88DE8" w14:textId="77777777" w:rsidR="00DC7F92" w:rsidRDefault="00DC7F92" w:rsidP="002B64C7">
      <w:pPr>
        <w:widowControl w:val="0"/>
        <w:spacing w:after="60"/>
        <w:rPr>
          <w:rFonts w:eastAsia="Times New Roman" w:cs="Times New Roman"/>
          <w:szCs w:val="24"/>
          <w:lang w:val="sr-Cyrl-RS"/>
        </w:rPr>
      </w:pPr>
      <w:r w:rsidRPr="00C71A0D">
        <w:rPr>
          <w:rFonts w:eastAsia="Times New Roman" w:cs="Times New Roman"/>
          <w:b/>
          <w:szCs w:val="24"/>
          <w:lang w:val="sr-Cyrl-RS"/>
        </w:rPr>
        <w:t>Усклађивање националних са техничким прописима Европске уније</w:t>
      </w:r>
      <w:r w:rsidRPr="00C71A0D">
        <w:rPr>
          <w:rFonts w:eastAsia="Times New Roman" w:cs="Times New Roman"/>
          <w:szCs w:val="24"/>
          <w:lang w:val="sr-Cyrl-RS"/>
        </w:rPr>
        <w:t xml:space="preserve"> и њихова ефикасна примена кроз развијен систем инфраструктуре квалитета су предуслов за безбедност производа на домаћем тржишту и укључивање Србије у међународне и европске интеграционе токове и обезбеђивање слободног кретања робе и услуга. С тим у вези важно је усвајање </w:t>
      </w:r>
      <w:r w:rsidRPr="00C71A0D">
        <w:rPr>
          <w:rFonts w:eastAsia="Times New Roman" w:cs="Times New Roman"/>
          <w:i/>
          <w:szCs w:val="24"/>
        </w:rPr>
        <w:t>Закон</w:t>
      </w:r>
      <w:r w:rsidRPr="00C71A0D">
        <w:rPr>
          <w:rFonts w:eastAsia="Times New Roman" w:cs="Times New Roman"/>
          <w:i/>
          <w:szCs w:val="24"/>
          <w:lang w:val="sr-Cyrl-RS"/>
        </w:rPr>
        <w:t>а</w:t>
      </w:r>
      <w:r w:rsidRPr="00C71A0D">
        <w:rPr>
          <w:rFonts w:eastAsia="Times New Roman" w:cs="Times New Roman"/>
          <w:i/>
          <w:szCs w:val="24"/>
        </w:rPr>
        <w:t xml:space="preserve"> о акредитацији</w:t>
      </w:r>
      <w:r w:rsidRPr="00C71A0D">
        <w:rPr>
          <w:rFonts w:eastAsia="Times New Roman" w:cs="Times New Roman"/>
          <w:szCs w:val="24"/>
          <w:lang w:val="sr-Cyrl-RS"/>
        </w:rPr>
        <w:t xml:space="preserve"> и </w:t>
      </w:r>
      <w:r w:rsidRPr="00C71A0D">
        <w:rPr>
          <w:rFonts w:eastAsia="Times New Roman" w:cs="Times New Roman"/>
          <w:i/>
          <w:szCs w:val="24"/>
          <w:lang w:val="sr-Cyrl-RS"/>
        </w:rPr>
        <w:t>Закон о предметима од драгоцених метала</w:t>
      </w:r>
      <w:r w:rsidRPr="00C71A0D">
        <w:rPr>
          <w:rFonts w:eastAsia="Times New Roman" w:cs="Times New Roman"/>
          <w:szCs w:val="24"/>
          <w:lang w:val="sr-Cyrl-RS"/>
        </w:rPr>
        <w:t xml:space="preserve"> (</w:t>
      </w:r>
      <w:r>
        <w:rPr>
          <w:rFonts w:eastAsia="Times New Roman" w:cs="Times New Roman"/>
          <w:szCs w:val="24"/>
          <w:lang w:val="sr-Cyrl-RS"/>
        </w:rPr>
        <w:t>„</w:t>
      </w:r>
      <w:r w:rsidRPr="00C71A0D">
        <w:rPr>
          <w:rFonts w:eastAsia="Times New Roman" w:cs="Times New Roman"/>
          <w:szCs w:val="24"/>
          <w:lang w:val="sr-Cyrl-RS"/>
        </w:rPr>
        <w:t>С</w:t>
      </w:r>
      <w:r>
        <w:rPr>
          <w:rFonts w:eastAsia="Times New Roman" w:cs="Times New Roman"/>
          <w:szCs w:val="24"/>
          <w:lang w:val="sr-Cyrl-RS"/>
        </w:rPr>
        <w:t>лужбени гласник</w:t>
      </w:r>
      <w:r w:rsidRPr="00C71A0D">
        <w:rPr>
          <w:rFonts w:eastAsia="Times New Roman" w:cs="Times New Roman"/>
          <w:szCs w:val="24"/>
          <w:lang w:val="sr-Cyrl-RS"/>
        </w:rPr>
        <w:t xml:space="preserve"> РС</w:t>
      </w:r>
      <w:r>
        <w:rPr>
          <w:rFonts w:eastAsia="Times New Roman" w:cs="Times New Roman"/>
          <w:szCs w:val="24"/>
          <w:lang w:val="sr-Cyrl-RS"/>
        </w:rPr>
        <w:t>“, бр.</w:t>
      </w:r>
      <w:r w:rsidRPr="00C71A0D">
        <w:rPr>
          <w:rFonts w:eastAsia="Times New Roman" w:cs="Times New Roman"/>
          <w:szCs w:val="24"/>
          <w:lang w:val="sr-Cyrl-RS"/>
        </w:rPr>
        <w:t xml:space="preserve"> 47/2021), као и</w:t>
      </w:r>
      <w:r w:rsidRPr="00C71A0D">
        <w:rPr>
          <w:rFonts w:eastAsia="Times New Roman" w:cs="Times New Roman"/>
          <w:szCs w:val="24"/>
        </w:rPr>
        <w:t xml:space="preserve"> </w:t>
      </w:r>
      <w:r w:rsidRPr="00C71A0D">
        <w:rPr>
          <w:rFonts w:eastAsia="Times New Roman" w:cs="Times New Roman"/>
          <w:i/>
          <w:szCs w:val="24"/>
          <w:lang w:val="sr-Cyrl-RS"/>
        </w:rPr>
        <w:t>Закона о техничким захтевима за производе и оцењивању усаглашености</w:t>
      </w:r>
      <w:r w:rsidRPr="00C71A0D">
        <w:rPr>
          <w:rFonts w:eastAsia="Times New Roman" w:cs="Times New Roman"/>
          <w:szCs w:val="24"/>
          <w:lang w:val="sr-Cyrl-RS"/>
        </w:rPr>
        <w:t xml:space="preserve"> (</w:t>
      </w:r>
      <w:r>
        <w:rPr>
          <w:rFonts w:eastAsia="Times New Roman" w:cs="Times New Roman"/>
          <w:szCs w:val="24"/>
          <w:lang w:val="sr-Cyrl-RS"/>
        </w:rPr>
        <w:t>„</w:t>
      </w:r>
      <w:r w:rsidRPr="00C71A0D">
        <w:rPr>
          <w:rFonts w:eastAsia="Times New Roman" w:cs="Times New Roman"/>
          <w:szCs w:val="24"/>
          <w:lang w:val="sr-Cyrl-RS"/>
        </w:rPr>
        <w:t>С</w:t>
      </w:r>
      <w:r>
        <w:rPr>
          <w:rFonts w:eastAsia="Times New Roman" w:cs="Times New Roman"/>
          <w:szCs w:val="24"/>
          <w:lang w:val="sr-Cyrl-RS"/>
        </w:rPr>
        <w:t>лужбени гласник</w:t>
      </w:r>
      <w:r w:rsidRPr="00C71A0D">
        <w:rPr>
          <w:rFonts w:eastAsia="Times New Roman" w:cs="Times New Roman"/>
          <w:szCs w:val="24"/>
          <w:lang w:val="sr-Cyrl-RS"/>
        </w:rPr>
        <w:t xml:space="preserve"> РС</w:t>
      </w:r>
      <w:r>
        <w:rPr>
          <w:rFonts w:eastAsia="Times New Roman" w:cs="Times New Roman"/>
          <w:szCs w:val="24"/>
          <w:lang w:val="sr-Cyrl-RS"/>
        </w:rPr>
        <w:t>“, бр.</w:t>
      </w:r>
      <w:r w:rsidRPr="00C71A0D">
        <w:rPr>
          <w:rFonts w:eastAsia="Times New Roman" w:cs="Times New Roman"/>
          <w:szCs w:val="24"/>
          <w:lang w:val="sr-Cyrl-RS"/>
        </w:rPr>
        <w:t xml:space="preserve"> 49/2021)</w:t>
      </w:r>
      <w:r w:rsidRPr="00C71A0D">
        <w:rPr>
          <w:rFonts w:eastAsia="Times New Roman" w:cs="Times New Roman"/>
          <w:szCs w:val="24"/>
        </w:rPr>
        <w:t xml:space="preserve">, </w:t>
      </w:r>
      <w:r w:rsidRPr="00C71A0D">
        <w:rPr>
          <w:rFonts w:eastAsia="Times New Roman" w:cs="Times New Roman"/>
          <w:szCs w:val="24"/>
          <w:lang w:val="sr-Cyrl-RS"/>
        </w:rPr>
        <w:t xml:space="preserve">у мају 2021. године. Као одговор на потребе привреде креиран је инструмент финансијске </w:t>
      </w:r>
      <w:r w:rsidRPr="00C71A0D">
        <w:rPr>
          <w:rFonts w:eastAsia="Times New Roman" w:cs="Times New Roman"/>
          <w:szCs w:val="24"/>
          <w:lang w:val="sr-Cyrl-RS"/>
        </w:rPr>
        <w:lastRenderedPageBreak/>
        <w:t xml:space="preserve">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унапређењу доступности свих других услуга у области инфраструктуре квалитета. У току је развој </w:t>
      </w:r>
      <w:r w:rsidRPr="00C71A0D">
        <w:rPr>
          <w:rFonts w:eastAsia="Times New Roman" w:cs="Times New Roman"/>
          <w:i/>
          <w:szCs w:val="24"/>
          <w:lang w:val="sr-Cyrl-RS"/>
        </w:rPr>
        <w:t>Програма</w:t>
      </w:r>
      <w:r w:rsidRPr="00C71A0D">
        <w:rPr>
          <w:rFonts w:eastAsia="Times New Roman" w:cs="Times New Roman"/>
          <w:szCs w:val="24"/>
          <w:lang w:val="sr-Cyrl-RS"/>
        </w:rPr>
        <w:t xml:space="preserve"> финансијске подршке привредним субјектима на унапређењу квалитета производа и услуга.</w:t>
      </w:r>
    </w:p>
    <w:p w14:paraId="7728D11F" w14:textId="77777777" w:rsidR="00DC7F92" w:rsidRPr="008D25BC" w:rsidRDefault="00DC7F92" w:rsidP="002B64C7">
      <w:pPr>
        <w:pStyle w:val="Standard"/>
        <w:widowControl w:val="0"/>
        <w:spacing w:after="60"/>
        <w:jc w:val="both"/>
        <w:rPr>
          <w:rFonts w:cs="Times New Roman"/>
          <w:noProof/>
          <w:lang w:val="sr-Cyrl-RS"/>
        </w:rPr>
      </w:pPr>
      <w:r w:rsidRPr="008D25BC">
        <w:rPr>
          <w:b/>
          <w:lang w:val="sr-Cyrl-RS"/>
        </w:rPr>
        <w:t xml:space="preserve">Услужни сектор (укључујући и грађевинарство) са доминантним учешћем у БДП (57%) био је највише погођен пандемијом током 2020. године. </w:t>
      </w:r>
      <w:r w:rsidRPr="008D25BC">
        <w:rPr>
          <w:lang w:val="sr-Cyrl-RS"/>
        </w:rPr>
        <w:t>Најзначајнији негативан допринос БДП посматрано по агрегатима употребе, имала је приватна потрошња услед присутних ограничења и примене здравствених мера и последично мањег коришћења туристичких, угоститељских и саобраћајних услуга због продуженог дејства епидемије. Истовремено, остварен је р</w:t>
      </w:r>
      <w:r w:rsidRPr="008D25BC">
        <w:rPr>
          <w:rFonts w:cs="Times New Roman"/>
          <w:noProof/>
          <w:lang w:val="sr-Cyrl-RS"/>
        </w:rPr>
        <w:t xml:space="preserve">екордан суфицит у трговини услугама у 2020. години (око 1,1 млрд. </w:t>
      </w:r>
      <w:r>
        <w:rPr>
          <w:rFonts w:cs="Times New Roman"/>
          <w:noProof/>
          <w:lang w:val="sr-Cyrl-RS"/>
        </w:rPr>
        <w:t>евра</w:t>
      </w:r>
      <w:r w:rsidRPr="008D25BC">
        <w:rPr>
          <w:rFonts w:cs="Times New Roman"/>
          <w:noProof/>
          <w:lang w:val="sr-Cyrl-RS"/>
        </w:rPr>
        <w:t xml:space="preserve">), уз раст од </w:t>
      </w:r>
      <w:r>
        <w:rPr>
          <w:rFonts w:cs="Times New Roman"/>
          <w:noProof/>
          <w:lang w:val="sr-Cyrl-RS"/>
        </w:rPr>
        <w:t>8,9</w:t>
      </w:r>
      <w:r w:rsidRPr="008D25BC">
        <w:rPr>
          <w:rFonts w:cs="Times New Roman"/>
          <w:noProof/>
          <w:lang w:val="sr-Cyrl-RS"/>
        </w:rPr>
        <w:t>%</w:t>
      </w:r>
      <w:r>
        <w:rPr>
          <w:rFonts w:cs="Times New Roman"/>
          <w:noProof/>
          <w:lang w:val="sr-Cyrl-RS"/>
        </w:rPr>
        <w:t xml:space="preserve"> мг</w:t>
      </w:r>
      <w:r w:rsidRPr="008D25BC">
        <w:rPr>
          <w:rFonts w:cs="Times New Roman"/>
          <w:noProof/>
          <w:lang w:val="sr-Cyrl-RS"/>
        </w:rPr>
        <w:t>, што показује независност овог сектора од утицаја пандемије, као и његов прогресиван развој из године у годину. С</w:t>
      </w:r>
      <w:r w:rsidRPr="008D25BC">
        <w:rPr>
          <w:lang w:val="sr-Cyrl-RS"/>
        </w:rPr>
        <w:t xml:space="preserve">ектор услуга карактеришу позитивна кретања у 2021. години. Први пут од избијања епидемије овај сектор бележи позитиван допринос расту БДП од 0,5 п.п. у првом кварталу 2021. пре свега услед раста у делатностима трговине, ИКТ и финансијских услуга. У истом периоду туристичке дестинације је посетило 989 хиљ. туриста, што је повећање од 26,7% мг, уз раст броја остварених ноћења за 22,5% мг и девизног прилива по основу туризма за </w:t>
      </w:r>
      <w:r w:rsidRPr="00C44ED1">
        <w:rPr>
          <w:lang w:val="sr-Cyrl-RS"/>
        </w:rPr>
        <w:t xml:space="preserve">за 33,1% мг. </w:t>
      </w:r>
      <w:r w:rsidRPr="008D25BC">
        <w:rPr>
          <w:lang w:val="sr-Cyrl-RS"/>
        </w:rPr>
        <w:t xml:space="preserve">Раст извоза услуга </w:t>
      </w:r>
      <w:r>
        <w:rPr>
          <w:lang w:val="sr-Cyrl-RS"/>
        </w:rPr>
        <w:t xml:space="preserve">у првом полугодишту </w:t>
      </w:r>
      <w:r w:rsidRPr="008D25BC">
        <w:rPr>
          <w:lang w:val="sr-Cyrl-RS"/>
        </w:rPr>
        <w:t>од 18,</w:t>
      </w:r>
      <w:r>
        <w:rPr>
          <w:lang w:val="sr-Cyrl-RS"/>
        </w:rPr>
        <w:t>1</w:t>
      </w:r>
      <w:r w:rsidRPr="008D25BC">
        <w:rPr>
          <w:lang w:val="sr-Cyrl-RS"/>
        </w:rPr>
        <w:t>% мг праћен је растом готово свих услужних делатности, при чему је извоз туристичких и ИКТ услуга, обезбедио најзначајнији позитиван допринос (раст од 33,1% и 17,6% мг, респективно).</w:t>
      </w:r>
      <w:r w:rsidRPr="008D25BC">
        <w:t xml:space="preserve"> </w:t>
      </w:r>
    </w:p>
    <w:p w14:paraId="73EB9C47" w14:textId="77777777" w:rsidR="00DC7F92" w:rsidRPr="00C32D10" w:rsidRDefault="00DC7F92" w:rsidP="002B64C7">
      <w:pPr>
        <w:spacing w:after="60"/>
        <w:rPr>
          <w:rFonts w:cs="Times New Roman"/>
          <w:noProof/>
          <w:szCs w:val="24"/>
          <w:lang w:val="sr-Cyrl-RS"/>
        </w:rPr>
      </w:pPr>
      <w:r>
        <w:rPr>
          <w:rFonts w:cs="Times New Roman"/>
          <w:b/>
          <w:noProof/>
          <w:szCs w:val="24"/>
          <w:lang w:val="sr-Cyrl-RS"/>
        </w:rPr>
        <w:t xml:space="preserve">Опоравак у </w:t>
      </w:r>
      <w:r w:rsidRPr="00813FA1">
        <w:rPr>
          <w:rFonts w:cs="Times New Roman"/>
          <w:b/>
          <w:noProof/>
          <w:szCs w:val="24"/>
          <w:lang w:val="sr-Cyrl-RS"/>
        </w:rPr>
        <w:t>сектору туризма</w:t>
      </w:r>
      <w:r>
        <w:rPr>
          <w:rFonts w:cs="Times New Roman"/>
          <w:b/>
          <w:noProof/>
          <w:szCs w:val="24"/>
          <w:lang w:val="sr-Cyrl-RS"/>
        </w:rPr>
        <w:t xml:space="preserve"> зависи од  даљег ширења пандемије, а</w:t>
      </w:r>
      <w:r w:rsidRPr="00813FA1">
        <w:rPr>
          <w:rFonts w:cs="Times New Roman"/>
          <w:b/>
          <w:noProof/>
          <w:szCs w:val="24"/>
          <w:lang w:val="sr-Cyrl-RS"/>
        </w:rPr>
        <w:t xml:space="preserve"> </w:t>
      </w:r>
      <w:r>
        <w:rPr>
          <w:rFonts w:cs="Times New Roman"/>
          <w:b/>
          <w:noProof/>
          <w:szCs w:val="24"/>
          <w:lang w:val="sr-Cyrl-RS"/>
        </w:rPr>
        <w:t xml:space="preserve">у </w:t>
      </w:r>
      <w:r w:rsidRPr="00813FA1">
        <w:rPr>
          <w:rFonts w:cs="Times New Roman"/>
          <w:b/>
          <w:noProof/>
          <w:szCs w:val="24"/>
          <w:lang w:val="sr-Cyrl-RS"/>
        </w:rPr>
        <w:t xml:space="preserve">највећој мери </w:t>
      </w:r>
      <w:r>
        <w:rPr>
          <w:rFonts w:cs="Times New Roman"/>
          <w:b/>
          <w:noProof/>
          <w:szCs w:val="24"/>
          <w:lang w:val="sr-Cyrl-RS"/>
        </w:rPr>
        <w:t>ће се одразити на долазак страних туриста.</w:t>
      </w:r>
      <w:r w:rsidRPr="00686A1F">
        <w:rPr>
          <w:rFonts w:cs="Times New Roman"/>
          <w:noProof/>
          <w:szCs w:val="24"/>
          <w:lang w:val="sr-Cyrl-RS"/>
        </w:rPr>
        <w:t xml:space="preserve"> </w:t>
      </w:r>
      <w:r w:rsidRPr="00CF3CDA">
        <w:rPr>
          <w:rFonts w:cs="Times New Roman"/>
          <w:noProof/>
          <w:szCs w:val="24"/>
          <w:lang w:val="sr-Cyrl-RS"/>
        </w:rPr>
        <w:t>Како би се превазишла постојећа криза у сектору</w:t>
      </w:r>
      <w:r w:rsidRPr="00C32D10">
        <w:rPr>
          <w:rFonts w:cs="Times New Roman"/>
          <w:noProof/>
          <w:szCs w:val="24"/>
          <w:lang w:val="sr-Cyrl-RS"/>
        </w:rPr>
        <w:t xml:space="preserve"> туризма, поред подршке државе неопходно је и прилагодити понуду туристичких производа и услуга у складу са новонасталом ситуацијом. Потребно је додатно унапредити капацитете у туризму како би се остварила одрживост и испунили циљеви очувања животне средине и смањило глобално загревање у складу са Европским зеленим договором, као и имплементирати системе дестинацијског менаџмента како би домаће дестинације иновирале систем маркетинга и управљања.</w:t>
      </w:r>
      <w:r w:rsidRPr="003F4FEF">
        <w:rPr>
          <w:rFonts w:cs="Times New Roman"/>
          <w:noProof/>
          <w:szCs w:val="24"/>
          <w:lang w:val="sr-Cyrl-RS"/>
        </w:rPr>
        <w:t xml:space="preserve"> </w:t>
      </w:r>
      <w:r w:rsidRPr="00C32D10">
        <w:rPr>
          <w:rFonts w:cs="Times New Roman"/>
          <w:noProof/>
          <w:szCs w:val="24"/>
          <w:lang w:val="sr-Cyrl-RS"/>
        </w:rPr>
        <w:t xml:space="preserve">Подстицај развоја домаћег туризма спроводи се кроз доделу ваучера за субвенционисано коришћење услуга смештаја у угоститељским објектима на територији Републике Србије. </w:t>
      </w:r>
      <w:r w:rsidRPr="000530B8">
        <w:rPr>
          <w:rFonts w:cs="Times New Roman"/>
          <w:noProof/>
          <w:szCs w:val="24"/>
          <w:lang w:val="sr-Cyrl-RS"/>
        </w:rPr>
        <w:t xml:space="preserve">Током 2020. издато </w:t>
      </w:r>
      <w:r w:rsidRPr="00BA3B74">
        <w:rPr>
          <w:rFonts w:cs="Times New Roman"/>
          <w:noProof/>
          <w:szCs w:val="24"/>
          <w:lang w:val="sr-Cyrl-RS"/>
        </w:rPr>
        <w:t>је 272.856</w:t>
      </w:r>
      <w:r>
        <w:rPr>
          <w:rStyle w:val="FootnoteReference"/>
          <w:rFonts w:cs="Times New Roman"/>
          <w:noProof/>
          <w:szCs w:val="24"/>
          <w:lang w:val="sr-Cyrl-RS"/>
        </w:rPr>
        <w:footnoteReference w:id="106"/>
      </w:r>
      <w:r w:rsidRPr="00BA3B74">
        <w:rPr>
          <w:rFonts w:cs="Times New Roman"/>
          <w:noProof/>
          <w:szCs w:val="24"/>
          <w:lang w:val="sr-Cyrl-RS"/>
        </w:rPr>
        <w:t xml:space="preserve"> ваучера за </w:t>
      </w:r>
      <w:r w:rsidRPr="000530B8">
        <w:rPr>
          <w:rFonts w:cs="Times New Roman"/>
          <w:noProof/>
          <w:szCs w:val="24"/>
          <w:lang w:val="sr-Cyrl-RS"/>
        </w:rPr>
        <w:t>одмор у Србији</w:t>
      </w:r>
      <w:r>
        <w:rPr>
          <w:rFonts w:cs="Times New Roman"/>
          <w:noProof/>
          <w:szCs w:val="24"/>
          <w:lang w:val="sr-Cyrl-RS"/>
        </w:rPr>
        <w:t xml:space="preserve">, док су </w:t>
      </w:r>
      <w:r w:rsidRPr="00B825FD">
        <w:rPr>
          <w:rFonts w:cs="Times New Roman"/>
          <w:noProof/>
          <w:szCs w:val="24"/>
          <w:lang w:val="sr-Cyrl-RS"/>
        </w:rPr>
        <w:t>у 2021.</w:t>
      </w:r>
      <w:r>
        <w:rPr>
          <w:rFonts w:cs="Times New Roman"/>
          <w:noProof/>
          <w:szCs w:val="24"/>
          <w:lang w:val="sr-Cyrl-RS"/>
        </w:rPr>
        <w:t xml:space="preserve"> обезбеђена средства за </w:t>
      </w:r>
      <w:r w:rsidRPr="00CF3CDA">
        <w:rPr>
          <w:rFonts w:cs="Times New Roman"/>
          <w:noProof/>
          <w:szCs w:val="24"/>
          <w:lang w:val="sr-Cyrl-RS"/>
        </w:rPr>
        <w:t>1</w:t>
      </w:r>
      <w:r>
        <w:rPr>
          <w:rFonts w:cs="Times New Roman"/>
          <w:noProof/>
          <w:szCs w:val="24"/>
          <w:lang w:val="sr-Cyrl-RS"/>
        </w:rPr>
        <w:t>5</w:t>
      </w:r>
      <w:r w:rsidRPr="00CF3CDA">
        <w:rPr>
          <w:rFonts w:cs="Times New Roman"/>
          <w:noProof/>
          <w:szCs w:val="24"/>
          <w:lang w:val="sr-Cyrl-RS"/>
        </w:rPr>
        <w:t>0.000 ваучера</w:t>
      </w:r>
      <w:r>
        <w:rPr>
          <w:rFonts w:cs="Times New Roman"/>
          <w:noProof/>
          <w:szCs w:val="24"/>
          <w:lang w:val="sr-Cyrl-RS"/>
        </w:rPr>
        <w:t>,</w:t>
      </w:r>
      <w:r w:rsidRPr="00CF3CDA">
        <w:rPr>
          <w:rFonts w:cs="Times New Roman"/>
          <w:noProof/>
          <w:szCs w:val="24"/>
          <w:lang w:val="sr-Cyrl-RS"/>
        </w:rPr>
        <w:t xml:space="preserve"> </w:t>
      </w:r>
      <w:r>
        <w:rPr>
          <w:rFonts w:cs="Times New Roman"/>
          <w:bCs/>
          <w:noProof/>
          <w:szCs w:val="24"/>
          <w:lang w:val="sr-Cyrl-RS"/>
        </w:rPr>
        <w:t xml:space="preserve">који су </w:t>
      </w:r>
      <w:r w:rsidRPr="00CF3CDA">
        <w:rPr>
          <w:rFonts w:cs="Times New Roman"/>
          <w:noProof/>
          <w:szCs w:val="24"/>
          <w:lang w:val="sr-Cyrl-RS"/>
        </w:rPr>
        <w:t>подељени заинтересованим грађанима.</w:t>
      </w:r>
    </w:p>
    <w:p w14:paraId="30D7401D" w14:textId="77777777" w:rsidR="00DC7F92" w:rsidRPr="00DC27E1" w:rsidRDefault="00DC7F92" w:rsidP="002B64C7">
      <w:pPr>
        <w:spacing w:after="60"/>
        <w:rPr>
          <w:rFonts w:eastAsia="Times New Roman" w:cs="Times New Roman"/>
          <w:noProof/>
          <w:szCs w:val="24"/>
          <w:lang w:val="sr-Cyrl-RS"/>
        </w:rPr>
      </w:pPr>
      <w:r w:rsidRPr="00DC27E1">
        <w:rPr>
          <w:rFonts w:eastAsia="Times New Roman" w:cs="Times New Roman"/>
          <w:b/>
          <w:noProof/>
          <w:szCs w:val="24"/>
          <w:lang w:val="sr-Cyrl-RS"/>
        </w:rPr>
        <w:t>У условима ограниченог кретања током трајања ванредног стања због пандемије, е-трговинa je током 2020. године нарочито добила на значају</w:t>
      </w:r>
      <w:r w:rsidRPr="00DC27E1">
        <w:rPr>
          <w:rFonts w:eastAsia="Times New Roman" w:cs="Times New Roman"/>
          <w:noProof/>
          <w:szCs w:val="24"/>
          <w:lang w:val="sr-Cyrl-RS"/>
        </w:rPr>
        <w:t xml:space="preserve">. Реализовано </w:t>
      </w:r>
      <w:r>
        <w:rPr>
          <w:rFonts w:eastAsia="Times New Roman" w:cs="Times New Roman"/>
          <w:noProof/>
          <w:szCs w:val="24"/>
          <w:lang w:val="sr-Cyrl-RS"/>
        </w:rPr>
        <w:t xml:space="preserve">је </w:t>
      </w:r>
      <w:r w:rsidRPr="00FE0480">
        <w:rPr>
          <w:rFonts w:eastAsia="Times New Roman" w:cs="Times New Roman"/>
          <w:noProof/>
          <w:szCs w:val="24"/>
          <w:lang w:val="sr-Cyrl-RS"/>
        </w:rPr>
        <w:t xml:space="preserve">20,2 милиона </w:t>
      </w:r>
      <w:r w:rsidRPr="00DC27E1">
        <w:rPr>
          <w:rFonts w:eastAsia="Times New Roman" w:cs="Times New Roman"/>
          <w:noProof/>
          <w:szCs w:val="24"/>
          <w:lang w:val="sr-Cyrl-RS"/>
        </w:rPr>
        <w:t xml:space="preserve">трансакција </w:t>
      </w:r>
      <w:r w:rsidRPr="00FE0480">
        <w:rPr>
          <w:rFonts w:eastAsia="Times New Roman" w:cs="Times New Roman"/>
          <w:noProof/>
          <w:szCs w:val="24"/>
          <w:lang w:val="sr-Cyrl-RS"/>
        </w:rPr>
        <w:t xml:space="preserve">употребом платним картицама </w:t>
      </w:r>
      <w:r w:rsidRPr="00DC27E1">
        <w:rPr>
          <w:rFonts w:eastAsia="Times New Roman" w:cs="Times New Roman"/>
          <w:noProof/>
          <w:szCs w:val="24"/>
          <w:lang w:val="sr-Cyrl-RS"/>
        </w:rPr>
        <w:t xml:space="preserve">преко интернета </w:t>
      </w:r>
      <w:r w:rsidRPr="00FE0480">
        <w:rPr>
          <w:rFonts w:eastAsia="Times New Roman" w:cs="Times New Roman"/>
          <w:noProof/>
          <w:szCs w:val="24"/>
          <w:lang w:val="sr-Cyrl-RS"/>
        </w:rPr>
        <w:t xml:space="preserve">за куповину роба и услуга у одабраним валутама из корпе валута којима је обављена куповина роба и услуга преко интернета, </w:t>
      </w:r>
      <w:r w:rsidRPr="00DC27E1">
        <w:rPr>
          <w:rFonts w:eastAsia="Times New Roman" w:cs="Times New Roman"/>
          <w:noProof/>
          <w:szCs w:val="24"/>
          <w:lang w:val="sr-Cyrl-RS"/>
        </w:rPr>
        <w:t>што је</w:t>
      </w:r>
      <w:r w:rsidRPr="00DC27E1">
        <w:rPr>
          <w:rFonts w:eastAsia="Times New Roman" w:cs="Times New Roman"/>
          <w:b/>
          <w:noProof/>
          <w:szCs w:val="24"/>
          <w:lang w:val="sr-Cyrl-RS"/>
        </w:rPr>
        <w:t xml:space="preserve"> </w:t>
      </w:r>
      <w:r w:rsidRPr="00DC27E1">
        <w:rPr>
          <w:rFonts w:eastAsia="Times New Roman" w:cs="Times New Roman"/>
          <w:noProof/>
          <w:szCs w:val="24"/>
          <w:lang w:val="sr-Cyrl-RS"/>
        </w:rPr>
        <w:t xml:space="preserve">за 65,9% више него 2019. године, при чему су динарске трансакције платним картицама повећане два пута (на 14, 2 милиона трансакција у 2020. са 7 милиона у 2019. години). </w:t>
      </w:r>
      <w:r w:rsidRPr="00FE0480">
        <w:rPr>
          <w:rFonts w:eastAsia="Times New Roman" w:cs="Times New Roman"/>
          <w:noProof/>
          <w:szCs w:val="24"/>
          <w:lang w:val="sr-Cyrl-RS"/>
        </w:rPr>
        <w:t>Истовремено</w:t>
      </w:r>
      <w:r w:rsidRPr="00DC27E1">
        <w:rPr>
          <w:rFonts w:eastAsia="Times New Roman" w:cs="Times New Roman"/>
          <w:noProof/>
          <w:szCs w:val="24"/>
          <w:lang w:val="sr-Cyrl-RS"/>
        </w:rPr>
        <w:t>, удвостручен је и број приговора потрошача на онлајн куповину (1.640 у 2020. наспрам 792 у 2019. години)</w:t>
      </w:r>
      <w:r w:rsidRPr="00DC27E1">
        <w:rPr>
          <w:rStyle w:val="FootnoteReference"/>
          <w:rFonts w:eastAsia="Times New Roman" w:cs="Times New Roman"/>
          <w:noProof/>
          <w:szCs w:val="24"/>
          <w:lang w:val="sr-Cyrl-RS"/>
        </w:rPr>
        <w:footnoteReference w:id="107"/>
      </w:r>
      <w:r w:rsidRPr="00DC27E1">
        <w:rPr>
          <w:rFonts w:eastAsia="Times New Roman" w:cs="Times New Roman"/>
          <w:noProof/>
          <w:szCs w:val="24"/>
          <w:lang w:val="sr-Cyrl-RS"/>
        </w:rPr>
        <w:t xml:space="preserve">. </w:t>
      </w:r>
      <w:r w:rsidRPr="00DC27E1">
        <w:rPr>
          <w:rFonts w:cs="Times New Roman"/>
          <w:noProof/>
          <w:szCs w:val="24"/>
          <w:lang w:val="sr-Cyrl-RS"/>
        </w:rPr>
        <w:t>Позитивне тенденције е-трговине настављене су и током прв</w:t>
      </w:r>
      <w:r>
        <w:rPr>
          <w:rFonts w:cs="Times New Roman"/>
          <w:noProof/>
          <w:szCs w:val="24"/>
          <w:lang w:val="sr-Cyrl-RS"/>
        </w:rPr>
        <w:t>е</w:t>
      </w:r>
      <w:r w:rsidRPr="00DC27E1">
        <w:rPr>
          <w:rFonts w:cs="Times New Roman"/>
          <w:noProof/>
          <w:szCs w:val="24"/>
          <w:lang w:val="sr-Cyrl-RS"/>
        </w:rPr>
        <w:t xml:space="preserve"> </w:t>
      </w:r>
      <w:r w:rsidRPr="00FE0480">
        <w:rPr>
          <w:rFonts w:cs="Times New Roman"/>
          <w:noProof/>
          <w:szCs w:val="24"/>
          <w:lang w:val="sr-Cyrl-RS"/>
        </w:rPr>
        <w:t>половине</w:t>
      </w:r>
      <w:r w:rsidRPr="00DC27E1">
        <w:rPr>
          <w:rFonts w:cs="Times New Roman"/>
          <w:noProof/>
          <w:szCs w:val="24"/>
          <w:lang w:val="sr-Cyrl-RS"/>
        </w:rPr>
        <w:t xml:space="preserve"> 2021. године (</w:t>
      </w:r>
      <w:r>
        <w:rPr>
          <w:rFonts w:cs="Times New Roman"/>
          <w:noProof/>
          <w:szCs w:val="24"/>
          <w:lang w:val="sr-Cyrl-RS"/>
        </w:rPr>
        <w:t>14,6</w:t>
      </w:r>
      <w:r w:rsidRPr="00DC27E1">
        <w:rPr>
          <w:rFonts w:cs="Times New Roman"/>
          <w:noProof/>
          <w:szCs w:val="24"/>
          <w:lang w:val="sr-Cyrl-RS"/>
        </w:rPr>
        <w:t xml:space="preserve"> милиона трансакција</w:t>
      </w:r>
      <w:r>
        <w:rPr>
          <w:rFonts w:cs="Times New Roman"/>
          <w:noProof/>
          <w:szCs w:val="24"/>
          <w:lang w:val="sr-Cyrl-RS"/>
        </w:rPr>
        <w:t xml:space="preserve"> куповине роба и услуга на интернету извршених платним картицама</w:t>
      </w:r>
      <w:r w:rsidRPr="00DC27E1">
        <w:rPr>
          <w:rFonts w:cs="Times New Roman"/>
          <w:noProof/>
          <w:szCs w:val="24"/>
          <w:lang w:val="sr-Cyrl-RS"/>
        </w:rPr>
        <w:t xml:space="preserve">, што је раст од </w:t>
      </w:r>
      <w:r>
        <w:rPr>
          <w:rFonts w:cs="Times New Roman"/>
          <w:noProof/>
          <w:szCs w:val="24"/>
          <w:lang w:val="sr-Cyrl-RS"/>
        </w:rPr>
        <w:t>71</w:t>
      </w:r>
      <w:r w:rsidRPr="00DC27E1">
        <w:rPr>
          <w:rFonts w:cs="Times New Roman"/>
          <w:noProof/>
          <w:szCs w:val="24"/>
          <w:lang w:val="sr-Cyrl-RS"/>
        </w:rPr>
        <w:t xml:space="preserve">% мг). </w:t>
      </w:r>
    </w:p>
    <w:p w14:paraId="4CC356CD" w14:textId="77777777" w:rsidR="00DC7F92" w:rsidRDefault="00DC7F92" w:rsidP="002B64C7">
      <w:pPr>
        <w:spacing w:after="60"/>
        <w:rPr>
          <w:rFonts w:cs="Times New Roman"/>
          <w:noProof/>
          <w:szCs w:val="24"/>
          <w:lang w:val="sr-Cyrl-RS"/>
        </w:rPr>
      </w:pPr>
      <w:r w:rsidRPr="00DC27E1">
        <w:rPr>
          <w:rFonts w:cs="Times New Roman"/>
          <w:b/>
          <w:noProof/>
          <w:szCs w:val="24"/>
          <w:lang w:val="sr-Cyrl-RS"/>
        </w:rPr>
        <w:lastRenderedPageBreak/>
        <w:t>Повећао се и укупан број виртуелних продајних места</w:t>
      </w:r>
      <w:r w:rsidRPr="00DC27E1">
        <w:rPr>
          <w:rFonts w:cs="Times New Roman"/>
          <w:noProof/>
          <w:szCs w:val="24"/>
          <w:lang w:val="sr-Cyrl-RS"/>
        </w:rPr>
        <w:t xml:space="preserve">, тако да је </w:t>
      </w:r>
      <w:r>
        <w:rPr>
          <w:rFonts w:cs="Times New Roman"/>
          <w:noProof/>
          <w:szCs w:val="24"/>
          <w:lang w:val="sr-Cyrl-RS"/>
        </w:rPr>
        <w:t>на крај</w:t>
      </w:r>
      <w:r w:rsidRPr="00DC27E1">
        <w:rPr>
          <w:rFonts w:cs="Times New Roman"/>
          <w:noProof/>
          <w:szCs w:val="24"/>
          <w:lang w:val="sr-Cyrl-RS"/>
        </w:rPr>
        <w:t xml:space="preserve">у 2020. било укупно 2.013 виртуелних продајних места </w:t>
      </w:r>
      <w:r w:rsidRPr="00DC27E1">
        <w:rPr>
          <w:rFonts w:cs="Times New Roman"/>
          <w:noProof/>
          <w:szCs w:val="24"/>
          <w:lang w:val="sr-Latn-RS"/>
        </w:rPr>
        <w:t>(1.139</w:t>
      </w:r>
      <w:r w:rsidRPr="00DC27E1">
        <w:rPr>
          <w:rFonts w:cs="Times New Roman"/>
          <w:noProof/>
          <w:szCs w:val="24"/>
          <w:lang w:val="sr-Cyrl-RS"/>
        </w:rPr>
        <w:t xml:space="preserve"> </w:t>
      </w:r>
      <w:r>
        <w:rPr>
          <w:rFonts w:cs="Times New Roman"/>
          <w:noProof/>
          <w:szCs w:val="24"/>
          <w:lang w:val="sr-Cyrl-RS"/>
        </w:rPr>
        <w:t>на крај</w:t>
      </w:r>
      <w:r w:rsidRPr="00DC27E1">
        <w:rPr>
          <w:rFonts w:cs="Times New Roman"/>
          <w:noProof/>
          <w:szCs w:val="24"/>
          <w:lang w:val="sr-Cyrl-RS"/>
        </w:rPr>
        <w:t>у 2019. годин</w:t>
      </w:r>
      <w:r>
        <w:rPr>
          <w:rFonts w:cs="Times New Roman"/>
          <w:noProof/>
          <w:szCs w:val="24"/>
          <w:lang w:val="sr-Cyrl-RS"/>
        </w:rPr>
        <w:t>е</w:t>
      </w:r>
      <w:r w:rsidRPr="00DC27E1">
        <w:rPr>
          <w:rFonts w:cs="Times New Roman"/>
          <w:noProof/>
          <w:szCs w:val="24"/>
          <w:lang w:val="sr-Cyrl-RS"/>
        </w:rPr>
        <w:t>), односно 2.</w:t>
      </w:r>
      <w:r>
        <w:rPr>
          <w:rFonts w:cs="Times New Roman"/>
          <w:noProof/>
          <w:szCs w:val="24"/>
          <w:lang w:val="sr-Cyrl-RS"/>
        </w:rPr>
        <w:t>492</w:t>
      </w:r>
      <w:r w:rsidRPr="00DC27E1">
        <w:rPr>
          <w:rStyle w:val="FootnoteReference"/>
          <w:rFonts w:cs="Times New Roman"/>
          <w:noProof/>
          <w:lang w:val="sr-Cyrl-RS"/>
        </w:rPr>
        <w:footnoteReference w:id="108"/>
      </w:r>
      <w:r w:rsidRPr="00DC27E1">
        <w:rPr>
          <w:rFonts w:cs="Times New Roman"/>
          <w:noProof/>
          <w:szCs w:val="24"/>
          <w:lang w:val="sr-Cyrl-RS"/>
        </w:rPr>
        <w:t xml:space="preserve"> виртуелн</w:t>
      </w:r>
      <w:r>
        <w:rPr>
          <w:rFonts w:cs="Times New Roman"/>
          <w:noProof/>
          <w:szCs w:val="24"/>
          <w:lang w:val="sr-Cyrl-RS"/>
        </w:rPr>
        <w:t>а</w:t>
      </w:r>
      <w:r w:rsidRPr="00DC27E1">
        <w:rPr>
          <w:rFonts w:cs="Times New Roman"/>
          <w:noProof/>
          <w:szCs w:val="24"/>
          <w:lang w:val="sr-Cyrl-RS"/>
        </w:rPr>
        <w:t xml:space="preserve"> продајн</w:t>
      </w:r>
      <w:r>
        <w:rPr>
          <w:rFonts w:cs="Times New Roman"/>
          <w:noProof/>
          <w:szCs w:val="24"/>
          <w:lang w:val="sr-Cyrl-RS"/>
        </w:rPr>
        <w:t>а</w:t>
      </w:r>
      <w:r w:rsidRPr="00DC27E1">
        <w:rPr>
          <w:rFonts w:cs="Times New Roman"/>
          <w:noProof/>
          <w:szCs w:val="24"/>
          <w:lang w:val="sr-Cyrl-RS"/>
        </w:rPr>
        <w:t xml:space="preserve"> мест</w:t>
      </w:r>
      <w:r>
        <w:rPr>
          <w:rFonts w:cs="Times New Roman"/>
          <w:noProof/>
          <w:szCs w:val="24"/>
          <w:lang w:val="sr-Cyrl-RS"/>
        </w:rPr>
        <w:t>а</w:t>
      </w:r>
      <w:r w:rsidRPr="00DC27E1">
        <w:rPr>
          <w:rFonts w:cs="Times New Roman"/>
          <w:noProof/>
          <w:szCs w:val="24"/>
          <w:lang w:val="sr-Cyrl-RS"/>
        </w:rPr>
        <w:t xml:space="preserve"> на крају </w:t>
      </w:r>
      <w:r>
        <w:rPr>
          <w:rFonts w:cs="Times New Roman"/>
          <w:noProof/>
          <w:szCs w:val="24"/>
          <w:lang w:val="sr-Cyrl-RS"/>
        </w:rPr>
        <w:t>другог</w:t>
      </w:r>
      <w:r w:rsidRPr="00DC27E1">
        <w:rPr>
          <w:rFonts w:cs="Times New Roman"/>
          <w:noProof/>
          <w:szCs w:val="24"/>
          <w:lang w:val="sr-Cyrl-RS"/>
        </w:rPr>
        <w:t xml:space="preserve"> квартала 2021. </w:t>
      </w:r>
    </w:p>
    <w:p w14:paraId="7CE5CE23" w14:textId="77777777" w:rsidR="00DC7F92" w:rsidRPr="00C32D10" w:rsidRDefault="00DC7F92" w:rsidP="002B64C7">
      <w:pPr>
        <w:spacing w:after="60"/>
        <w:rPr>
          <w:rFonts w:cs="Times New Roman"/>
          <w:noProof/>
          <w:szCs w:val="24"/>
          <w:lang w:val="sr-Cyrl-RS"/>
        </w:rPr>
      </w:pPr>
      <w:r>
        <w:rPr>
          <w:rFonts w:cs="Times New Roman"/>
          <w:noProof/>
          <w:szCs w:val="24"/>
          <w:lang w:val="sr-Cyrl-RS"/>
        </w:rPr>
        <w:t>Један од најсавременијих начина плаћања који се може користити и за плаћања на интернету представљају и инстант плаћања.</w:t>
      </w:r>
      <w:r w:rsidRPr="00DC27E1">
        <w:rPr>
          <w:rFonts w:cs="Times New Roman"/>
          <w:noProof/>
          <w:szCs w:val="24"/>
          <w:lang w:val="sr-Cyrl-RS"/>
        </w:rPr>
        <w:t xml:space="preserve"> Осим нижих трошкова процесирања и тренутног преноса и расположивости новчаних средстава, инстант плаћања</w:t>
      </w:r>
      <w:r>
        <w:rPr>
          <w:rFonts w:cs="Times New Roman"/>
          <w:noProof/>
          <w:szCs w:val="24"/>
          <w:lang w:val="sr-Cyrl-RS"/>
        </w:rPr>
        <w:t xml:space="preserve"> на интернету</w:t>
      </w:r>
      <w:r w:rsidRPr="00DC27E1">
        <w:rPr>
          <w:rFonts w:cs="Times New Roman"/>
          <w:noProof/>
          <w:szCs w:val="24"/>
          <w:lang w:val="sr-Cyrl-RS"/>
        </w:rPr>
        <w:t>, не захтевају остављање на интернету било којег податка о платном инструменту.</w:t>
      </w:r>
      <w:r>
        <w:rPr>
          <w:rFonts w:cs="Times New Roman"/>
          <w:noProof/>
          <w:szCs w:val="24"/>
          <w:lang w:val="sr-Cyrl-RS"/>
        </w:rPr>
        <w:t xml:space="preserve"> </w:t>
      </w:r>
      <w:r w:rsidRPr="00EA29F6">
        <w:rPr>
          <w:rFonts w:cs="Times New Roman"/>
          <w:noProof/>
          <w:szCs w:val="24"/>
          <w:lang w:val="sr-Cyrl-RS"/>
        </w:rPr>
        <w:t>Поред инстант плаћања на интернет продајним местима које ће бити могуће извршити и употребом једног мобилног уређаја путем deep-link технологије, инстант плаћања могу се извршити и на физичким продајним местима, затим, скенирањем NBS IPS QR кôда на рачунима/фактурама, као и познавањем броја мобилног телефона коришћењем услуге Prenesi.</w:t>
      </w:r>
    </w:p>
    <w:p w14:paraId="1722027D" w14:textId="77777777"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0EC62CEF" w14:textId="77777777" w:rsidR="00DC7F92" w:rsidRDefault="00DC7F92" w:rsidP="00DC7F92">
      <w:pPr>
        <w:spacing w:before="120"/>
        <w:rPr>
          <w:rFonts w:cs="Times New Roman"/>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18</w:t>
      </w:r>
      <w:r w:rsidRPr="00CF374E">
        <w:rPr>
          <w:rFonts w:cs="Times New Roman"/>
          <w:b/>
          <w:szCs w:val="24"/>
          <w:lang w:val="sr-Cyrl-RS"/>
        </w:rPr>
        <w:t xml:space="preserve">: </w:t>
      </w:r>
      <w:r w:rsidRPr="00CF374E">
        <w:rPr>
          <w:rFonts w:cs="Times New Roman"/>
          <w:szCs w:val="24"/>
          <w:lang w:val="sr-Cyrl-CS"/>
        </w:rPr>
        <w:t>УНАПРЕЂЕЊЕ КОНКУРЕНТНОСТИ ПОЉОПРИВРЕДЕ</w:t>
      </w:r>
    </w:p>
    <w:p w14:paraId="63B69727" w14:textId="77777777" w:rsidR="00DC7F92" w:rsidRPr="00A6164C" w:rsidRDefault="00DC7F92" w:rsidP="004D22FA">
      <w:pPr>
        <w:widowControl w:val="0"/>
        <w:numPr>
          <w:ilvl w:val="0"/>
          <w:numId w:val="41"/>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6ED19433" w14:textId="77777777" w:rsidR="00DC7F92" w:rsidRPr="00A6164C" w:rsidRDefault="00DC7F92" w:rsidP="002B64C7">
      <w:pPr>
        <w:spacing w:after="60"/>
        <w:rPr>
          <w:rFonts w:eastAsia="Times New Roman" w:cs="Times New Roman"/>
          <w:szCs w:val="24"/>
          <w:lang w:val="sr-Cyrl-RS"/>
        </w:rPr>
      </w:pPr>
      <w:r w:rsidRPr="00A37C60">
        <w:rPr>
          <w:rFonts w:eastAsia="Times New Roman" w:cs="Times New Roman"/>
          <w:szCs w:val="24"/>
          <w:lang w:val="sr-Cyrl-RS"/>
        </w:rPr>
        <w:t>Тржишни ланац на домаћем тржишту тренутно је веома фрагментисан и недовољно организован, како у области производње, тако и у делу прераде, са очигледним недостатком органа и организација за пружање одговарајуће логистичке подршке и као такав, представља кочницу даљем расту конкурентности пољопривредног и прехрамбеног сектора.</w:t>
      </w:r>
      <w:r>
        <w:rPr>
          <w:rFonts w:eastAsia="Times New Roman" w:cs="Times New Roman"/>
          <w:szCs w:val="24"/>
          <w:lang w:val="sr-Cyrl-RS"/>
        </w:rPr>
        <w:t xml:space="preserve"> </w:t>
      </w:r>
      <w:r w:rsidRPr="00A37C60">
        <w:rPr>
          <w:rFonts w:eastAsia="Times New Roman" w:cs="Times New Roman"/>
          <w:szCs w:val="24"/>
          <w:lang w:val="sr-Cyrl-RS"/>
        </w:rPr>
        <w:t>Реформ</w:t>
      </w:r>
      <w:r>
        <w:rPr>
          <w:rFonts w:eastAsia="Times New Roman" w:cs="Times New Roman"/>
          <w:szCs w:val="24"/>
          <w:lang w:val="sr-Cyrl-RS"/>
        </w:rPr>
        <w:t>а</w:t>
      </w:r>
      <w:r w:rsidRPr="00A37C60">
        <w:rPr>
          <w:rFonts w:eastAsia="Times New Roman" w:cs="Times New Roman"/>
          <w:szCs w:val="24"/>
          <w:lang w:val="sr-Cyrl-RS"/>
        </w:rPr>
        <w:t xml:space="preserve"> обухва</w:t>
      </w:r>
      <w:r>
        <w:rPr>
          <w:rFonts w:eastAsia="Times New Roman" w:cs="Times New Roman"/>
          <w:szCs w:val="24"/>
          <w:lang w:val="sr-Cyrl-RS"/>
        </w:rPr>
        <w:t>та</w:t>
      </w:r>
      <w:r w:rsidRPr="00A37C60">
        <w:rPr>
          <w:rFonts w:eastAsia="Times New Roman" w:cs="Times New Roman"/>
          <w:szCs w:val="24"/>
          <w:lang w:val="sr-Cyrl-RS"/>
        </w:rPr>
        <w:t xml:space="preserve"> </w:t>
      </w:r>
      <w:r>
        <w:rPr>
          <w:rFonts w:eastAsia="Times New Roman" w:cs="Times New Roman"/>
          <w:szCs w:val="24"/>
          <w:lang w:val="sr-Cyrl-RS"/>
        </w:rPr>
        <w:t xml:space="preserve">(1) </w:t>
      </w:r>
      <w:r w:rsidRPr="00A37C60">
        <w:rPr>
          <w:rFonts w:eastAsia="Times New Roman" w:cs="Times New Roman"/>
          <w:szCs w:val="24"/>
          <w:lang w:val="sr-Cyrl-RS"/>
        </w:rPr>
        <w:t>унапређење инфраструктуре у руралним подручјима уз успостављање регулаторног оквира за процес комасације</w:t>
      </w:r>
      <w:r>
        <w:rPr>
          <w:rFonts w:eastAsia="Times New Roman" w:cs="Times New Roman"/>
          <w:szCs w:val="24"/>
          <w:lang w:val="sr-Cyrl-RS"/>
        </w:rPr>
        <w:t xml:space="preserve"> (т</w:t>
      </w:r>
      <w:r w:rsidRPr="00A37C60">
        <w:rPr>
          <w:rFonts w:eastAsia="Times New Roman" w:cs="Times New Roman"/>
          <w:szCs w:val="24"/>
          <w:lang w:val="sr-Cyrl-RS"/>
        </w:rPr>
        <w:t xml:space="preserve">оком 2021. године усвојен је </w:t>
      </w:r>
      <w:r>
        <w:rPr>
          <w:rFonts w:eastAsia="Times New Roman" w:cs="Times New Roman"/>
          <w:szCs w:val="24"/>
          <w:lang w:val="sr-Cyrl-RS"/>
        </w:rPr>
        <w:t>П</w:t>
      </w:r>
      <w:r w:rsidRPr="00A37C60">
        <w:rPr>
          <w:rFonts w:eastAsia="Times New Roman" w:cs="Times New Roman"/>
          <w:szCs w:val="24"/>
          <w:lang w:val="sr-Cyrl-RS"/>
        </w:rPr>
        <w:t>равилник o подстицајима за инвестиције за унапређење и развој руралне јавне инфраструктуре. Реализован је први јавни позив за подршку инвестицијама у изградњ</w:t>
      </w:r>
      <w:r>
        <w:rPr>
          <w:rFonts w:eastAsia="Times New Roman" w:cs="Times New Roman"/>
          <w:szCs w:val="24"/>
          <w:lang w:val="sr-Cyrl-RS"/>
        </w:rPr>
        <w:t>и</w:t>
      </w:r>
      <w:r w:rsidRPr="00A37C60">
        <w:rPr>
          <w:rFonts w:eastAsia="Times New Roman" w:cs="Times New Roman"/>
          <w:szCs w:val="24"/>
          <w:lang w:val="sr-Cyrl-RS"/>
        </w:rPr>
        <w:t xml:space="preserve"> путева и водоводне мреже у руралним подручјима</w:t>
      </w:r>
      <w:r>
        <w:rPr>
          <w:rFonts w:eastAsia="Times New Roman" w:cs="Times New Roman"/>
          <w:szCs w:val="24"/>
          <w:lang w:val="sr-Cyrl-RS"/>
        </w:rPr>
        <w:t>);</w:t>
      </w:r>
      <w:r w:rsidRPr="00A37C60">
        <w:rPr>
          <w:rFonts w:eastAsia="Times New Roman" w:cs="Times New Roman"/>
          <w:szCs w:val="24"/>
          <w:lang w:val="sr-Cyrl-RS"/>
        </w:rPr>
        <w:t xml:space="preserve"> </w:t>
      </w:r>
      <w:r>
        <w:rPr>
          <w:rFonts w:eastAsia="Times New Roman" w:cs="Times New Roman"/>
          <w:szCs w:val="24"/>
          <w:lang w:val="sr-Cyrl-RS"/>
        </w:rPr>
        <w:t>(2) у</w:t>
      </w:r>
      <w:r w:rsidRPr="00A37C60">
        <w:rPr>
          <w:rFonts w:eastAsia="Times New Roman" w:cs="Times New Roman"/>
          <w:szCs w:val="24"/>
          <w:lang w:val="sr-Cyrl-RS"/>
        </w:rPr>
        <w:t>ређење правног оквира у области тржишта пољопривредних производа, шема квалитета за пољопривредне и прехрамбене производе и органске производње</w:t>
      </w:r>
      <w:r>
        <w:rPr>
          <w:rFonts w:eastAsia="Times New Roman" w:cs="Times New Roman"/>
          <w:szCs w:val="24"/>
          <w:lang w:val="sr-Cyrl-RS"/>
        </w:rPr>
        <w:t xml:space="preserve">, како би се створили </w:t>
      </w:r>
      <w:r w:rsidRPr="00A37C60">
        <w:rPr>
          <w:rFonts w:eastAsia="Times New Roman" w:cs="Times New Roman"/>
          <w:szCs w:val="24"/>
          <w:lang w:val="sr-Cyrl-RS"/>
        </w:rPr>
        <w:t>услови за унапређење конкурентности у свим секторима производње</w:t>
      </w:r>
      <w:r>
        <w:rPr>
          <w:rFonts w:eastAsia="Times New Roman" w:cs="Times New Roman"/>
          <w:szCs w:val="24"/>
          <w:lang w:val="sr-Cyrl-RS"/>
        </w:rPr>
        <w:t xml:space="preserve"> (т</w:t>
      </w:r>
      <w:r w:rsidRPr="00A37C60">
        <w:rPr>
          <w:rFonts w:eastAsia="Times New Roman" w:cs="Times New Roman"/>
          <w:szCs w:val="24"/>
          <w:lang w:val="sr-Cyrl-RS"/>
        </w:rPr>
        <w:t>оком 2021. године усвојен је Закон o уређењ</w:t>
      </w:r>
      <w:r>
        <w:rPr>
          <w:rFonts w:eastAsia="Times New Roman" w:cs="Times New Roman"/>
          <w:szCs w:val="24"/>
          <w:lang w:val="sr-Cyrl-RS"/>
        </w:rPr>
        <w:t>у</w:t>
      </w:r>
      <w:r w:rsidRPr="00A37C60">
        <w:rPr>
          <w:rFonts w:eastAsia="Times New Roman" w:cs="Times New Roman"/>
          <w:szCs w:val="24"/>
          <w:lang w:val="sr-Cyrl-RS"/>
        </w:rPr>
        <w:t xml:space="preserve"> тржишта пољопривредних производа и у наредном периоду се очекује усвајање подзаконских аката која ће омогућити његову пуну примену у свим секторима пољопривредне производње</w:t>
      </w:r>
      <w:r>
        <w:rPr>
          <w:rFonts w:eastAsia="Times New Roman" w:cs="Times New Roman"/>
          <w:szCs w:val="24"/>
          <w:lang w:val="sr-Cyrl-RS"/>
        </w:rPr>
        <w:t>);</w:t>
      </w:r>
      <w:r w:rsidRPr="00A37C60">
        <w:rPr>
          <w:rFonts w:eastAsia="Times New Roman" w:cs="Times New Roman"/>
          <w:szCs w:val="24"/>
          <w:lang w:val="sr-Cyrl-RS"/>
        </w:rPr>
        <w:t xml:space="preserve"> </w:t>
      </w:r>
      <w:r>
        <w:rPr>
          <w:rFonts w:eastAsia="Times New Roman" w:cs="Times New Roman"/>
          <w:szCs w:val="24"/>
          <w:lang w:val="sr-Cyrl-RS"/>
        </w:rPr>
        <w:t>(3) у</w:t>
      </w:r>
      <w:r w:rsidRPr="00A37C60">
        <w:rPr>
          <w:rFonts w:eastAsia="Times New Roman" w:cs="Times New Roman"/>
          <w:szCs w:val="24"/>
          <w:lang w:val="sr-Cyrl-RS"/>
        </w:rPr>
        <w:t>напре</w:t>
      </w:r>
      <w:r>
        <w:rPr>
          <w:rFonts w:eastAsia="Times New Roman" w:cs="Times New Roman"/>
          <w:szCs w:val="24"/>
          <w:lang w:val="sr-Cyrl-RS"/>
        </w:rPr>
        <w:t xml:space="preserve">ђење </w:t>
      </w:r>
      <w:r w:rsidRPr="00A37C60">
        <w:rPr>
          <w:rFonts w:eastAsia="Times New Roman" w:cs="Times New Roman"/>
          <w:szCs w:val="24"/>
          <w:lang w:val="sr-Cyrl-RS"/>
        </w:rPr>
        <w:t>капацитет</w:t>
      </w:r>
      <w:r>
        <w:rPr>
          <w:rFonts w:eastAsia="Times New Roman" w:cs="Times New Roman"/>
          <w:szCs w:val="24"/>
          <w:lang w:val="sr-Cyrl-RS"/>
        </w:rPr>
        <w:t>а</w:t>
      </w:r>
      <w:r w:rsidRPr="00A37C60">
        <w:rPr>
          <w:rFonts w:eastAsia="Times New Roman" w:cs="Times New Roman"/>
          <w:szCs w:val="24"/>
          <w:lang w:val="sr-Cyrl-RS"/>
        </w:rPr>
        <w:t xml:space="preserve"> </w:t>
      </w:r>
      <w:r>
        <w:rPr>
          <w:rFonts w:eastAsia="Times New Roman" w:cs="Times New Roman"/>
          <w:szCs w:val="24"/>
          <w:lang w:val="sr-Cyrl-RS"/>
        </w:rPr>
        <w:t>М</w:t>
      </w:r>
      <w:r w:rsidRPr="00A37C60">
        <w:rPr>
          <w:rFonts w:eastAsia="Times New Roman" w:cs="Times New Roman"/>
          <w:szCs w:val="24"/>
          <w:lang w:val="sr-Cyrl-RS"/>
        </w:rPr>
        <w:t xml:space="preserve">инистарства </w:t>
      </w:r>
      <w:r>
        <w:rPr>
          <w:rFonts w:eastAsia="Times New Roman" w:cs="Times New Roman"/>
          <w:szCs w:val="24"/>
          <w:lang w:val="sr-Cyrl-RS"/>
        </w:rPr>
        <w:t xml:space="preserve">пољопривреде, шумарства и водопривреде </w:t>
      </w:r>
      <w:r w:rsidRPr="00A37C60">
        <w:rPr>
          <w:rFonts w:eastAsia="Times New Roman" w:cs="Times New Roman"/>
          <w:szCs w:val="24"/>
          <w:lang w:val="sr-Cyrl-RS"/>
        </w:rPr>
        <w:t>кроз дигитализациј</w:t>
      </w:r>
      <w:r>
        <w:rPr>
          <w:rFonts w:eastAsia="Times New Roman" w:cs="Times New Roman"/>
          <w:szCs w:val="24"/>
          <w:lang w:val="sr-Cyrl-RS"/>
        </w:rPr>
        <w:t>у</w:t>
      </w:r>
      <w:r w:rsidRPr="00A37C60">
        <w:rPr>
          <w:rFonts w:eastAsia="Times New Roman" w:cs="Times New Roman"/>
          <w:szCs w:val="24"/>
          <w:lang w:val="sr-Cyrl-RS"/>
        </w:rPr>
        <w:t xml:space="preserve"> и аутоматизациј</w:t>
      </w:r>
      <w:r>
        <w:rPr>
          <w:rFonts w:eastAsia="Times New Roman" w:cs="Times New Roman"/>
          <w:szCs w:val="24"/>
          <w:lang w:val="sr-Cyrl-RS"/>
        </w:rPr>
        <w:t>у</w:t>
      </w:r>
      <w:r w:rsidRPr="00A37C60">
        <w:rPr>
          <w:rFonts w:eastAsia="Times New Roman" w:cs="Times New Roman"/>
          <w:szCs w:val="24"/>
          <w:lang w:val="sr-Cyrl-RS"/>
        </w:rPr>
        <w:t xml:space="preserve"> система финансијске подршке пољопривредницима уз олакшан приступ расположивим подстицајима. </w:t>
      </w:r>
      <w:r>
        <w:rPr>
          <w:rFonts w:eastAsia="Times New Roman" w:cs="Times New Roman"/>
          <w:szCs w:val="24"/>
          <w:lang w:val="sr-Cyrl-RS"/>
        </w:rPr>
        <w:t>К</w:t>
      </w:r>
      <w:r w:rsidRPr="00A37C60">
        <w:rPr>
          <w:rFonts w:eastAsia="Times New Roman" w:cs="Times New Roman"/>
          <w:szCs w:val="24"/>
          <w:lang w:val="sr-Cyrl-RS"/>
        </w:rPr>
        <w:t>роз успостављање новог Регистра пољопривредних газдинастава</w:t>
      </w:r>
      <w:r>
        <w:rPr>
          <w:rFonts w:eastAsia="Times New Roman" w:cs="Times New Roman"/>
          <w:szCs w:val="24"/>
          <w:lang w:val="sr-Cyrl-RS"/>
        </w:rPr>
        <w:t xml:space="preserve"> (РГП)</w:t>
      </w:r>
      <w:r w:rsidRPr="00A37C60">
        <w:rPr>
          <w:rFonts w:eastAsia="Times New Roman" w:cs="Times New Roman"/>
          <w:szCs w:val="24"/>
          <w:lang w:val="sr-Cyrl-RS"/>
        </w:rPr>
        <w:t xml:space="preserve">, Система за идентификацију земљишних парцела </w:t>
      </w:r>
      <w:r>
        <w:rPr>
          <w:rFonts w:cs="Times New Roman"/>
          <w:color w:val="000000" w:themeColor="text1"/>
          <w:lang w:val="sr-Cyrl-RS"/>
        </w:rPr>
        <w:t>(</w:t>
      </w:r>
      <w:r w:rsidRPr="000F0FC1">
        <w:rPr>
          <w:rFonts w:cs="Times New Roman"/>
          <w:i/>
          <w:color w:val="000000" w:themeColor="text1"/>
          <w:szCs w:val="24"/>
          <w:lang w:val="sr-Latn-RS"/>
        </w:rPr>
        <w:t>Land</w:t>
      </w:r>
      <w:r w:rsidRPr="000F0FC1">
        <w:rPr>
          <w:rFonts w:cs="Times New Roman"/>
          <w:color w:val="000000" w:themeColor="text1"/>
          <w:szCs w:val="24"/>
          <w:lang w:val="sr-Latn-RS"/>
        </w:rPr>
        <w:t xml:space="preserve"> </w:t>
      </w:r>
      <w:r w:rsidRPr="000F0FC1">
        <w:rPr>
          <w:rFonts w:cs="Times New Roman"/>
          <w:i/>
          <w:color w:val="000000" w:themeColor="text1"/>
          <w:szCs w:val="24"/>
          <w:lang w:val="sr-Latn-RS"/>
        </w:rPr>
        <w:t>Parcel Identification System</w:t>
      </w:r>
      <w:r>
        <w:rPr>
          <w:rFonts w:cs="Times New Roman"/>
          <w:i/>
          <w:color w:val="000000" w:themeColor="text1"/>
          <w:szCs w:val="24"/>
          <w:lang w:val="sr-Cyrl-RS"/>
        </w:rPr>
        <w:t xml:space="preserve"> </w:t>
      </w:r>
      <w:r>
        <w:rPr>
          <w:rFonts w:cs="Times New Roman"/>
          <w:color w:val="000000" w:themeColor="text1"/>
          <w:lang w:val="sr-Cyrl-RS"/>
        </w:rPr>
        <w:t xml:space="preserve">- </w:t>
      </w:r>
      <w:r w:rsidRPr="00A37C60">
        <w:rPr>
          <w:rFonts w:eastAsia="Times New Roman" w:cs="Times New Roman"/>
          <w:szCs w:val="24"/>
          <w:lang w:val="sr-Cyrl-RS"/>
        </w:rPr>
        <w:t xml:space="preserve">LPIS) и других елемената </w:t>
      </w:r>
      <w:r w:rsidRPr="000F0FC1">
        <w:rPr>
          <w:rFonts w:eastAsia="Times New Roman" w:cs="Times New Roman"/>
          <w:szCs w:val="24"/>
          <w:lang w:val="sr-Cyrl-RS"/>
        </w:rPr>
        <w:t>Интегрисаног система управљања и контроле (</w:t>
      </w:r>
      <w:r w:rsidRPr="000F0FC1">
        <w:rPr>
          <w:rFonts w:eastAsia="Times New Roman" w:cs="Times New Roman"/>
          <w:i/>
          <w:szCs w:val="24"/>
          <w:lang w:val="sr-Cyrl-RS"/>
        </w:rPr>
        <w:t>Integrated Administrative Control System</w:t>
      </w:r>
      <w:r>
        <w:rPr>
          <w:rFonts w:eastAsia="Times New Roman" w:cs="Times New Roman"/>
          <w:szCs w:val="24"/>
          <w:lang w:val="sr-Cyrl-RS"/>
        </w:rPr>
        <w:t xml:space="preserve"> -</w:t>
      </w:r>
      <w:r w:rsidRPr="000F0FC1">
        <w:rPr>
          <w:rFonts w:eastAsia="Times New Roman" w:cs="Times New Roman"/>
          <w:szCs w:val="24"/>
          <w:lang w:val="sr-Cyrl-RS"/>
        </w:rPr>
        <w:t xml:space="preserve"> </w:t>
      </w:r>
      <w:r w:rsidRPr="00A37C60">
        <w:rPr>
          <w:rFonts w:eastAsia="Times New Roman" w:cs="Times New Roman"/>
          <w:szCs w:val="24"/>
          <w:lang w:val="sr-Cyrl-RS"/>
        </w:rPr>
        <w:t>IACS</w:t>
      </w:r>
      <w:r>
        <w:rPr>
          <w:rFonts w:eastAsia="Times New Roman" w:cs="Times New Roman"/>
          <w:szCs w:val="24"/>
          <w:lang w:val="sr-Cyrl-RS"/>
        </w:rPr>
        <w:t>)</w:t>
      </w:r>
      <w:r w:rsidRPr="00A37C60">
        <w:rPr>
          <w:rFonts w:eastAsia="Times New Roman" w:cs="Times New Roman"/>
          <w:szCs w:val="24"/>
          <w:lang w:val="sr-Cyrl-RS"/>
        </w:rPr>
        <w:t xml:space="preserve"> успостав</w:t>
      </w:r>
      <w:r>
        <w:rPr>
          <w:rFonts w:eastAsia="Times New Roman" w:cs="Times New Roman"/>
          <w:szCs w:val="24"/>
          <w:lang w:val="sr-Cyrl-RS"/>
        </w:rPr>
        <w:t>иће се</w:t>
      </w:r>
      <w:r w:rsidRPr="00A37C60">
        <w:rPr>
          <w:rFonts w:eastAsia="Times New Roman" w:cs="Times New Roman"/>
          <w:szCs w:val="24"/>
          <w:lang w:val="sr-Cyrl-RS"/>
        </w:rPr>
        <w:t xml:space="preserve"> функционалн</w:t>
      </w:r>
      <w:r>
        <w:rPr>
          <w:rFonts w:eastAsia="Times New Roman" w:cs="Times New Roman"/>
          <w:szCs w:val="24"/>
          <w:lang w:val="sr-Cyrl-RS"/>
        </w:rPr>
        <w:t>и</w:t>
      </w:r>
      <w:r w:rsidRPr="00A37C60">
        <w:rPr>
          <w:rFonts w:eastAsia="Times New Roman" w:cs="Times New Roman"/>
          <w:szCs w:val="24"/>
          <w:lang w:val="sr-Cyrl-RS"/>
        </w:rPr>
        <w:t xml:space="preserve"> IACS и аутоматизациј</w:t>
      </w:r>
      <w:r>
        <w:rPr>
          <w:rFonts w:eastAsia="Times New Roman" w:cs="Times New Roman"/>
          <w:szCs w:val="24"/>
          <w:lang w:val="sr-Cyrl-RS"/>
        </w:rPr>
        <w:t>а</w:t>
      </w:r>
      <w:r w:rsidRPr="00A37C60">
        <w:rPr>
          <w:rFonts w:eastAsia="Times New Roman" w:cs="Times New Roman"/>
          <w:szCs w:val="24"/>
          <w:lang w:val="sr-Cyrl-RS"/>
        </w:rPr>
        <w:t xml:space="preserve"> поступка подношења захтева и исплате подстицаја </w:t>
      </w:r>
      <w:r>
        <w:rPr>
          <w:rFonts w:eastAsia="Times New Roman" w:cs="Times New Roman"/>
          <w:szCs w:val="24"/>
          <w:lang w:val="sr-Cyrl-RS"/>
        </w:rPr>
        <w:t xml:space="preserve">до краја 2026. године, </w:t>
      </w:r>
      <w:r w:rsidRPr="00A37C60">
        <w:rPr>
          <w:rFonts w:eastAsia="Times New Roman" w:cs="Times New Roman"/>
          <w:szCs w:val="24"/>
          <w:lang w:val="sr-Cyrl-RS"/>
        </w:rPr>
        <w:t xml:space="preserve">у складу са Акционим планом </w:t>
      </w:r>
      <w:r>
        <w:rPr>
          <w:rFonts w:eastAsia="Times New Roman" w:cs="Times New Roman"/>
          <w:szCs w:val="24"/>
          <w:lang w:val="sr-Cyrl-RS"/>
        </w:rPr>
        <w:t>Р</w:t>
      </w:r>
      <w:r w:rsidRPr="00A37C60">
        <w:rPr>
          <w:rFonts w:eastAsia="Times New Roman" w:cs="Times New Roman"/>
          <w:szCs w:val="24"/>
          <w:lang w:val="sr-Cyrl-RS"/>
        </w:rPr>
        <w:t>епублике Србије за ПГ11</w:t>
      </w:r>
      <w:r>
        <w:rPr>
          <w:rFonts w:eastAsia="Times New Roman" w:cs="Times New Roman"/>
          <w:szCs w:val="24"/>
          <w:lang w:val="sr-Cyrl-RS"/>
        </w:rPr>
        <w:t xml:space="preserve"> - </w:t>
      </w:r>
      <w:r w:rsidRPr="00A37C60">
        <w:rPr>
          <w:rFonts w:eastAsia="Times New Roman" w:cs="Times New Roman"/>
          <w:szCs w:val="24"/>
          <w:lang w:val="sr-Cyrl-RS"/>
        </w:rPr>
        <w:t>Пољопривреда и рурални развој</w:t>
      </w:r>
      <w:r>
        <w:rPr>
          <w:rFonts w:eastAsia="Times New Roman" w:cs="Times New Roman"/>
          <w:szCs w:val="24"/>
          <w:lang w:val="sr-Cyrl-RS"/>
        </w:rPr>
        <w:t>.</w:t>
      </w:r>
      <w:r w:rsidRPr="00A37C60">
        <w:rPr>
          <w:rFonts w:eastAsia="Times New Roman" w:cs="Times New Roman"/>
          <w:szCs w:val="24"/>
          <w:lang w:val="sr-Cyrl-RS"/>
        </w:rPr>
        <w:t xml:space="preserve"> Реформа је повезана са </w:t>
      </w:r>
      <w:r w:rsidRPr="000F0FC1">
        <w:rPr>
          <w:rFonts w:eastAsia="Times New Roman" w:cs="Times New Roman"/>
          <w:b/>
          <w:szCs w:val="24"/>
          <w:lang w:val="sr-Cyrl-RS"/>
        </w:rPr>
        <w:t>ЦОР 12.5.</w:t>
      </w:r>
      <w:r w:rsidRPr="00A37C60">
        <w:rPr>
          <w:rFonts w:eastAsia="Times New Roman" w:cs="Times New Roman"/>
          <w:szCs w:val="24"/>
          <w:lang w:val="sr-Cyrl-RS"/>
        </w:rPr>
        <w:t xml:space="preserve"> </w:t>
      </w:r>
      <w:r>
        <w:rPr>
          <w:rFonts w:eastAsia="Times New Roman" w:cs="Times New Roman"/>
          <w:szCs w:val="24"/>
          <w:lang w:val="sr-Cyrl-RS"/>
        </w:rPr>
        <w:t xml:space="preserve">- </w:t>
      </w:r>
      <w:r w:rsidRPr="00A37C60">
        <w:rPr>
          <w:rFonts w:eastAsia="Times New Roman" w:cs="Times New Roman"/>
          <w:szCs w:val="24"/>
          <w:lang w:val="sr-Cyrl-RS"/>
        </w:rPr>
        <w:t xml:space="preserve">До 2030. значајно смањити производњу отпада кроз превенцију, редукцију, рециклирање и поновно коришћење). Реформа је повезана са </w:t>
      </w:r>
      <w:r w:rsidRPr="000F0FC1">
        <w:rPr>
          <w:rFonts w:eastAsia="Times New Roman" w:cs="Times New Roman"/>
          <w:b/>
          <w:szCs w:val="24"/>
          <w:lang w:val="sr-Cyrl-RS"/>
        </w:rPr>
        <w:t>ЦОР 11.</w:t>
      </w:r>
      <w:r>
        <w:rPr>
          <w:rFonts w:eastAsia="Times New Roman" w:cs="Times New Roman"/>
          <w:szCs w:val="24"/>
          <w:lang w:val="sr-Cyrl-RS"/>
        </w:rPr>
        <w:t xml:space="preserve"> - </w:t>
      </w:r>
      <w:r w:rsidRPr="00A37C60">
        <w:rPr>
          <w:rFonts w:eastAsia="Times New Roman" w:cs="Times New Roman"/>
          <w:szCs w:val="24"/>
          <w:lang w:val="sr-Cyrl-RS"/>
        </w:rPr>
        <w:t xml:space="preserve">Обезбедити отворене, сигурне и одрживе градове и насеља, односно доприноси остваривању </w:t>
      </w:r>
      <w:r>
        <w:rPr>
          <w:rFonts w:eastAsia="Times New Roman" w:cs="Times New Roman"/>
          <w:b/>
          <w:szCs w:val="24"/>
          <w:lang w:val="sr-Cyrl-RS"/>
        </w:rPr>
        <w:t>ЦОР</w:t>
      </w:r>
      <w:r w:rsidRPr="000F0FC1">
        <w:rPr>
          <w:rFonts w:eastAsia="Times New Roman" w:cs="Times New Roman"/>
          <w:b/>
          <w:szCs w:val="24"/>
          <w:lang w:val="sr-Cyrl-RS"/>
        </w:rPr>
        <w:t xml:space="preserve"> 11.3.</w:t>
      </w:r>
      <w:r w:rsidRPr="00A37C60">
        <w:rPr>
          <w:rFonts w:eastAsia="Times New Roman" w:cs="Times New Roman"/>
          <w:szCs w:val="24"/>
          <w:lang w:val="sr-Cyrl-RS"/>
        </w:rPr>
        <w:t xml:space="preserve"> </w:t>
      </w:r>
      <w:r>
        <w:rPr>
          <w:rFonts w:eastAsia="Times New Roman" w:cs="Times New Roman"/>
          <w:szCs w:val="24"/>
          <w:lang w:val="sr-Cyrl-RS"/>
        </w:rPr>
        <w:t xml:space="preserve">- </w:t>
      </w:r>
      <w:r w:rsidRPr="00A37C60">
        <w:rPr>
          <w:rFonts w:eastAsia="Times New Roman" w:cs="Times New Roman"/>
          <w:szCs w:val="24"/>
          <w:lang w:val="sr-Cyrl-RS"/>
        </w:rPr>
        <w:t xml:space="preserve">До 2030. године унапредити инклузивну и одрживу урбанизацију и капацитете за партиципативно, интегрисано и одрживо планирање и управљање људским насељима. </w:t>
      </w:r>
      <w:r>
        <w:rPr>
          <w:rFonts w:eastAsia="Times New Roman" w:cs="Times New Roman"/>
          <w:szCs w:val="24"/>
          <w:lang w:val="sr-Cyrl-RS"/>
        </w:rPr>
        <w:t>Реформа</w:t>
      </w:r>
      <w:r w:rsidRPr="00A37C60">
        <w:rPr>
          <w:rFonts w:eastAsia="Times New Roman" w:cs="Times New Roman"/>
          <w:szCs w:val="24"/>
          <w:lang w:val="sr-Cyrl-RS"/>
        </w:rPr>
        <w:t xml:space="preserve"> је пренета из претходног </w:t>
      </w:r>
      <w:r>
        <w:rPr>
          <w:rFonts w:eastAsia="Times New Roman" w:cs="Times New Roman"/>
          <w:szCs w:val="24"/>
          <w:lang w:val="sr-Cyrl-RS"/>
        </w:rPr>
        <w:t>циклуса, а у</w:t>
      </w:r>
      <w:r w:rsidRPr="00A37C60">
        <w:rPr>
          <w:rFonts w:eastAsia="Times New Roman" w:cs="Times New Roman"/>
          <w:szCs w:val="24"/>
          <w:lang w:val="sr-Cyrl-RS"/>
        </w:rPr>
        <w:t>след пандемије Ковид</w:t>
      </w:r>
      <w:r>
        <w:rPr>
          <w:rFonts w:eastAsia="Times New Roman" w:cs="Times New Roman"/>
          <w:szCs w:val="24"/>
          <w:lang w:val="sr-Cyrl-RS"/>
        </w:rPr>
        <w:t>-1</w:t>
      </w:r>
      <w:r w:rsidRPr="00A37C60">
        <w:rPr>
          <w:rFonts w:eastAsia="Times New Roman" w:cs="Times New Roman"/>
          <w:szCs w:val="24"/>
          <w:lang w:val="sr-Cyrl-RS"/>
        </w:rPr>
        <w:t xml:space="preserve">9 </w:t>
      </w:r>
      <w:r>
        <w:rPr>
          <w:rFonts w:eastAsia="Times New Roman" w:cs="Times New Roman"/>
          <w:szCs w:val="24"/>
          <w:lang w:val="sr-Cyrl-RS"/>
        </w:rPr>
        <w:t xml:space="preserve">дошло је до </w:t>
      </w:r>
      <w:r>
        <w:rPr>
          <w:rFonts w:eastAsia="Times New Roman" w:cs="Times New Roman"/>
          <w:szCs w:val="24"/>
          <w:lang w:val="sr-Cyrl-RS"/>
        </w:rPr>
        <w:lastRenderedPageBreak/>
        <w:t>кашњења у</w:t>
      </w:r>
      <w:r w:rsidRPr="00A37C60">
        <w:rPr>
          <w:rFonts w:eastAsia="Times New Roman" w:cs="Times New Roman"/>
          <w:szCs w:val="24"/>
          <w:lang w:val="sr-Cyrl-RS"/>
        </w:rPr>
        <w:t xml:space="preserve"> </w:t>
      </w:r>
      <w:r>
        <w:rPr>
          <w:rFonts w:eastAsia="Times New Roman" w:cs="Times New Roman"/>
          <w:szCs w:val="24"/>
          <w:lang w:val="sr-Cyrl-RS"/>
        </w:rPr>
        <w:t xml:space="preserve">имплементацији појединих </w:t>
      </w:r>
      <w:r w:rsidRPr="00A37C60">
        <w:rPr>
          <w:rFonts w:eastAsia="Times New Roman" w:cs="Times New Roman"/>
          <w:szCs w:val="24"/>
          <w:lang w:val="sr-Cyrl-RS"/>
        </w:rPr>
        <w:t>активн</w:t>
      </w:r>
      <w:r>
        <w:rPr>
          <w:rFonts w:eastAsia="Times New Roman" w:cs="Times New Roman"/>
          <w:szCs w:val="24"/>
          <w:lang w:val="sr-Cyrl-RS"/>
        </w:rPr>
        <w:t>о</w:t>
      </w:r>
      <w:r w:rsidRPr="00A37C60">
        <w:rPr>
          <w:rFonts w:eastAsia="Times New Roman" w:cs="Times New Roman"/>
          <w:szCs w:val="24"/>
          <w:lang w:val="sr-Cyrl-RS"/>
        </w:rPr>
        <w:t>сти</w:t>
      </w:r>
      <w:r>
        <w:rPr>
          <w:rFonts w:eastAsia="Times New Roman" w:cs="Times New Roman"/>
          <w:szCs w:val="24"/>
          <w:lang w:val="sr-Cyrl-RS"/>
        </w:rPr>
        <w:t>, које</w:t>
      </w:r>
      <w:r w:rsidRPr="00A37C60">
        <w:rPr>
          <w:rFonts w:eastAsia="Times New Roman" w:cs="Times New Roman"/>
          <w:szCs w:val="24"/>
          <w:lang w:val="sr-Cyrl-RS"/>
        </w:rPr>
        <w:t xml:space="preserve"> ће бити реализоване у </w:t>
      </w:r>
      <w:r>
        <w:rPr>
          <w:rFonts w:eastAsia="Times New Roman" w:cs="Times New Roman"/>
          <w:szCs w:val="24"/>
          <w:lang w:val="sr-Cyrl-RS"/>
        </w:rPr>
        <w:t>наредном</w:t>
      </w:r>
      <w:r w:rsidRPr="00A37C60">
        <w:rPr>
          <w:rFonts w:eastAsia="Times New Roman" w:cs="Times New Roman"/>
          <w:szCs w:val="24"/>
          <w:lang w:val="sr-Cyrl-RS"/>
        </w:rPr>
        <w:t xml:space="preserve"> периоду.</w:t>
      </w:r>
    </w:p>
    <w:p w14:paraId="792F4AFB"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2BF2925F"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265C7319"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43B85FEC"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344B269"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D7D192C"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533B7B35"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64EF6C1B" w14:textId="77777777"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14:paraId="13E6127E"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14:paraId="7C60264A"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0FA9DFC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2FA37DA"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43D4AE9"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E6FA6A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C588B7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BEB1C4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5A9F8D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4BCFAE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0F2F1E6"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336C6F1"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77AE2D9"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05D4366"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5B922087"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0132FA9"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B1836CC"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Обука запослених који ће спроводити меру унапређење руралне инфраструктуре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AFADFC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56729C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1B9E33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34EE33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6E8E5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0577AA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708DA0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9A0AFA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47EAE1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AE8C8A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674A0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89086D9"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58092ED4"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F6B1E3"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2</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61318F3"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Спровођење јавног позива за меру унапређење руралне инфраструктуре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25B0E0B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DA8CBE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FA3427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538EDF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40E4C2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38BBD0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2DF4EA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BD8E40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AB0194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0C6E95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9F1ECE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119DB92"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29073CC6"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3565D18"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3</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33E6478"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Усвајање подзаконских аката на основу  Закона о уређењу тржишта пољопривредних производа </w:t>
            </w:r>
            <w:r w:rsidRPr="005E242B">
              <w:rPr>
                <w:rFonts w:eastAsia="Times New Roman" w:cs="Times New Roman"/>
                <w:sz w:val="20"/>
                <w:szCs w:val="20"/>
              </w:rPr>
              <w:t>и Закона о шемама квалитета за пољопривредне и прехрамбене производе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1BA1281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08B9B5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6D295F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7D11F1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CA3A6A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D3E207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36FC1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157ABE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B6A52D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8FA175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D5D644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2DBE5AE"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3582E78B"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5B33560"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4</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7135541" w14:textId="77777777" w:rsidR="00DC7F92" w:rsidRPr="00A6164C"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Усвајање</w:t>
            </w:r>
            <w:r>
              <w:rPr>
                <w:rFonts w:eastAsia="Times New Roman" w:cs="Times New Roman"/>
                <w:sz w:val="20"/>
                <w:szCs w:val="20"/>
              </w:rPr>
              <w:t xml:space="preserve"> Закона </w:t>
            </w:r>
            <w:r w:rsidRPr="005E242B">
              <w:rPr>
                <w:rFonts w:eastAsia="Times New Roman" w:cs="Times New Roman"/>
                <w:sz w:val="20"/>
                <w:szCs w:val="20"/>
              </w:rPr>
              <w:t xml:space="preserve">и подзаконских аката </w:t>
            </w:r>
            <w:r>
              <w:rPr>
                <w:rFonts w:eastAsia="Times New Roman" w:cs="Times New Roman"/>
                <w:sz w:val="20"/>
                <w:szCs w:val="20"/>
              </w:rPr>
              <w:t>o органској производњи</w:t>
            </w:r>
            <w:r w:rsidRPr="001A2362">
              <w:rPr>
                <w:rFonts w:eastAsia="Times New Roman" w:cs="Times New Roman"/>
                <w:sz w:val="20"/>
                <w:szCs w:val="20"/>
              </w:rPr>
              <w:t xml:space="preserve">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5BBA6CF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9F3FF9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0A17AA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DEC46D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6699F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72CABB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7C433F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D0981A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0C10E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94ED09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FA49C7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913BE92"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2D7C5F7"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9F986AD"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5</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4B08A1D"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Усвајање законског оквира  за спровођење комасације (Закон о комасацији и</w:t>
            </w:r>
            <w:r>
              <w:rPr>
                <w:rFonts w:eastAsia="Times New Roman" w:cs="Times New Roman"/>
                <w:sz w:val="20"/>
                <w:szCs w:val="20"/>
              </w:rPr>
              <w:t xml:space="preserve"> </w:t>
            </w:r>
            <w:r w:rsidRPr="001A2362">
              <w:rPr>
                <w:rFonts w:eastAsia="Times New Roman" w:cs="Times New Roman"/>
                <w:sz w:val="20"/>
                <w:szCs w:val="20"/>
              </w:rPr>
              <w:t>Закона о пољопривредном земљишту)</w:t>
            </w:r>
            <w:r>
              <w:t xml:space="preserve">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3AF70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C8347B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363E6C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A99B80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63522C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F8333E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76A42E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295CE5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1AD14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DC590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B513F0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6EB1029"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03F892C3"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AD28319"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8FC4559"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Јачање капацитета и обука запослених у Управи за </w:t>
            </w:r>
            <w:r>
              <w:rPr>
                <w:rFonts w:eastAsia="Times New Roman" w:cs="Times New Roman"/>
                <w:sz w:val="20"/>
                <w:szCs w:val="20"/>
                <w:lang w:val="sr-Cyrl-RS"/>
              </w:rPr>
              <w:t>а</w:t>
            </w:r>
            <w:r w:rsidRPr="001A2362">
              <w:rPr>
                <w:rFonts w:eastAsia="Times New Roman" w:cs="Times New Roman"/>
                <w:sz w:val="20"/>
                <w:szCs w:val="20"/>
              </w:rPr>
              <w:t xml:space="preserve">грарна плаћања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60FD5D6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2F5B5E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750253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8AFFE0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2B2217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6BAF64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D85C02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F2A70C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A34D0B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736E6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03D370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47758EEA"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1DC89F96"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222E5FA"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7</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3FDDAF4A" w14:textId="77777777" w:rsidR="00DC7F92" w:rsidRPr="00D4203B"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Израда софтвера </w:t>
            </w:r>
            <w:r>
              <w:rPr>
                <w:rFonts w:eastAsia="Times New Roman" w:cs="Times New Roman"/>
                <w:sz w:val="20"/>
                <w:szCs w:val="20"/>
                <w:lang w:val="sr-Cyrl-RS"/>
              </w:rPr>
              <w:t xml:space="preserve">за базу </w:t>
            </w:r>
            <w:r w:rsidRPr="001A2362">
              <w:rPr>
                <w:rFonts w:eastAsia="Times New Roman" w:cs="Times New Roman"/>
                <w:sz w:val="20"/>
                <w:szCs w:val="20"/>
              </w:rPr>
              <w:t>РПГ и</w:t>
            </w:r>
            <w:r>
              <w:rPr>
                <w:rFonts w:eastAsia="Times New Roman" w:cs="Times New Roman"/>
                <w:sz w:val="20"/>
                <w:szCs w:val="20"/>
                <w:lang w:val="sr-Cyrl-RS"/>
              </w:rPr>
              <w:t xml:space="preserve"> базу</w:t>
            </w:r>
            <w:r w:rsidRPr="001A2362">
              <w:rPr>
                <w:rFonts w:eastAsia="Times New Roman" w:cs="Times New Roman"/>
                <w:sz w:val="20"/>
                <w:szCs w:val="20"/>
              </w:rPr>
              <w:t xml:space="preserve"> LPIS</w:t>
            </w:r>
            <w:r>
              <w:rPr>
                <w:rFonts w:eastAsia="Times New Roman" w:cs="Times New Roman"/>
                <w:sz w:val="20"/>
                <w:szCs w:val="20"/>
                <w:lang w:val="sr-Cyrl-RS"/>
              </w:rPr>
              <w:t xml:space="preserve">, повезивање са Регистром животиња и израда преосталих делова базе </w:t>
            </w:r>
            <w:r w:rsidRPr="00D4203B">
              <w:rPr>
                <w:rFonts w:eastAsia="Times New Roman" w:cs="Times New Roman"/>
                <w:sz w:val="20"/>
                <w:szCs w:val="20"/>
                <w:lang w:val="sr-Cyrl-RS"/>
              </w:rPr>
              <w:t>IACS</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69A93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1206F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5A2976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996806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DC8447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6F81FD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7E9559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D85525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EB43D8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A8415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8E0CCA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318E9A7" w14:textId="77777777" w:rsidR="00DC7F92" w:rsidRPr="00A6164C" w:rsidRDefault="00DC7F92" w:rsidP="00DC7F92">
            <w:pPr>
              <w:spacing w:after="0"/>
              <w:jc w:val="center"/>
              <w:rPr>
                <w:rFonts w:eastAsia="Times New Roman" w:cs="Times New Roman"/>
                <w:sz w:val="20"/>
                <w:szCs w:val="20"/>
                <w:lang w:val="sr-Cyrl-RS"/>
              </w:rPr>
            </w:pPr>
          </w:p>
        </w:tc>
      </w:tr>
    </w:tbl>
    <w:p w14:paraId="349EF0F8"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0E072A9A"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508F2BC4"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1F8ED798"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w:t>
            </w:r>
            <w:r w:rsidRPr="006B76C3">
              <w:rPr>
                <w:rFonts w:cs="Times New Roman"/>
                <w:sz w:val="20"/>
              </w:rPr>
              <w:t>2019</w:t>
            </w:r>
            <w:r w:rsidRPr="006B76C3">
              <w:rPr>
                <w:rFonts w:cs="Times New Roman"/>
                <w:sz w:val="20"/>
                <w:lang w:val="sr-Cyrl-RS"/>
              </w:rPr>
              <w:t>)</w:t>
            </w:r>
          </w:p>
        </w:tc>
        <w:tc>
          <w:tcPr>
            <w:tcW w:w="1843" w:type="dxa"/>
          </w:tcPr>
          <w:p w14:paraId="45F1B072"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w:t>
            </w:r>
            <w:r w:rsidRPr="006B76C3">
              <w:rPr>
                <w:rFonts w:cs="Times New Roman"/>
                <w:sz w:val="20"/>
              </w:rPr>
              <w:t>2020</w:t>
            </w:r>
            <w:r w:rsidRPr="006B76C3">
              <w:rPr>
                <w:rFonts w:cs="Times New Roman"/>
                <w:sz w:val="20"/>
                <w:lang w:val="sr-Cyrl-RS"/>
              </w:rPr>
              <w:t>)</w:t>
            </w:r>
          </w:p>
        </w:tc>
        <w:tc>
          <w:tcPr>
            <w:tcW w:w="1843" w:type="dxa"/>
          </w:tcPr>
          <w:p w14:paraId="640AD12A"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w:t>
            </w:r>
            <w:r w:rsidRPr="006B76C3">
              <w:rPr>
                <w:rFonts w:cs="Times New Roman"/>
                <w:sz w:val="20"/>
              </w:rPr>
              <w:t>2024</w:t>
            </w:r>
            <w:r w:rsidRPr="006B76C3">
              <w:rPr>
                <w:rFonts w:cs="Times New Roman"/>
                <w:sz w:val="20"/>
                <w:lang w:val="sr-Cyrl-RS"/>
              </w:rPr>
              <w:t>)</w:t>
            </w:r>
          </w:p>
        </w:tc>
      </w:tr>
      <w:tr w:rsidR="00DC7F92" w:rsidRPr="00A6164C" w14:paraId="2BD26881" w14:textId="77777777" w:rsidTr="00DC7F92">
        <w:trPr>
          <w:trHeight w:val="284"/>
        </w:trPr>
        <w:tc>
          <w:tcPr>
            <w:tcW w:w="4106" w:type="dxa"/>
          </w:tcPr>
          <w:p w14:paraId="43FA1077" w14:textId="77777777" w:rsidR="00DC7F92" w:rsidRPr="00A6164C" w:rsidRDefault="00DC7F92" w:rsidP="006B76C3">
            <w:pPr>
              <w:spacing w:before="0" w:after="0"/>
              <w:ind w:left="113" w:right="113"/>
              <w:rPr>
                <w:rFonts w:cs="Times New Roman"/>
                <w:sz w:val="20"/>
                <w:lang w:val="sr-Cyrl-RS"/>
              </w:rPr>
            </w:pPr>
            <w:r w:rsidRPr="00A37C60">
              <w:rPr>
                <w:rFonts w:cs="Times New Roman"/>
                <w:sz w:val="20"/>
                <w:lang w:val="sr-Cyrl-RS"/>
              </w:rPr>
              <w:t xml:space="preserve">БДВ </w:t>
            </w:r>
            <w:r w:rsidRPr="00E011B5">
              <w:rPr>
                <w:rFonts w:cs="Times New Roman"/>
                <w:sz w:val="20"/>
                <w:lang w:val="sr-Cyrl-RS"/>
              </w:rPr>
              <w:t xml:space="preserve">пољопривреде, </w:t>
            </w:r>
            <w:r w:rsidRPr="00E73A5D">
              <w:rPr>
                <w:rFonts w:cs="Times New Roman"/>
                <w:sz w:val="20"/>
                <w:lang w:val="sr-Cyrl-RS"/>
              </w:rPr>
              <w:t>у млрд. ЕУР</w:t>
            </w:r>
          </w:p>
        </w:tc>
        <w:tc>
          <w:tcPr>
            <w:tcW w:w="1842" w:type="dxa"/>
          </w:tcPr>
          <w:p w14:paraId="6B5679BF" w14:textId="77777777" w:rsidR="00DC7F92" w:rsidRPr="00E73A5D" w:rsidRDefault="00DC7F92" w:rsidP="006B76C3">
            <w:pPr>
              <w:spacing w:before="0" w:after="0"/>
              <w:ind w:left="113" w:right="113"/>
              <w:jc w:val="right"/>
              <w:rPr>
                <w:rFonts w:cs="Times New Roman"/>
                <w:sz w:val="20"/>
                <w:lang w:val="sr-Cyrl-RS"/>
              </w:rPr>
            </w:pPr>
            <w:r w:rsidRPr="00E73A5D">
              <w:rPr>
                <w:rFonts w:cs="Times New Roman"/>
                <w:sz w:val="20"/>
                <w:lang w:val="sr-Cyrl-RS"/>
              </w:rPr>
              <w:t xml:space="preserve">2.7 </w:t>
            </w:r>
          </w:p>
        </w:tc>
        <w:tc>
          <w:tcPr>
            <w:tcW w:w="1843" w:type="dxa"/>
          </w:tcPr>
          <w:p w14:paraId="6F899064" w14:textId="77777777" w:rsidR="00DC7F92" w:rsidRPr="00E73A5D" w:rsidRDefault="00DC7F92" w:rsidP="006B76C3">
            <w:pPr>
              <w:spacing w:before="0" w:after="0"/>
              <w:ind w:left="113" w:right="113"/>
              <w:jc w:val="right"/>
              <w:rPr>
                <w:rFonts w:cs="Times New Roman"/>
                <w:sz w:val="20"/>
                <w:lang w:val="sr-Cyrl-RS"/>
              </w:rPr>
            </w:pPr>
            <w:r w:rsidRPr="00E73A5D">
              <w:rPr>
                <w:rFonts w:cs="Times New Roman"/>
                <w:sz w:val="20"/>
                <w:lang w:val="sr-Cyrl-RS"/>
              </w:rPr>
              <w:t>3.0</w:t>
            </w:r>
          </w:p>
        </w:tc>
        <w:tc>
          <w:tcPr>
            <w:tcW w:w="1843" w:type="dxa"/>
          </w:tcPr>
          <w:p w14:paraId="0B753DD9" w14:textId="77777777" w:rsidR="00DC7F92" w:rsidRPr="0053720E" w:rsidRDefault="00DC7F92" w:rsidP="006B76C3">
            <w:pPr>
              <w:spacing w:before="0" w:after="0"/>
              <w:ind w:left="113" w:right="113"/>
              <w:jc w:val="right"/>
              <w:rPr>
                <w:rFonts w:cs="Times New Roman"/>
                <w:sz w:val="20"/>
                <w:lang w:val="sr-Cyrl-RS"/>
              </w:rPr>
            </w:pPr>
            <w:r w:rsidRPr="0053720E">
              <w:rPr>
                <w:rFonts w:cs="Times New Roman"/>
                <w:sz w:val="20"/>
                <w:lang w:val="sr-Cyrl-RS"/>
              </w:rPr>
              <w:t>3.8</w:t>
            </w:r>
          </w:p>
        </w:tc>
      </w:tr>
      <w:tr w:rsidR="00DC7F92" w:rsidRPr="00A6164C" w14:paraId="47A12629" w14:textId="77777777" w:rsidTr="00DC7F92">
        <w:trPr>
          <w:trHeight w:val="284"/>
        </w:trPr>
        <w:tc>
          <w:tcPr>
            <w:tcW w:w="4106" w:type="dxa"/>
          </w:tcPr>
          <w:p w14:paraId="41FFD8F5" w14:textId="77777777" w:rsidR="00DC7F92" w:rsidRPr="00A37C60" w:rsidRDefault="00DC7F92" w:rsidP="006B76C3">
            <w:pPr>
              <w:spacing w:before="0" w:after="0"/>
              <w:ind w:left="113" w:right="113"/>
              <w:rPr>
                <w:rFonts w:cs="Times New Roman"/>
                <w:sz w:val="20"/>
                <w:lang w:val="sr-Cyrl-RS"/>
              </w:rPr>
            </w:pPr>
            <w:r w:rsidRPr="00A37C60">
              <w:rPr>
                <w:rFonts w:cs="Times New Roman"/>
                <w:sz w:val="20"/>
                <w:lang w:val="sr-Cyrl-RS"/>
              </w:rPr>
              <w:t xml:space="preserve">Учeшћe пољопривредно-прехрамбених производа у извозу </w:t>
            </w:r>
          </w:p>
        </w:tc>
        <w:tc>
          <w:tcPr>
            <w:tcW w:w="1842" w:type="dxa"/>
          </w:tcPr>
          <w:p w14:paraId="0F32FC68" w14:textId="77777777" w:rsidR="00DC7F92" w:rsidRPr="00A37C60" w:rsidRDefault="00DC7F92" w:rsidP="006B76C3">
            <w:pPr>
              <w:spacing w:before="0" w:after="0"/>
              <w:ind w:left="113" w:right="113"/>
              <w:jc w:val="right"/>
              <w:rPr>
                <w:rFonts w:cs="Times New Roman"/>
                <w:sz w:val="20"/>
                <w:lang w:val="sr-Cyrl-RS"/>
              </w:rPr>
            </w:pPr>
            <w:r w:rsidRPr="00A37C60">
              <w:rPr>
                <w:rFonts w:cs="Times New Roman"/>
                <w:sz w:val="20"/>
                <w:lang w:val="sr-Cyrl-RS"/>
              </w:rPr>
              <w:t>18,5%</w:t>
            </w:r>
          </w:p>
        </w:tc>
        <w:tc>
          <w:tcPr>
            <w:tcW w:w="1843" w:type="dxa"/>
          </w:tcPr>
          <w:p w14:paraId="3209ED9C" w14:textId="77777777" w:rsidR="00DC7F92" w:rsidRPr="00A37C60" w:rsidRDefault="00DC7F92" w:rsidP="006B76C3">
            <w:pPr>
              <w:spacing w:before="0" w:after="0"/>
              <w:ind w:left="113" w:right="113"/>
              <w:jc w:val="right"/>
              <w:rPr>
                <w:rFonts w:cs="Times New Roman"/>
                <w:sz w:val="20"/>
                <w:lang w:val="sr-Cyrl-RS"/>
              </w:rPr>
            </w:pPr>
            <w:r w:rsidRPr="00A37C60">
              <w:rPr>
                <w:rFonts w:cs="Times New Roman"/>
                <w:sz w:val="20"/>
                <w:lang w:val="sr-Cyrl-RS"/>
              </w:rPr>
              <w:t>21,3%</w:t>
            </w:r>
          </w:p>
        </w:tc>
        <w:tc>
          <w:tcPr>
            <w:tcW w:w="1843" w:type="dxa"/>
          </w:tcPr>
          <w:p w14:paraId="41ED4C9E" w14:textId="77777777" w:rsidR="00DC7F92" w:rsidRPr="00A37C60" w:rsidRDefault="00DC7F92" w:rsidP="006B76C3">
            <w:pPr>
              <w:spacing w:before="0" w:after="0"/>
              <w:ind w:left="113" w:right="113"/>
              <w:jc w:val="right"/>
              <w:rPr>
                <w:rFonts w:cs="Times New Roman"/>
                <w:sz w:val="20"/>
                <w:lang w:val="sr-Cyrl-RS"/>
              </w:rPr>
            </w:pPr>
            <w:r w:rsidRPr="00F35237">
              <w:rPr>
                <w:rFonts w:cs="Times New Roman"/>
                <w:sz w:val="20"/>
                <w:lang w:val="sr-Cyrl-RS"/>
              </w:rPr>
              <w:t>19%</w:t>
            </w:r>
          </w:p>
        </w:tc>
      </w:tr>
    </w:tbl>
    <w:p w14:paraId="0C41C7CB"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529A6281" w14:textId="77777777" w:rsidR="00DC7F92" w:rsidRPr="00A37C60" w:rsidRDefault="00DC7F92" w:rsidP="002B64C7">
      <w:pPr>
        <w:spacing w:after="60"/>
        <w:rPr>
          <w:rFonts w:eastAsia="Times New Roman" w:cs="Times New Roman"/>
          <w:szCs w:val="24"/>
          <w:lang w:val="sr-Cyrl-RS"/>
        </w:rPr>
      </w:pPr>
      <w:r w:rsidRPr="00A37C60">
        <w:rPr>
          <w:rFonts w:eastAsia="Times New Roman" w:cs="Times New Roman"/>
          <w:szCs w:val="24"/>
          <w:lang w:val="sr-Cyrl-RS"/>
        </w:rPr>
        <w:t>Како би се спровеле инвестиције које доприносе развоју конкурентности у руралним подручјима, потребно је обезбедити одговарајућу инфраструктуру</w:t>
      </w:r>
      <w:r>
        <w:rPr>
          <w:rFonts w:eastAsia="Times New Roman" w:cs="Times New Roman"/>
          <w:szCs w:val="24"/>
          <w:lang w:val="sr-Cyrl-RS"/>
        </w:rPr>
        <w:t xml:space="preserve"> која ће</w:t>
      </w:r>
      <w:r w:rsidRPr="00A37C60">
        <w:rPr>
          <w:rFonts w:eastAsia="Times New Roman" w:cs="Times New Roman"/>
          <w:szCs w:val="24"/>
          <w:lang w:val="sr-Cyrl-RS"/>
        </w:rPr>
        <w:t xml:space="preserve"> доприн</w:t>
      </w:r>
      <w:r>
        <w:rPr>
          <w:rFonts w:eastAsia="Times New Roman" w:cs="Times New Roman"/>
          <w:szCs w:val="24"/>
          <w:lang w:val="sr-Cyrl-RS"/>
        </w:rPr>
        <w:t>ети</w:t>
      </w:r>
      <w:r w:rsidRPr="00A37C60">
        <w:rPr>
          <w:rFonts w:eastAsia="Times New Roman" w:cs="Times New Roman"/>
          <w:szCs w:val="24"/>
          <w:lang w:val="sr-Cyrl-RS"/>
        </w:rPr>
        <w:t xml:space="preserve"> квантитативном и квалитативном развоју прерадних погона и </w:t>
      </w:r>
      <w:r>
        <w:rPr>
          <w:rFonts w:eastAsia="Times New Roman" w:cs="Times New Roman"/>
          <w:szCs w:val="24"/>
          <w:lang w:val="sr-Cyrl-RS"/>
        </w:rPr>
        <w:t xml:space="preserve">која </w:t>
      </w:r>
      <w:r w:rsidRPr="00A37C60">
        <w:rPr>
          <w:rFonts w:eastAsia="Times New Roman" w:cs="Times New Roman"/>
          <w:szCs w:val="24"/>
          <w:lang w:val="sr-Cyrl-RS"/>
        </w:rPr>
        <w:t>омогућава изградњу нових складишних и прерадних капацацитета. Развијање шема квалитета за пољопривредне и прехрамбене производе ће омогућити произвођачима да своје производе са заштићеним ознакама географског порекла заштите и на нивоу ЕУ. Поред препознатљивости</w:t>
      </w:r>
      <w:r>
        <w:rPr>
          <w:rFonts w:eastAsia="Times New Roman" w:cs="Times New Roman"/>
          <w:szCs w:val="24"/>
          <w:lang w:val="sr-Cyrl-RS"/>
        </w:rPr>
        <w:t>,</w:t>
      </w:r>
      <w:r w:rsidRPr="00A37C60">
        <w:rPr>
          <w:rFonts w:eastAsia="Times New Roman" w:cs="Times New Roman"/>
          <w:szCs w:val="24"/>
          <w:lang w:val="sr-Cyrl-RS"/>
        </w:rPr>
        <w:t xml:space="preserve"> производи ће бити стандардизовани </w:t>
      </w:r>
      <w:r>
        <w:rPr>
          <w:rFonts w:eastAsia="Times New Roman" w:cs="Times New Roman"/>
          <w:szCs w:val="24"/>
          <w:lang w:val="sr-Cyrl-RS"/>
        </w:rPr>
        <w:t xml:space="preserve">и </w:t>
      </w:r>
      <w:r w:rsidRPr="00A37C60">
        <w:rPr>
          <w:rFonts w:eastAsia="Times New Roman" w:cs="Times New Roman"/>
          <w:szCs w:val="24"/>
          <w:lang w:val="sr-Cyrl-RS"/>
        </w:rPr>
        <w:t xml:space="preserve">ценовно конкурентни. Такође, </w:t>
      </w:r>
      <w:r>
        <w:rPr>
          <w:rFonts w:eastAsia="Times New Roman" w:cs="Times New Roman"/>
          <w:szCs w:val="24"/>
          <w:lang w:val="sr-Cyrl-RS"/>
        </w:rPr>
        <w:t>у</w:t>
      </w:r>
      <w:r w:rsidRPr="00A37C60">
        <w:rPr>
          <w:rFonts w:eastAsia="Times New Roman" w:cs="Times New Roman"/>
          <w:szCs w:val="24"/>
          <w:lang w:val="sr-Cyrl-RS"/>
        </w:rPr>
        <w:t xml:space="preserve">вођење међународних стандарда </w:t>
      </w:r>
      <w:r>
        <w:rPr>
          <w:rFonts w:eastAsia="Times New Roman" w:cs="Times New Roman"/>
          <w:szCs w:val="24"/>
          <w:lang w:val="sr-Cyrl-RS"/>
        </w:rPr>
        <w:t xml:space="preserve">у органску производњу </w:t>
      </w:r>
      <w:r w:rsidRPr="00A37C60">
        <w:rPr>
          <w:rFonts w:eastAsia="Times New Roman" w:cs="Times New Roman"/>
          <w:szCs w:val="24"/>
          <w:lang w:val="sr-Cyrl-RS"/>
        </w:rPr>
        <w:t xml:space="preserve">директно </w:t>
      </w:r>
      <w:r>
        <w:rPr>
          <w:rFonts w:eastAsia="Times New Roman" w:cs="Times New Roman"/>
          <w:szCs w:val="24"/>
          <w:lang w:val="sr-Cyrl-RS"/>
        </w:rPr>
        <w:t xml:space="preserve">ће </w:t>
      </w:r>
      <w:r w:rsidRPr="00A37C60">
        <w:rPr>
          <w:rFonts w:eastAsia="Times New Roman" w:cs="Times New Roman"/>
          <w:szCs w:val="24"/>
          <w:lang w:val="sr-Cyrl-RS"/>
        </w:rPr>
        <w:t>утицати на повећање конкурентности произвођача, како на домаћем тако и на страном тржишту. Повећање вредности пољопривредних производа директно утиче на повећање извоза и БДП.</w:t>
      </w:r>
    </w:p>
    <w:p w14:paraId="07C1CBB4" w14:textId="77777777" w:rsidR="00DC7F92" w:rsidRPr="00A37C60" w:rsidRDefault="00DC7F92" w:rsidP="00DC7F92">
      <w:pPr>
        <w:spacing w:after="60"/>
        <w:rPr>
          <w:rFonts w:eastAsia="Times New Roman" w:cs="Times New Roman"/>
          <w:szCs w:val="24"/>
          <w:lang w:val="sr-Cyrl-RS"/>
        </w:rPr>
      </w:pPr>
      <w:r w:rsidRPr="00A37C60">
        <w:rPr>
          <w:rFonts w:eastAsia="Times New Roman" w:cs="Times New Roman"/>
          <w:szCs w:val="24"/>
          <w:lang w:val="sr-Cyrl-RS"/>
        </w:rPr>
        <w:t>Ефикасниј</w:t>
      </w:r>
      <w:r>
        <w:rPr>
          <w:rFonts w:eastAsia="Times New Roman" w:cs="Times New Roman"/>
          <w:szCs w:val="24"/>
          <w:lang w:val="sr-Cyrl-RS"/>
        </w:rPr>
        <w:t>им</w:t>
      </w:r>
      <w:r w:rsidRPr="00A37C60">
        <w:rPr>
          <w:rFonts w:eastAsia="Times New Roman" w:cs="Times New Roman"/>
          <w:szCs w:val="24"/>
          <w:lang w:val="sr-Cyrl-RS"/>
        </w:rPr>
        <w:t xml:space="preserve"> спровођење</w:t>
      </w:r>
      <w:r>
        <w:rPr>
          <w:rFonts w:eastAsia="Times New Roman" w:cs="Times New Roman"/>
          <w:szCs w:val="24"/>
          <w:lang w:val="sr-Cyrl-RS"/>
        </w:rPr>
        <w:t>м</w:t>
      </w:r>
      <w:r w:rsidRPr="00A37C60">
        <w:rPr>
          <w:rFonts w:eastAsia="Times New Roman" w:cs="Times New Roman"/>
          <w:szCs w:val="24"/>
          <w:lang w:val="sr-Cyrl-RS"/>
        </w:rPr>
        <w:t xml:space="preserve"> процеса комасације </w:t>
      </w:r>
      <w:r>
        <w:rPr>
          <w:rFonts w:eastAsia="Times New Roman" w:cs="Times New Roman"/>
          <w:szCs w:val="24"/>
          <w:lang w:val="sr-Cyrl-RS"/>
        </w:rPr>
        <w:t>очекује се</w:t>
      </w:r>
      <w:r w:rsidRPr="00A37C60">
        <w:rPr>
          <w:rFonts w:eastAsia="Times New Roman" w:cs="Times New Roman"/>
          <w:szCs w:val="24"/>
          <w:lang w:val="sr-Cyrl-RS"/>
        </w:rPr>
        <w:t xml:space="preserve"> </w:t>
      </w:r>
      <w:r>
        <w:rPr>
          <w:rFonts w:eastAsia="Times New Roman" w:cs="Times New Roman"/>
          <w:szCs w:val="24"/>
          <w:lang w:val="sr-Cyrl-RS"/>
        </w:rPr>
        <w:t xml:space="preserve">укрупњавање земљишта, </w:t>
      </w:r>
      <w:r w:rsidRPr="00A37C60">
        <w:rPr>
          <w:rFonts w:eastAsia="Times New Roman" w:cs="Times New Roman"/>
          <w:szCs w:val="24"/>
          <w:lang w:val="sr-Cyrl-RS"/>
        </w:rPr>
        <w:t>формирање парцела правилног облика погодних за приступ механизацији, уређење</w:t>
      </w:r>
      <w:r>
        <w:rPr>
          <w:rFonts w:eastAsia="Times New Roman" w:cs="Times New Roman"/>
          <w:szCs w:val="24"/>
          <w:lang w:val="sr-Cyrl-RS"/>
        </w:rPr>
        <w:t xml:space="preserve"> инфраструктуре, </w:t>
      </w:r>
      <w:r w:rsidRPr="00AC0B30">
        <w:rPr>
          <w:rFonts w:eastAsia="Times New Roman" w:cs="Times New Roman"/>
          <w:szCs w:val="24"/>
          <w:lang w:val="sr-Cyrl-RS"/>
        </w:rPr>
        <w:t>ефикасније давање у закуп државног пољопривредног земљишта што ће се одразити на повећање пољопривредне производње и раст БДП</w:t>
      </w:r>
      <w:r>
        <w:rPr>
          <w:rFonts w:eastAsia="Times New Roman" w:cs="Times New Roman"/>
          <w:szCs w:val="24"/>
          <w:lang w:val="sr-Cyrl-RS"/>
        </w:rPr>
        <w:t>-а</w:t>
      </w:r>
      <w:r w:rsidRPr="00AC0B30">
        <w:rPr>
          <w:rFonts w:eastAsia="Times New Roman" w:cs="Times New Roman"/>
          <w:szCs w:val="24"/>
          <w:lang w:val="sr-Cyrl-RS"/>
        </w:rPr>
        <w:t>.</w:t>
      </w:r>
    </w:p>
    <w:p w14:paraId="30B06DE4" w14:textId="77777777" w:rsidR="00DC7F92" w:rsidRPr="00A6164C" w:rsidRDefault="00DC7F92" w:rsidP="00DC7F92">
      <w:pPr>
        <w:spacing w:after="60"/>
        <w:rPr>
          <w:rFonts w:eastAsia="Times New Roman" w:cs="Times New Roman"/>
          <w:szCs w:val="24"/>
          <w:lang w:val="sr-Cyrl-RS"/>
        </w:rPr>
      </w:pPr>
      <w:r w:rsidRPr="00A37C60">
        <w:rPr>
          <w:rFonts w:eastAsia="Times New Roman" w:cs="Times New Roman"/>
          <w:szCs w:val="24"/>
          <w:lang w:val="sr-Cyrl-RS"/>
        </w:rPr>
        <w:t xml:space="preserve">Побољшањем ликвидности утиче </w:t>
      </w:r>
      <w:r>
        <w:rPr>
          <w:rFonts w:eastAsia="Times New Roman" w:cs="Times New Roman"/>
          <w:szCs w:val="24"/>
          <w:lang w:val="sr-Cyrl-RS"/>
        </w:rPr>
        <w:t xml:space="preserve">се </w:t>
      </w:r>
      <w:r w:rsidRPr="00A37C60">
        <w:rPr>
          <w:rFonts w:eastAsia="Times New Roman" w:cs="Times New Roman"/>
          <w:szCs w:val="24"/>
          <w:lang w:val="sr-Cyrl-RS"/>
        </w:rPr>
        <w:t>на могућност инвестирања у основна средства што заједно утиче на конкурентност пољопривреде a посредно може да доведе до увећања кредитне подршке у инвестиционе кредите у пољо</w:t>
      </w:r>
      <w:r>
        <w:rPr>
          <w:rFonts w:eastAsia="Times New Roman" w:cs="Times New Roman"/>
          <w:szCs w:val="24"/>
          <w:lang w:val="sr-Cyrl-RS"/>
        </w:rPr>
        <w:t>привреди и преради.</w:t>
      </w:r>
    </w:p>
    <w:p w14:paraId="7B7491D3"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420B4F3A" w14:textId="77777777" w:rsidR="00DC7F92" w:rsidRDefault="00DC7F92" w:rsidP="00DC7F92">
      <w:pPr>
        <w:widowControl w:val="0"/>
        <w:spacing w:after="60"/>
        <w:rPr>
          <w:rFonts w:eastAsia="Times New Roman" w:cs="Times New Roman"/>
          <w:szCs w:val="24"/>
          <w:lang w:val="sr-Cyrl-RS"/>
        </w:rPr>
      </w:pPr>
      <w:r w:rsidRPr="00A37C60">
        <w:rPr>
          <w:rFonts w:eastAsia="Times New Roman" w:cs="Times New Roman"/>
          <w:szCs w:val="24"/>
          <w:lang w:val="sr-Cyrl-RS"/>
        </w:rPr>
        <w:lastRenderedPageBreak/>
        <w:t xml:space="preserve">Процењени трошкови за унапређење руралне инфраструктуре </w:t>
      </w:r>
      <w:r>
        <w:rPr>
          <w:rFonts w:eastAsia="Times New Roman" w:cs="Times New Roman"/>
          <w:szCs w:val="24"/>
          <w:lang w:val="sr-Cyrl-RS"/>
        </w:rPr>
        <w:t>кроз расписивање јавног позива</w:t>
      </w:r>
      <w:r>
        <w:rPr>
          <w:rFonts w:eastAsia="Times New Roman" w:cs="Times New Roman"/>
          <w:szCs w:val="24"/>
          <w:lang w:val="sr-Latn-RS"/>
        </w:rPr>
        <w:t xml:space="preserve"> </w:t>
      </w:r>
      <w:r w:rsidRPr="00A37C60">
        <w:rPr>
          <w:rFonts w:eastAsia="Times New Roman" w:cs="Times New Roman"/>
          <w:szCs w:val="24"/>
          <w:lang w:val="sr-Cyrl-RS"/>
        </w:rPr>
        <w:t>у 202</w:t>
      </w:r>
      <w:r>
        <w:rPr>
          <w:rFonts w:eastAsia="Times New Roman" w:cs="Times New Roman"/>
          <w:szCs w:val="24"/>
          <w:lang w:val="sr-Cyrl-RS"/>
        </w:rPr>
        <w:t>2</w:t>
      </w:r>
      <w:r w:rsidRPr="00A37C60">
        <w:rPr>
          <w:rFonts w:eastAsia="Times New Roman" w:cs="Times New Roman"/>
          <w:szCs w:val="24"/>
          <w:lang w:val="sr-Cyrl-RS"/>
        </w:rPr>
        <w:t>. години износе око 4,</w:t>
      </w:r>
      <w:r>
        <w:rPr>
          <w:rFonts w:eastAsia="Times New Roman" w:cs="Times New Roman"/>
          <w:szCs w:val="24"/>
          <w:lang w:val="sr-Cyrl-RS"/>
        </w:rPr>
        <w:t>5</w:t>
      </w:r>
      <w:r w:rsidRPr="00A37C60">
        <w:rPr>
          <w:rFonts w:eastAsia="Times New Roman" w:cs="Times New Roman"/>
          <w:szCs w:val="24"/>
          <w:lang w:val="sr-Cyrl-RS"/>
        </w:rPr>
        <w:t xml:space="preserve"> </w:t>
      </w:r>
      <w:r>
        <w:rPr>
          <w:rFonts w:eastAsia="Times New Roman" w:cs="Times New Roman"/>
          <w:szCs w:val="24"/>
          <w:lang w:val="sr-Cyrl-RS"/>
        </w:rPr>
        <w:t>милиона евра</w:t>
      </w:r>
      <w:r w:rsidRPr="00A37C60">
        <w:rPr>
          <w:rFonts w:eastAsia="Times New Roman" w:cs="Times New Roman"/>
          <w:szCs w:val="24"/>
          <w:lang w:val="sr-Cyrl-RS"/>
        </w:rPr>
        <w:t xml:space="preserve">. Мера </w:t>
      </w:r>
      <w:r>
        <w:rPr>
          <w:rFonts w:eastAsia="Times New Roman" w:cs="Times New Roman"/>
          <w:szCs w:val="24"/>
          <w:lang w:val="sr-Cyrl-RS"/>
        </w:rPr>
        <w:t xml:space="preserve">ће се током 2022. и 2023. финансирати из извора који тек треба да буду утврђени, </w:t>
      </w:r>
      <w:r w:rsidRPr="00A37C60">
        <w:rPr>
          <w:rFonts w:eastAsia="Times New Roman" w:cs="Times New Roman"/>
          <w:szCs w:val="24"/>
          <w:lang w:val="sr-Cyrl-RS"/>
        </w:rPr>
        <w:t xml:space="preserve">а од 2024. године кроз ИПАРД </w:t>
      </w:r>
      <w:r w:rsidRPr="000F0FC1">
        <w:rPr>
          <w:rFonts w:eastAsia="Times New Roman" w:cs="Times New Roman"/>
          <w:szCs w:val="24"/>
          <w:lang w:val="sr-Cyrl-RS"/>
        </w:rPr>
        <w:t>III</w:t>
      </w:r>
      <w:r w:rsidRPr="000F0FC1" w:rsidDel="000F0FC1">
        <w:rPr>
          <w:rFonts w:eastAsia="Times New Roman" w:cs="Times New Roman"/>
          <w:szCs w:val="24"/>
          <w:lang w:val="sr-Cyrl-RS"/>
        </w:rPr>
        <w:t xml:space="preserve"> </w:t>
      </w:r>
      <w:r w:rsidRPr="00A37C60">
        <w:rPr>
          <w:rFonts w:eastAsia="Times New Roman" w:cs="Times New Roman"/>
          <w:szCs w:val="24"/>
          <w:lang w:val="sr-Cyrl-RS"/>
        </w:rPr>
        <w:t>програм. Процењени трошкови за успостављање система који су везани за имплементацију захтева и мера уређења тржишта на основу Закона о уређењу тржишта пољопривредних производа, спровођење едукација, упознавање произвођача са променама до којих ће доћи применом одређених одредаба поменутог закона, набавку хардвера и софтвера</w:t>
      </w:r>
      <w:r>
        <w:rPr>
          <w:rFonts w:eastAsia="Times New Roman" w:cs="Times New Roman"/>
          <w:szCs w:val="24"/>
          <w:lang w:val="sr-Cyrl-RS"/>
        </w:rPr>
        <w:t xml:space="preserve"> и успостављање регистра</w:t>
      </w:r>
      <w:r w:rsidRPr="00A37C60">
        <w:rPr>
          <w:rFonts w:eastAsia="Times New Roman" w:cs="Times New Roman"/>
          <w:szCs w:val="24"/>
          <w:lang w:val="sr-Cyrl-RS"/>
        </w:rPr>
        <w:t xml:space="preserve">, као и повећање административних капацитета планирано је да износе  око </w:t>
      </w:r>
      <w:r>
        <w:rPr>
          <w:rFonts w:eastAsia="Times New Roman" w:cs="Times New Roman"/>
          <w:szCs w:val="24"/>
          <w:lang w:val="sr-Cyrl-RS"/>
        </w:rPr>
        <w:t>9,8</w:t>
      </w:r>
      <w:r w:rsidRPr="00A37C60">
        <w:rPr>
          <w:rFonts w:eastAsia="Times New Roman" w:cs="Times New Roman"/>
          <w:szCs w:val="24"/>
          <w:lang w:val="sr-Cyrl-RS"/>
        </w:rPr>
        <w:t xml:space="preserve"> </w:t>
      </w:r>
      <w:r>
        <w:rPr>
          <w:rFonts w:eastAsia="Times New Roman" w:cs="Times New Roman"/>
          <w:szCs w:val="24"/>
          <w:lang w:val="sr-Cyrl-RS"/>
        </w:rPr>
        <w:t>милиона евра у укупном износу</w:t>
      </w:r>
      <w:r w:rsidRPr="00A37C60">
        <w:rPr>
          <w:rFonts w:eastAsia="Times New Roman" w:cs="Times New Roman"/>
          <w:szCs w:val="24"/>
          <w:lang w:val="sr-Cyrl-RS"/>
        </w:rPr>
        <w:t>.</w:t>
      </w:r>
    </w:p>
    <w:p w14:paraId="46EB3C69" w14:textId="77777777" w:rsidR="00DC7F92" w:rsidRPr="00A37C60" w:rsidRDefault="00DC7F92" w:rsidP="00DC7F92">
      <w:pPr>
        <w:widowControl w:val="0"/>
        <w:spacing w:after="60"/>
        <w:rPr>
          <w:rFonts w:eastAsia="Times New Roman" w:cs="Times New Roman"/>
          <w:szCs w:val="24"/>
          <w:lang w:val="sr-Cyrl-RS"/>
        </w:rPr>
      </w:pPr>
      <w:r w:rsidRPr="009438A3">
        <w:rPr>
          <w:rFonts w:eastAsia="Times New Roman" w:cs="Times New Roman"/>
          <w:szCs w:val="24"/>
          <w:lang w:val="sr-Cyrl-RS"/>
        </w:rPr>
        <w:t>Део ових трошкова биће обезбеђен кроз пројекте финансиране од стране ЕУ, у</w:t>
      </w:r>
      <w:r>
        <w:rPr>
          <w:rFonts w:eastAsia="Times New Roman" w:cs="Times New Roman"/>
          <w:szCs w:val="24"/>
          <w:lang w:val="sr-Cyrl-RS"/>
        </w:rPr>
        <w:t xml:space="preserve"> износу од 1,8 милиона</w:t>
      </w:r>
      <w:r w:rsidRPr="009438A3">
        <w:rPr>
          <w:rFonts w:eastAsia="Times New Roman" w:cs="Times New Roman"/>
          <w:szCs w:val="24"/>
          <w:lang w:val="sr-Cyrl-RS"/>
        </w:rPr>
        <w:t xml:space="preserve"> </w:t>
      </w:r>
      <w:r>
        <w:rPr>
          <w:rFonts w:eastAsia="Times New Roman" w:cs="Times New Roman"/>
          <w:szCs w:val="24"/>
          <w:lang w:val="sr-Cyrl-RS"/>
        </w:rPr>
        <w:t>евра (у 2022. години – 600 хиљада евра</w:t>
      </w:r>
      <w:r w:rsidRPr="009438A3">
        <w:rPr>
          <w:rFonts w:eastAsia="Times New Roman" w:cs="Times New Roman"/>
          <w:szCs w:val="24"/>
          <w:lang w:val="sr-Cyrl-RS"/>
        </w:rPr>
        <w:t>, у 2023. години – 1,02 мил</w:t>
      </w:r>
      <w:r>
        <w:rPr>
          <w:rFonts w:eastAsia="Times New Roman" w:cs="Times New Roman"/>
          <w:szCs w:val="24"/>
          <w:lang w:val="sr-Cyrl-RS"/>
        </w:rPr>
        <w:t>иона евра и у 2024. години – 180 хиљада евра</w:t>
      </w:r>
      <w:r w:rsidRPr="009438A3">
        <w:rPr>
          <w:rFonts w:eastAsia="Times New Roman" w:cs="Times New Roman"/>
          <w:szCs w:val="24"/>
          <w:lang w:val="sr-Cyrl-RS"/>
        </w:rPr>
        <w:t xml:space="preserve">). Укупно процењени трошкови према корисницима за субвенције мера уређења </w:t>
      </w:r>
      <w:r w:rsidRPr="00E011B5">
        <w:rPr>
          <w:rFonts w:eastAsia="Times New Roman" w:cs="Times New Roman"/>
          <w:szCs w:val="24"/>
          <w:lang w:val="sr-Cyrl-RS"/>
        </w:rPr>
        <w:t>тржишта чији извор финансирања тек треба да се утврди  износе 1,</w:t>
      </w:r>
      <w:r w:rsidRPr="009438A3">
        <w:rPr>
          <w:rFonts w:eastAsia="Times New Roman" w:cs="Times New Roman"/>
          <w:szCs w:val="24"/>
          <w:lang w:val="sr-Cyrl-RS"/>
        </w:rPr>
        <w:t>12 мил</w:t>
      </w:r>
      <w:r>
        <w:rPr>
          <w:rFonts w:eastAsia="Times New Roman" w:cs="Times New Roman"/>
          <w:szCs w:val="24"/>
          <w:lang w:val="sr-Cyrl-RS"/>
        </w:rPr>
        <w:t>иона евра</w:t>
      </w:r>
      <w:r w:rsidRPr="009438A3">
        <w:rPr>
          <w:rFonts w:eastAsia="Times New Roman" w:cs="Times New Roman"/>
          <w:szCs w:val="24"/>
          <w:lang w:val="sr-Cyrl-RS"/>
        </w:rPr>
        <w:t xml:space="preserve"> у 2022. години, и сваке године просечно 3,3 мил</w:t>
      </w:r>
      <w:r>
        <w:rPr>
          <w:rFonts w:eastAsia="Times New Roman" w:cs="Times New Roman"/>
          <w:szCs w:val="24"/>
          <w:lang w:val="sr-Cyrl-RS"/>
        </w:rPr>
        <w:t>иона евра</w:t>
      </w:r>
      <w:r w:rsidRPr="009438A3">
        <w:rPr>
          <w:rFonts w:eastAsia="Times New Roman" w:cs="Times New Roman"/>
          <w:szCs w:val="24"/>
          <w:lang w:val="sr-Cyrl-RS"/>
        </w:rPr>
        <w:t xml:space="preserve">. </w:t>
      </w:r>
      <w:r>
        <w:rPr>
          <w:rFonts w:eastAsia="Times New Roman" w:cs="Times New Roman"/>
          <w:szCs w:val="24"/>
          <w:lang w:val="sr-Cyrl-RS"/>
        </w:rPr>
        <w:t xml:space="preserve">У складу са усвојеним Законом о уређењу тржишта пољопривредних производа у 2024. години планиран је износ од 146.250 евра за  израду регистра трговаца. </w:t>
      </w:r>
      <w:r w:rsidRPr="009438A3">
        <w:rPr>
          <w:rFonts w:eastAsia="Times New Roman" w:cs="Times New Roman"/>
          <w:szCs w:val="24"/>
          <w:lang w:val="sr-Cyrl-RS"/>
        </w:rPr>
        <w:t xml:space="preserve">. Усвајање Закона о шемама квалитета за пољопривредне и прехрамбене производе и Закона о органској производњи као и њихово спровођење захтева одређене трошкове који су везани за повећање административних капацитета, спровођење едукација и информативне кампање. Процењени трошкови обезбеђени су кроз ФАО пројекат у укупном износу од 170.372 </w:t>
      </w:r>
      <w:r>
        <w:rPr>
          <w:rFonts w:eastAsia="Times New Roman" w:cs="Times New Roman"/>
          <w:szCs w:val="24"/>
          <w:lang w:val="sr-Cyrl-RS"/>
        </w:rPr>
        <w:t>евра</w:t>
      </w:r>
      <w:r w:rsidRPr="009438A3">
        <w:rPr>
          <w:rFonts w:eastAsia="Times New Roman" w:cs="Times New Roman"/>
          <w:szCs w:val="24"/>
          <w:lang w:val="sr-Cyrl-RS"/>
        </w:rPr>
        <w:t>, у 2022.</w:t>
      </w:r>
      <w:r>
        <w:rPr>
          <w:rFonts w:eastAsia="Times New Roman" w:cs="Times New Roman"/>
          <w:szCs w:val="24"/>
          <w:lang w:val="sr-Cyrl-RS"/>
        </w:rPr>
        <w:t xml:space="preserve"> </w:t>
      </w:r>
      <w:r w:rsidRPr="009438A3">
        <w:rPr>
          <w:rFonts w:eastAsia="Times New Roman" w:cs="Times New Roman"/>
          <w:szCs w:val="24"/>
          <w:lang w:val="sr-Cyrl-RS"/>
        </w:rPr>
        <w:t>години 85.000 и у 2023.</w:t>
      </w:r>
      <w:r>
        <w:rPr>
          <w:rFonts w:eastAsia="Times New Roman" w:cs="Times New Roman"/>
          <w:szCs w:val="24"/>
          <w:lang w:val="sr-Cyrl-RS"/>
        </w:rPr>
        <w:t xml:space="preserve"> </w:t>
      </w:r>
      <w:r w:rsidRPr="009438A3">
        <w:rPr>
          <w:rFonts w:eastAsia="Times New Roman" w:cs="Times New Roman"/>
          <w:szCs w:val="24"/>
          <w:lang w:val="sr-Cyrl-RS"/>
        </w:rPr>
        <w:t xml:space="preserve">години 85.372 </w:t>
      </w:r>
      <w:r>
        <w:rPr>
          <w:rFonts w:eastAsia="Times New Roman" w:cs="Times New Roman"/>
          <w:szCs w:val="24"/>
          <w:lang w:val="sr-Cyrl-RS"/>
        </w:rPr>
        <w:t>евра</w:t>
      </w:r>
      <w:r w:rsidRPr="009438A3">
        <w:rPr>
          <w:rFonts w:eastAsia="Times New Roman" w:cs="Times New Roman"/>
          <w:szCs w:val="24"/>
          <w:lang w:val="sr-Cyrl-RS"/>
        </w:rPr>
        <w:t>.</w:t>
      </w:r>
      <w:r>
        <w:rPr>
          <w:rFonts w:eastAsia="Times New Roman" w:cs="Times New Roman"/>
          <w:szCs w:val="24"/>
          <w:lang w:val="sr-Cyrl-RS"/>
        </w:rPr>
        <w:t xml:space="preserve"> </w:t>
      </w:r>
      <w:r w:rsidRPr="009438A3">
        <w:rPr>
          <w:rFonts w:eastAsia="Times New Roman" w:cs="Times New Roman"/>
          <w:szCs w:val="24"/>
          <w:lang w:val="sr-Cyrl-RS"/>
        </w:rPr>
        <w:t>Други део ових трошкова ће бити финансиран из националних средстава, по усвајању закона.</w:t>
      </w:r>
    </w:p>
    <w:p w14:paraId="497967E7" w14:textId="77777777" w:rsidR="00DC7F92" w:rsidRPr="00A37C60" w:rsidRDefault="00DC7F92" w:rsidP="00DC7F92">
      <w:pPr>
        <w:widowControl w:val="0"/>
        <w:spacing w:after="60"/>
        <w:rPr>
          <w:rFonts w:eastAsia="Times New Roman" w:cs="Times New Roman"/>
          <w:szCs w:val="24"/>
          <w:lang w:val="sr-Cyrl-RS"/>
        </w:rPr>
      </w:pPr>
      <w:r w:rsidRPr="00A37C60">
        <w:rPr>
          <w:rFonts w:eastAsia="Times New Roman" w:cs="Times New Roman"/>
          <w:szCs w:val="24"/>
          <w:lang w:val="sr-Cyrl-RS"/>
        </w:rPr>
        <w:t xml:space="preserve">Процењени трошкови за комасацију пољопривредног земљишта у складу са процењеним потребама укупно износе 3,1 </w:t>
      </w:r>
      <w:r>
        <w:rPr>
          <w:rFonts w:eastAsia="Times New Roman" w:cs="Times New Roman"/>
          <w:szCs w:val="24"/>
          <w:lang w:val="sr-Cyrl-RS"/>
        </w:rPr>
        <w:t>милиона евра</w:t>
      </w:r>
      <w:r w:rsidRPr="00A37C60">
        <w:rPr>
          <w:rFonts w:eastAsia="Times New Roman" w:cs="Times New Roman"/>
          <w:szCs w:val="24"/>
          <w:lang w:val="sr-Cyrl-RS"/>
        </w:rPr>
        <w:t xml:space="preserve">. Средства која се односе на стручну и административну подршку у управљању пољопривредним земљиштем у 2022. години су предвиђена за трошкове плата, обука и канцеларијске опреме за потребе пет новозапослених службеника, као и добра и услуге у износу од 252.260 </w:t>
      </w:r>
      <w:r>
        <w:rPr>
          <w:rFonts w:eastAsia="Times New Roman" w:cs="Times New Roman"/>
          <w:szCs w:val="24"/>
          <w:lang w:val="sr-Cyrl-RS"/>
        </w:rPr>
        <w:t>евра</w:t>
      </w:r>
      <w:r w:rsidRPr="00A37C60">
        <w:rPr>
          <w:rFonts w:eastAsia="Times New Roman" w:cs="Times New Roman"/>
          <w:szCs w:val="24"/>
          <w:lang w:val="sr-Cyrl-RS"/>
        </w:rPr>
        <w:t xml:space="preserve">, а извор финансирања је буџет РС и средства из донације. У 2023. години средства у износу од 902.260 </w:t>
      </w:r>
      <w:r>
        <w:rPr>
          <w:rFonts w:eastAsia="Times New Roman" w:cs="Times New Roman"/>
          <w:szCs w:val="24"/>
          <w:lang w:val="sr-Cyrl-RS"/>
        </w:rPr>
        <w:t>евра</w:t>
      </w:r>
      <w:r w:rsidRPr="00A37C60">
        <w:rPr>
          <w:rFonts w:eastAsia="Times New Roman" w:cs="Times New Roman"/>
          <w:szCs w:val="24"/>
          <w:lang w:val="sr-Cyrl-RS"/>
        </w:rPr>
        <w:t xml:space="preserve"> су предвиђена за потребе ангажовања стручњака у изради подзаконских аката, за трошкове плата, обука и канцеларијске опреме за потребе пет новозапослених службеника, услуга превођења, набавку сервера и развој мрежне инфраструктуре, а извор финансирања је буџет РС и средства из пројекта, док за део средства у износу од 650.000 </w:t>
      </w:r>
      <w:r>
        <w:rPr>
          <w:rFonts w:eastAsia="Times New Roman" w:cs="Times New Roman"/>
          <w:szCs w:val="24"/>
          <w:lang w:val="sr-Cyrl-RS"/>
        </w:rPr>
        <w:t>евра</w:t>
      </w:r>
      <w:r w:rsidRPr="00A37C60">
        <w:rPr>
          <w:rFonts w:eastAsia="Times New Roman" w:cs="Times New Roman"/>
          <w:szCs w:val="24"/>
          <w:lang w:val="sr-Cyrl-RS"/>
        </w:rPr>
        <w:t xml:space="preserve"> извор финансирања треба да се утврди. Средства која се односе на стручну и административну подршку у управљању пољопривредним земљиштем у 2024. години у износу од 1,95 </w:t>
      </w:r>
      <w:r>
        <w:rPr>
          <w:rFonts w:eastAsia="Times New Roman" w:cs="Times New Roman"/>
          <w:szCs w:val="24"/>
          <w:lang w:val="sr-Cyrl-RS"/>
        </w:rPr>
        <w:t>милиона евра</w:t>
      </w:r>
      <w:r w:rsidRPr="00A37C60">
        <w:rPr>
          <w:rFonts w:eastAsia="Times New Roman" w:cs="Times New Roman"/>
          <w:szCs w:val="24"/>
          <w:lang w:val="sr-Cyrl-RS"/>
        </w:rPr>
        <w:t xml:space="preserve"> су предвиђена за трошкове плата, обука и канцеларијске опреме за потребе пет запослених службеника, развој соф</w:t>
      </w:r>
      <w:r>
        <w:rPr>
          <w:rFonts w:eastAsia="Times New Roman" w:cs="Times New Roman"/>
          <w:szCs w:val="24"/>
          <w:lang w:val="sr-Cyrl-RS"/>
        </w:rPr>
        <w:t>т</w:t>
      </w:r>
      <w:r w:rsidRPr="00A37C60">
        <w:rPr>
          <w:rFonts w:eastAsia="Times New Roman" w:cs="Times New Roman"/>
          <w:szCs w:val="24"/>
          <w:lang w:val="sr-Cyrl-RS"/>
        </w:rPr>
        <w:t>вера и трошкове спровођења пилот комасација а извор финансирања је буџет РС и средства из ИПА 2021.</w:t>
      </w:r>
    </w:p>
    <w:p w14:paraId="5193E800" w14:textId="77777777" w:rsidR="00DC7F92" w:rsidRDefault="00DC7F92" w:rsidP="00DC7F92">
      <w:pPr>
        <w:widowControl w:val="0"/>
        <w:spacing w:after="60"/>
        <w:rPr>
          <w:rFonts w:eastAsia="Times New Roman" w:cs="Times New Roman"/>
          <w:szCs w:val="24"/>
          <w:lang w:val="sr-Latn-RS"/>
        </w:rPr>
      </w:pPr>
      <w:r w:rsidRPr="00A37C60">
        <w:rPr>
          <w:rFonts w:eastAsia="Times New Roman" w:cs="Times New Roman"/>
          <w:szCs w:val="24"/>
          <w:lang w:val="sr-Cyrl-RS"/>
        </w:rPr>
        <w:t xml:space="preserve">У току 2022. године ће се спроводити израда РПГ </w:t>
      </w:r>
      <w:r>
        <w:rPr>
          <w:rFonts w:eastAsia="Times New Roman" w:cs="Times New Roman"/>
          <w:szCs w:val="24"/>
          <w:lang w:val="sr-Cyrl-RS"/>
        </w:rPr>
        <w:t xml:space="preserve">и </w:t>
      </w:r>
      <w:r>
        <w:rPr>
          <w:rFonts w:eastAsia="Times New Roman" w:cs="Times New Roman"/>
          <w:szCs w:val="24"/>
          <w:lang w:val="sr-Latn-RS"/>
        </w:rPr>
        <w:t>LPIS</w:t>
      </w:r>
      <w:r w:rsidRPr="00A37C60">
        <w:rPr>
          <w:rFonts w:eastAsia="Times New Roman" w:cs="Times New Roman"/>
          <w:szCs w:val="24"/>
          <w:lang w:val="sr-Cyrl-RS"/>
        </w:rPr>
        <w:t xml:space="preserve"> софтвера, </w:t>
      </w:r>
      <w:r>
        <w:rPr>
          <w:rFonts w:eastAsia="Times New Roman" w:cs="Times New Roman"/>
          <w:szCs w:val="24"/>
          <w:lang w:val="sr-Cyrl-RS"/>
        </w:rPr>
        <w:t xml:space="preserve">где је </w:t>
      </w:r>
      <w:r w:rsidRPr="00A37C60">
        <w:rPr>
          <w:rFonts w:eastAsia="Times New Roman" w:cs="Times New Roman"/>
          <w:szCs w:val="24"/>
          <w:lang w:val="sr-Cyrl-RS"/>
        </w:rPr>
        <w:t xml:space="preserve">процењена вредност </w:t>
      </w:r>
      <w:r>
        <w:rPr>
          <w:rFonts w:eastAsia="Times New Roman" w:cs="Times New Roman"/>
          <w:szCs w:val="24"/>
          <w:lang w:val="sr-Cyrl-RS"/>
        </w:rPr>
        <w:t>трошкова</w:t>
      </w:r>
      <w:r w:rsidRPr="00A37C60">
        <w:rPr>
          <w:rFonts w:eastAsia="Times New Roman" w:cs="Times New Roman"/>
          <w:szCs w:val="24"/>
          <w:lang w:val="sr-Cyrl-RS"/>
        </w:rPr>
        <w:t xml:space="preserve"> </w:t>
      </w:r>
      <w:r>
        <w:rPr>
          <w:rFonts w:eastAsia="Times New Roman" w:cs="Times New Roman"/>
          <w:szCs w:val="24"/>
          <w:lang w:val="sr-Cyrl-RS"/>
        </w:rPr>
        <w:t>око</w:t>
      </w:r>
      <w:r w:rsidRPr="00A37C60">
        <w:rPr>
          <w:rFonts w:eastAsia="Times New Roman" w:cs="Times New Roman"/>
          <w:szCs w:val="24"/>
          <w:lang w:val="sr-Cyrl-RS"/>
        </w:rPr>
        <w:t xml:space="preserve"> </w:t>
      </w:r>
      <w:r>
        <w:rPr>
          <w:rFonts w:eastAsia="Times New Roman" w:cs="Times New Roman"/>
          <w:szCs w:val="24"/>
          <w:lang w:val="sr-Cyrl-RS"/>
        </w:rPr>
        <w:t>730 хиљада евра –</w:t>
      </w:r>
      <w:r w:rsidRPr="00A37C60">
        <w:rPr>
          <w:rFonts w:eastAsia="Times New Roman" w:cs="Times New Roman"/>
          <w:szCs w:val="24"/>
          <w:lang w:val="sr-Cyrl-RS"/>
        </w:rPr>
        <w:t xml:space="preserve"> </w:t>
      </w:r>
      <w:r>
        <w:rPr>
          <w:rFonts w:eastAsia="Times New Roman" w:cs="Times New Roman"/>
          <w:szCs w:val="24"/>
          <w:lang w:val="sr-Cyrl-RS"/>
        </w:rPr>
        <w:t>900 хиљада евра</w:t>
      </w:r>
      <w:r w:rsidRPr="00A37C60">
        <w:rPr>
          <w:rFonts w:eastAsia="Times New Roman" w:cs="Times New Roman"/>
          <w:szCs w:val="24"/>
          <w:lang w:val="sr-Cyrl-RS"/>
        </w:rPr>
        <w:t xml:space="preserve">; и повезивање </w:t>
      </w:r>
      <w:r>
        <w:rPr>
          <w:rFonts w:eastAsia="Times New Roman" w:cs="Times New Roman"/>
          <w:szCs w:val="24"/>
          <w:lang w:val="sr-Cyrl-RS"/>
        </w:rPr>
        <w:t>ова два регистра са</w:t>
      </w:r>
      <w:r w:rsidRPr="00A37C60">
        <w:rPr>
          <w:rFonts w:eastAsia="Times New Roman" w:cs="Times New Roman"/>
          <w:szCs w:val="24"/>
          <w:lang w:val="sr-Cyrl-RS"/>
        </w:rPr>
        <w:t xml:space="preserve"> Регистр</w:t>
      </w:r>
      <w:r>
        <w:rPr>
          <w:rFonts w:eastAsia="Times New Roman" w:cs="Times New Roman"/>
          <w:szCs w:val="24"/>
          <w:lang w:val="sr-Cyrl-RS"/>
        </w:rPr>
        <w:t>ом животиња, где је</w:t>
      </w:r>
      <w:r w:rsidRPr="00A37C60">
        <w:rPr>
          <w:rFonts w:eastAsia="Times New Roman" w:cs="Times New Roman"/>
          <w:szCs w:val="24"/>
          <w:lang w:val="sr-Cyrl-RS"/>
        </w:rPr>
        <w:t xml:space="preserve"> процењена вредност активности 150</w:t>
      </w:r>
      <w:r w:rsidRPr="00465006">
        <w:rPr>
          <w:rFonts w:eastAsia="Times New Roman" w:cs="Times New Roman"/>
          <w:szCs w:val="24"/>
          <w:lang w:val="sr-Cyrl-RS"/>
        </w:rPr>
        <w:t xml:space="preserve"> </w:t>
      </w:r>
      <w:r>
        <w:rPr>
          <w:rFonts w:eastAsia="Times New Roman" w:cs="Times New Roman"/>
          <w:szCs w:val="24"/>
          <w:lang w:val="sr-Cyrl-RS"/>
        </w:rPr>
        <w:t>хиљада евра</w:t>
      </w:r>
      <w:r w:rsidRPr="00A37C60">
        <w:rPr>
          <w:rFonts w:eastAsia="Times New Roman" w:cs="Times New Roman"/>
          <w:szCs w:val="24"/>
          <w:lang w:val="sr-Cyrl-RS"/>
        </w:rPr>
        <w:t xml:space="preserve">. </w:t>
      </w:r>
      <w:r>
        <w:rPr>
          <w:rFonts w:eastAsia="Times New Roman" w:cs="Times New Roman"/>
          <w:szCs w:val="24"/>
          <w:lang w:val="sr-Cyrl-RS"/>
        </w:rPr>
        <w:t xml:space="preserve">Укупна процењена максимална вредност износи 1.050.000 евра (900.000 евра+150.000 евра) који ће бити финансирани из средстава кредитног зајма из кредита Светске банке у износу од 416.666 евра (извор финансирања 11) и средстава националног буџета у износу од 633.334 евра (извор 01). </w:t>
      </w:r>
      <w:r w:rsidRPr="00A37C60">
        <w:rPr>
          <w:rFonts w:eastAsia="Times New Roman" w:cs="Times New Roman"/>
          <w:szCs w:val="24"/>
          <w:lang w:val="sr-Cyrl-RS"/>
        </w:rPr>
        <w:t xml:space="preserve">Током 2023-2025. године </w:t>
      </w:r>
      <w:r>
        <w:rPr>
          <w:rFonts w:eastAsia="Times New Roman" w:cs="Times New Roman"/>
          <w:szCs w:val="24"/>
          <w:lang w:val="sr-Cyrl-RS"/>
        </w:rPr>
        <w:t>радиће се</w:t>
      </w:r>
      <w:r w:rsidRPr="00A37C60">
        <w:rPr>
          <w:rFonts w:eastAsia="Times New Roman" w:cs="Times New Roman"/>
          <w:szCs w:val="24"/>
          <w:lang w:val="sr-Cyrl-RS"/>
        </w:rPr>
        <w:t xml:space="preserve"> на изради преосталих делова елемената IACS (осим AMS). Извор финансирања је из фонда ИПА 2021, укупна вредност пројекта је 3,79 </w:t>
      </w:r>
      <w:r>
        <w:rPr>
          <w:rFonts w:eastAsia="Times New Roman" w:cs="Times New Roman"/>
          <w:szCs w:val="24"/>
          <w:lang w:val="sr-Cyrl-RS"/>
        </w:rPr>
        <w:t>милиона евра</w:t>
      </w:r>
      <w:r w:rsidRPr="00A37C60">
        <w:rPr>
          <w:rFonts w:eastAsia="Times New Roman" w:cs="Times New Roman"/>
          <w:szCs w:val="24"/>
          <w:lang w:val="sr-Cyrl-RS"/>
        </w:rPr>
        <w:t xml:space="preserve">. За јачање институционалних и административних капацитета </w:t>
      </w:r>
      <w:r>
        <w:rPr>
          <w:rFonts w:eastAsia="Times New Roman" w:cs="Times New Roman"/>
          <w:szCs w:val="24"/>
          <w:lang w:val="sr-Cyrl-RS"/>
        </w:rPr>
        <w:t>Управе за аграрна плаћања</w:t>
      </w:r>
      <w:r w:rsidRPr="00A37C60">
        <w:rPr>
          <w:rFonts w:eastAsia="Times New Roman" w:cs="Times New Roman"/>
          <w:szCs w:val="24"/>
          <w:lang w:val="sr-Cyrl-RS"/>
        </w:rPr>
        <w:t xml:space="preserve"> у периоду од 2022</w:t>
      </w:r>
      <w:r>
        <w:rPr>
          <w:rFonts w:eastAsia="Times New Roman" w:cs="Times New Roman"/>
          <w:szCs w:val="24"/>
          <w:lang w:val="sr-Cyrl-RS"/>
        </w:rPr>
        <w:t>-</w:t>
      </w:r>
      <w:r w:rsidRPr="00A37C60">
        <w:rPr>
          <w:rFonts w:eastAsia="Times New Roman" w:cs="Times New Roman"/>
          <w:szCs w:val="24"/>
          <w:lang w:val="sr-Cyrl-RS"/>
        </w:rPr>
        <w:t xml:space="preserve">2024. године потребно је из националног буџета обезбедити </w:t>
      </w:r>
      <w:r w:rsidRPr="004173ED">
        <w:rPr>
          <w:rFonts w:eastAsia="Times New Roman" w:cs="Times New Roman"/>
          <w:szCs w:val="24"/>
          <w:lang w:val="sr-Cyrl-RS"/>
        </w:rPr>
        <w:t xml:space="preserve">1.056.260 </w:t>
      </w:r>
      <w:r>
        <w:rPr>
          <w:rFonts w:eastAsia="Times New Roman" w:cs="Times New Roman"/>
          <w:szCs w:val="24"/>
          <w:lang w:val="sr-Cyrl-RS"/>
        </w:rPr>
        <w:t>евра</w:t>
      </w:r>
      <w:r w:rsidRPr="00A37C60">
        <w:rPr>
          <w:rFonts w:eastAsia="Times New Roman" w:cs="Times New Roman"/>
          <w:szCs w:val="24"/>
          <w:lang w:val="sr-Cyrl-RS"/>
        </w:rPr>
        <w:t xml:space="preserve"> (у 202</w:t>
      </w:r>
      <w:r>
        <w:rPr>
          <w:rFonts w:eastAsia="Times New Roman" w:cs="Times New Roman"/>
          <w:szCs w:val="24"/>
          <w:lang w:val="sr-Cyrl-RS"/>
        </w:rPr>
        <w:t>2</w:t>
      </w:r>
      <w:r w:rsidRPr="00A37C60">
        <w:rPr>
          <w:rFonts w:eastAsia="Times New Roman" w:cs="Times New Roman"/>
          <w:szCs w:val="24"/>
          <w:lang w:val="sr-Cyrl-RS"/>
        </w:rPr>
        <w:t xml:space="preserve">. години </w:t>
      </w:r>
      <w:r w:rsidRPr="00A37C60">
        <w:rPr>
          <w:rFonts w:eastAsia="Times New Roman" w:cs="Times New Roman"/>
          <w:szCs w:val="24"/>
          <w:lang w:val="sr-Cyrl-RS"/>
        </w:rPr>
        <w:lastRenderedPageBreak/>
        <w:t xml:space="preserve">159.285 </w:t>
      </w:r>
      <w:r>
        <w:rPr>
          <w:rFonts w:eastAsia="Times New Roman" w:cs="Times New Roman"/>
          <w:szCs w:val="24"/>
          <w:lang w:val="sr-Cyrl-RS"/>
        </w:rPr>
        <w:t>евра</w:t>
      </w:r>
      <w:r w:rsidRPr="00A37C60">
        <w:rPr>
          <w:rFonts w:eastAsia="Times New Roman" w:cs="Times New Roman"/>
          <w:szCs w:val="24"/>
          <w:lang w:val="sr-Cyrl-RS"/>
        </w:rPr>
        <w:t>, у 202</w:t>
      </w:r>
      <w:r>
        <w:rPr>
          <w:rFonts w:eastAsia="Times New Roman" w:cs="Times New Roman"/>
          <w:szCs w:val="24"/>
          <w:lang w:val="sr-Cyrl-RS"/>
        </w:rPr>
        <w:t>3</w:t>
      </w:r>
      <w:r w:rsidRPr="00A37C60">
        <w:rPr>
          <w:rFonts w:eastAsia="Times New Roman" w:cs="Times New Roman"/>
          <w:szCs w:val="24"/>
          <w:lang w:val="sr-Cyrl-RS"/>
        </w:rPr>
        <w:t xml:space="preserve">. години 372.695 </w:t>
      </w:r>
      <w:r>
        <w:rPr>
          <w:rFonts w:eastAsia="Times New Roman" w:cs="Times New Roman"/>
          <w:szCs w:val="24"/>
          <w:lang w:val="sr-Cyrl-RS"/>
        </w:rPr>
        <w:t>евра</w:t>
      </w:r>
      <w:r w:rsidRPr="00A37C60">
        <w:rPr>
          <w:rFonts w:eastAsia="Times New Roman" w:cs="Times New Roman"/>
          <w:szCs w:val="24"/>
          <w:lang w:val="sr-Cyrl-RS"/>
        </w:rPr>
        <w:t xml:space="preserve"> и у 2024. години 524.280 </w:t>
      </w:r>
      <w:r>
        <w:rPr>
          <w:rFonts w:eastAsia="Times New Roman" w:cs="Times New Roman"/>
          <w:szCs w:val="24"/>
          <w:lang w:val="sr-Cyrl-RS"/>
        </w:rPr>
        <w:t>евра</w:t>
      </w:r>
      <w:r w:rsidRPr="00A37C60">
        <w:rPr>
          <w:rFonts w:eastAsia="Times New Roman" w:cs="Times New Roman"/>
          <w:szCs w:val="24"/>
          <w:lang w:val="sr-Cyrl-RS"/>
        </w:rPr>
        <w:t>).</w:t>
      </w:r>
      <w:r w:rsidRPr="00921E0E">
        <w:rPr>
          <w:rFonts w:eastAsia="Times New Roman" w:cs="Times New Roman"/>
          <w:szCs w:val="24"/>
          <w:lang w:val="sr-Cyrl-RS"/>
        </w:rPr>
        <w:t xml:space="preserve"> </w:t>
      </w:r>
      <w:r>
        <w:rPr>
          <w:rFonts w:eastAsia="Times New Roman" w:cs="Times New Roman"/>
          <w:szCs w:val="24"/>
          <w:lang w:val="sr-Latn-RS"/>
        </w:rPr>
        <w:t xml:space="preserve"> </w:t>
      </w:r>
    </w:p>
    <w:p w14:paraId="32383519" w14:textId="77777777" w:rsidR="00DC7F92" w:rsidRPr="00A6164C" w:rsidRDefault="00DC7F92" w:rsidP="00DC7F92">
      <w:pPr>
        <w:widowControl w:val="0"/>
        <w:spacing w:after="60"/>
        <w:rPr>
          <w:rFonts w:eastAsia="Times New Roman" w:cs="Times New Roman"/>
          <w:szCs w:val="24"/>
          <w:lang w:val="sr-Cyrl-RS"/>
        </w:rPr>
      </w:pPr>
      <w:r w:rsidRPr="00921E0E">
        <w:rPr>
          <w:rFonts w:eastAsia="Times New Roman" w:cs="Times New Roman"/>
          <w:szCs w:val="24"/>
          <w:lang w:val="sr-Cyrl-RS"/>
        </w:rPr>
        <w:t>У току 2022</w:t>
      </w:r>
      <w:r>
        <w:rPr>
          <w:rFonts w:eastAsia="Times New Roman" w:cs="Times New Roman"/>
          <w:szCs w:val="24"/>
          <w:lang w:val="sr-Cyrl-RS"/>
        </w:rPr>
        <w:t>.</w:t>
      </w:r>
      <w:r w:rsidRPr="00921E0E">
        <w:rPr>
          <w:rFonts w:eastAsia="Times New Roman" w:cs="Times New Roman"/>
          <w:szCs w:val="24"/>
          <w:lang w:val="sr-Cyrl-RS"/>
        </w:rPr>
        <w:t xml:space="preserve"> године, планирано је пласирање 15.000.000 </w:t>
      </w:r>
      <w:r>
        <w:rPr>
          <w:rFonts w:eastAsia="Times New Roman" w:cs="Times New Roman"/>
          <w:szCs w:val="24"/>
          <w:lang w:val="sr-Cyrl-RS"/>
        </w:rPr>
        <w:t>евра</w:t>
      </w:r>
      <w:r w:rsidRPr="00921E0E">
        <w:rPr>
          <w:rFonts w:eastAsia="Times New Roman" w:cs="Times New Roman"/>
          <w:szCs w:val="24"/>
          <w:lang w:val="sr-Cyrl-RS"/>
        </w:rPr>
        <w:t xml:space="preserve"> из средстава кредита </w:t>
      </w:r>
      <w:r>
        <w:rPr>
          <w:rFonts w:eastAsia="Times New Roman" w:cs="Times New Roman"/>
          <w:szCs w:val="24"/>
          <w:lang w:val="sr-Cyrl-RS"/>
        </w:rPr>
        <w:t>С</w:t>
      </w:r>
      <w:r w:rsidRPr="00921E0E">
        <w:rPr>
          <w:rFonts w:eastAsia="Times New Roman" w:cs="Times New Roman"/>
          <w:szCs w:val="24"/>
          <w:lang w:val="sr-Cyrl-RS"/>
        </w:rPr>
        <w:t>ветске банке у оквиру пројекта конкурентне пољопривреде газдинствима кроз субвенције за унапређење конкурентности док је за 2023</w:t>
      </w:r>
      <w:r>
        <w:rPr>
          <w:rFonts w:eastAsia="Times New Roman" w:cs="Times New Roman"/>
          <w:szCs w:val="24"/>
          <w:lang w:val="sr-Cyrl-RS"/>
        </w:rPr>
        <w:t>.</w:t>
      </w:r>
      <w:r w:rsidRPr="00921E0E">
        <w:rPr>
          <w:rFonts w:eastAsia="Times New Roman" w:cs="Times New Roman"/>
          <w:szCs w:val="24"/>
          <w:lang w:val="sr-Cyrl-RS"/>
        </w:rPr>
        <w:t xml:space="preserve"> планиран износ од 5,833,333 </w:t>
      </w:r>
      <w:r>
        <w:rPr>
          <w:rFonts w:eastAsia="Times New Roman" w:cs="Times New Roman"/>
          <w:szCs w:val="24"/>
          <w:lang w:val="sr-Cyrl-RS"/>
        </w:rPr>
        <w:t>евра</w:t>
      </w:r>
      <w:r w:rsidRPr="00921E0E">
        <w:rPr>
          <w:rFonts w:eastAsia="Times New Roman" w:cs="Times New Roman"/>
          <w:szCs w:val="24"/>
          <w:lang w:val="sr-Cyrl-RS"/>
        </w:rPr>
        <w:t xml:space="preserve"> и за 2024</w:t>
      </w:r>
      <w:r>
        <w:rPr>
          <w:rFonts w:eastAsia="Times New Roman" w:cs="Times New Roman"/>
          <w:szCs w:val="24"/>
          <w:lang w:val="sr-Cyrl-RS"/>
        </w:rPr>
        <w:t>.</w:t>
      </w:r>
      <w:r w:rsidRPr="00921E0E">
        <w:rPr>
          <w:rFonts w:eastAsia="Times New Roman" w:cs="Times New Roman"/>
          <w:szCs w:val="24"/>
          <w:lang w:val="sr-Cyrl-RS"/>
        </w:rPr>
        <w:t xml:space="preserve"> износ од 4,750,000 за субвенције за унапређење конкурентности, све из кредита Светске банке.</w:t>
      </w:r>
    </w:p>
    <w:p w14:paraId="3159C58B" w14:textId="77777777" w:rsidR="00DC7F92" w:rsidRPr="00A6164C" w:rsidRDefault="00DC7F92" w:rsidP="004D22FA">
      <w:pPr>
        <w:widowControl w:val="0"/>
        <w:numPr>
          <w:ilvl w:val="0"/>
          <w:numId w:val="41"/>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5BFC2795" w14:textId="77777777" w:rsidR="00DC7F92" w:rsidRPr="00647D98" w:rsidRDefault="00DC7F92" w:rsidP="00DC7F92">
      <w:pPr>
        <w:spacing w:after="60"/>
        <w:rPr>
          <w:rFonts w:eastAsia="Times New Roman" w:cs="Times New Roman"/>
          <w:szCs w:val="24"/>
          <w:lang w:val="sr-Cyrl-RS"/>
        </w:rPr>
      </w:pPr>
      <w:r w:rsidRPr="00A37C60">
        <w:rPr>
          <w:rFonts w:eastAsia="Times New Roman" w:cs="Times New Roman"/>
          <w:szCs w:val="24"/>
          <w:lang w:val="sr-Cyrl-RS"/>
        </w:rPr>
        <w:t>Структурна реформа директно утиче на повећан обим запошљавања и смањење сиромаштва локалног становништва</w:t>
      </w:r>
      <w:r>
        <w:rPr>
          <w:rFonts w:eastAsia="Times New Roman" w:cs="Times New Roman"/>
          <w:szCs w:val="24"/>
          <w:lang w:val="sr-Cyrl-RS"/>
        </w:rPr>
        <w:t xml:space="preserve">. </w:t>
      </w:r>
      <w:r w:rsidRPr="00647D98">
        <w:rPr>
          <w:rFonts w:eastAsia="Times New Roman" w:cs="Times New Roman"/>
          <w:szCs w:val="24"/>
          <w:lang w:val="sr-Cyrl-RS"/>
        </w:rPr>
        <w:t>Развијањем руралне инфраструктуре, физичким и правним лицима се омогућава развијање сопствених послова</w:t>
      </w:r>
      <w:r>
        <w:rPr>
          <w:rFonts w:eastAsia="Times New Roman" w:cs="Times New Roman"/>
          <w:szCs w:val="24"/>
          <w:lang w:val="sr-Cyrl-RS"/>
        </w:rPr>
        <w:t xml:space="preserve">, </w:t>
      </w:r>
      <w:r w:rsidRPr="00647D98">
        <w:rPr>
          <w:rFonts w:eastAsia="Times New Roman" w:cs="Times New Roman"/>
          <w:szCs w:val="24"/>
          <w:lang w:val="sr-Cyrl-RS"/>
        </w:rPr>
        <w:t>односно њихово самозапошљавање и запошљавање локалног становништва</w:t>
      </w:r>
      <w:r>
        <w:rPr>
          <w:rFonts w:eastAsia="Times New Roman" w:cs="Times New Roman"/>
          <w:szCs w:val="24"/>
          <w:lang w:val="sr-Cyrl-RS"/>
        </w:rPr>
        <w:t xml:space="preserve">. </w:t>
      </w:r>
      <w:r w:rsidRPr="00647D98">
        <w:rPr>
          <w:rFonts w:eastAsia="Times New Roman" w:cs="Times New Roman"/>
          <w:szCs w:val="24"/>
          <w:lang w:val="sr-Cyrl-RS"/>
        </w:rPr>
        <w:t>Примен</w:t>
      </w:r>
      <w:r>
        <w:rPr>
          <w:rFonts w:eastAsia="Times New Roman" w:cs="Times New Roman"/>
          <w:szCs w:val="24"/>
          <w:lang w:val="sr-Cyrl-RS"/>
        </w:rPr>
        <w:t>ом</w:t>
      </w:r>
      <w:r w:rsidRPr="00647D98">
        <w:rPr>
          <w:rFonts w:eastAsia="Times New Roman" w:cs="Times New Roman"/>
          <w:szCs w:val="24"/>
          <w:lang w:val="sr-Cyrl-RS"/>
        </w:rPr>
        <w:t xml:space="preserve"> </w:t>
      </w:r>
      <w:r w:rsidRPr="00647D98">
        <w:rPr>
          <w:rFonts w:eastAsia="Times New Roman" w:cs="Times New Roman"/>
          <w:i/>
          <w:szCs w:val="24"/>
          <w:lang w:val="sr-Cyrl-RS"/>
        </w:rPr>
        <w:t>Закона о уређењу тржишта пољопривредно-прехрамбених производа</w:t>
      </w:r>
      <w:r w:rsidRPr="00647D98">
        <w:rPr>
          <w:rFonts w:eastAsia="Times New Roman" w:cs="Times New Roman"/>
          <w:szCs w:val="24"/>
          <w:lang w:val="sr-Cyrl-RS"/>
        </w:rPr>
        <w:t xml:space="preserve"> омогућ</w:t>
      </w:r>
      <w:r>
        <w:rPr>
          <w:rFonts w:eastAsia="Times New Roman" w:cs="Times New Roman"/>
          <w:szCs w:val="24"/>
          <w:lang w:val="sr-Cyrl-RS"/>
        </w:rPr>
        <w:t>ава</w:t>
      </w:r>
      <w:r w:rsidRPr="00647D98">
        <w:rPr>
          <w:rFonts w:eastAsia="Times New Roman" w:cs="Times New Roman"/>
          <w:szCs w:val="24"/>
          <w:lang w:val="sr-Cyrl-RS"/>
        </w:rPr>
        <w:t xml:space="preserve"> </w:t>
      </w:r>
      <w:r>
        <w:rPr>
          <w:rFonts w:eastAsia="Times New Roman" w:cs="Times New Roman"/>
          <w:szCs w:val="24"/>
          <w:lang w:val="sr-Cyrl-RS"/>
        </w:rPr>
        <w:t xml:space="preserve">се </w:t>
      </w:r>
      <w:r w:rsidRPr="00647D98">
        <w:rPr>
          <w:rFonts w:eastAsia="Times New Roman" w:cs="Times New Roman"/>
          <w:szCs w:val="24"/>
          <w:lang w:val="sr-Cyrl-RS"/>
        </w:rPr>
        <w:t xml:space="preserve">правно уређен наступ свих субјеката на тржишту </w:t>
      </w:r>
      <w:r>
        <w:rPr>
          <w:rFonts w:eastAsia="Times New Roman" w:cs="Times New Roman"/>
          <w:szCs w:val="24"/>
          <w:lang w:val="sr-Cyrl-RS"/>
        </w:rPr>
        <w:t xml:space="preserve">што ће </w:t>
      </w:r>
      <w:r w:rsidRPr="00647D98">
        <w:rPr>
          <w:rFonts w:eastAsia="Times New Roman" w:cs="Times New Roman"/>
          <w:szCs w:val="24"/>
          <w:lang w:val="sr-Cyrl-RS"/>
        </w:rPr>
        <w:t xml:space="preserve">директно </w:t>
      </w:r>
      <w:r>
        <w:rPr>
          <w:rFonts w:eastAsia="Times New Roman" w:cs="Times New Roman"/>
          <w:szCs w:val="24"/>
          <w:lang w:val="sr-Cyrl-RS"/>
        </w:rPr>
        <w:t xml:space="preserve">допринети </w:t>
      </w:r>
      <w:r w:rsidRPr="00647D98">
        <w:rPr>
          <w:rFonts w:eastAsia="Times New Roman" w:cs="Times New Roman"/>
          <w:szCs w:val="24"/>
          <w:lang w:val="sr-Cyrl-RS"/>
        </w:rPr>
        <w:t>појав</w:t>
      </w:r>
      <w:r>
        <w:rPr>
          <w:rFonts w:eastAsia="Times New Roman" w:cs="Times New Roman"/>
          <w:szCs w:val="24"/>
          <w:lang w:val="sr-Cyrl-RS"/>
        </w:rPr>
        <w:t>и</w:t>
      </w:r>
      <w:r w:rsidRPr="00647D98">
        <w:rPr>
          <w:rFonts w:eastAsia="Times New Roman" w:cs="Times New Roman"/>
          <w:szCs w:val="24"/>
          <w:lang w:val="sr-Cyrl-RS"/>
        </w:rPr>
        <w:t xml:space="preserve"> нових правних лица у областима производње, прераде и промета пољопривредних производа, па тако и запослености</w:t>
      </w:r>
      <w:r>
        <w:rPr>
          <w:rFonts w:eastAsia="Times New Roman" w:cs="Times New Roman"/>
          <w:szCs w:val="24"/>
          <w:lang w:val="sr-Cyrl-RS"/>
        </w:rPr>
        <w:t xml:space="preserve">. </w:t>
      </w:r>
      <w:r w:rsidRPr="00647D98">
        <w:rPr>
          <w:rFonts w:eastAsia="Times New Roman" w:cs="Times New Roman"/>
          <w:szCs w:val="24"/>
          <w:lang w:val="sr-Cyrl-RS"/>
        </w:rPr>
        <w:t>Примен</w:t>
      </w:r>
      <w:r>
        <w:rPr>
          <w:rFonts w:eastAsia="Times New Roman" w:cs="Times New Roman"/>
          <w:szCs w:val="24"/>
          <w:lang w:val="sr-Cyrl-RS"/>
        </w:rPr>
        <w:t>ом</w:t>
      </w:r>
      <w:r w:rsidRPr="00647D98">
        <w:rPr>
          <w:rFonts w:eastAsia="Times New Roman" w:cs="Times New Roman"/>
          <w:szCs w:val="24"/>
          <w:lang w:val="sr-Cyrl-RS"/>
        </w:rPr>
        <w:t xml:space="preserve"> </w:t>
      </w:r>
      <w:r w:rsidRPr="00647D98">
        <w:rPr>
          <w:rFonts w:eastAsia="Times New Roman" w:cs="Times New Roman"/>
          <w:i/>
          <w:szCs w:val="24"/>
          <w:lang w:val="sr-Cyrl-RS"/>
        </w:rPr>
        <w:t>Закона о шемама квалитета за пољопривредне и прехрамбене производе</w:t>
      </w:r>
      <w:r w:rsidRPr="00647D98">
        <w:rPr>
          <w:rFonts w:eastAsia="Times New Roman" w:cs="Times New Roman"/>
          <w:szCs w:val="24"/>
          <w:lang w:val="sr-Cyrl-RS"/>
        </w:rPr>
        <w:t xml:space="preserve"> допринеће </w:t>
      </w:r>
      <w:r>
        <w:rPr>
          <w:rFonts w:eastAsia="Times New Roman" w:cs="Times New Roman"/>
          <w:szCs w:val="24"/>
          <w:lang w:val="sr-Cyrl-RS"/>
        </w:rPr>
        <w:t xml:space="preserve">се </w:t>
      </w:r>
      <w:r w:rsidRPr="00647D98">
        <w:rPr>
          <w:rFonts w:eastAsia="Times New Roman" w:cs="Times New Roman"/>
          <w:szCs w:val="24"/>
          <w:lang w:val="sr-Cyrl-RS"/>
        </w:rPr>
        <w:t xml:space="preserve">бољој уређености система заштите ознака географског порекла пољопривредних и прехрамбених производа </w:t>
      </w:r>
      <w:r>
        <w:rPr>
          <w:rFonts w:eastAsia="Times New Roman" w:cs="Times New Roman"/>
          <w:szCs w:val="24"/>
          <w:lang w:val="sr-Cyrl-RS"/>
        </w:rPr>
        <w:t xml:space="preserve">што ће </w:t>
      </w:r>
      <w:r w:rsidRPr="00647D98">
        <w:rPr>
          <w:rFonts w:eastAsia="Times New Roman" w:cs="Times New Roman"/>
          <w:szCs w:val="24"/>
          <w:lang w:val="sr-Cyrl-RS"/>
        </w:rPr>
        <w:t>додатно подстаћи нове произвођаче да уђу у систем заштите ознака географског порекла и да се удружују. Корист од органске производње могу имати рурална подручја у којима је висока стопа незапослености, а која имају повољне услове за производњу органске хране</w:t>
      </w:r>
      <w:r>
        <w:rPr>
          <w:rFonts w:eastAsia="Times New Roman" w:cs="Times New Roman"/>
          <w:szCs w:val="24"/>
          <w:lang w:val="sr-Cyrl-RS"/>
        </w:rPr>
        <w:t xml:space="preserve">. </w:t>
      </w:r>
      <w:r w:rsidRPr="00647D98">
        <w:rPr>
          <w:rFonts w:eastAsia="Times New Roman" w:cs="Times New Roman"/>
          <w:szCs w:val="24"/>
          <w:lang w:val="sr-Cyrl-RS"/>
        </w:rPr>
        <w:t>Увећањем ефикасности у исплати подршке пољопривредној производњи и увећањем ефективности у планирању мера пољопривредне политике доприноси се</w:t>
      </w:r>
      <w:r>
        <w:rPr>
          <w:rFonts w:eastAsia="Times New Roman" w:cs="Times New Roman"/>
          <w:szCs w:val="24"/>
          <w:lang w:val="sr-Cyrl-RS"/>
        </w:rPr>
        <w:t xml:space="preserve"> </w:t>
      </w:r>
      <w:r w:rsidRPr="00647D98">
        <w:rPr>
          <w:rFonts w:eastAsia="Times New Roman" w:cs="Times New Roman"/>
          <w:szCs w:val="24"/>
          <w:lang w:val="sr-Cyrl-RS"/>
        </w:rPr>
        <w:t>убрзавању кретања</w:t>
      </w:r>
      <w:r>
        <w:rPr>
          <w:rFonts w:eastAsia="Times New Roman" w:cs="Times New Roman"/>
          <w:szCs w:val="24"/>
          <w:lang w:val="sr-Cyrl-RS"/>
        </w:rPr>
        <w:t xml:space="preserve"> </w:t>
      </w:r>
      <w:r w:rsidRPr="00647D98">
        <w:rPr>
          <w:rFonts w:eastAsia="Times New Roman" w:cs="Times New Roman"/>
          <w:szCs w:val="24"/>
          <w:lang w:val="sr-Cyrl-RS"/>
        </w:rPr>
        <w:t xml:space="preserve">роба и услуга у пољопривреди </w:t>
      </w:r>
      <w:r>
        <w:rPr>
          <w:rFonts w:eastAsia="Times New Roman" w:cs="Times New Roman"/>
          <w:szCs w:val="24"/>
          <w:lang w:val="sr-Cyrl-RS"/>
        </w:rPr>
        <w:t xml:space="preserve">што ће </w:t>
      </w:r>
      <w:r w:rsidRPr="00647D98">
        <w:rPr>
          <w:rFonts w:eastAsia="Times New Roman" w:cs="Times New Roman"/>
          <w:szCs w:val="24"/>
          <w:lang w:val="sr-Cyrl-RS"/>
        </w:rPr>
        <w:t>доприн</w:t>
      </w:r>
      <w:r>
        <w:rPr>
          <w:rFonts w:eastAsia="Times New Roman" w:cs="Times New Roman"/>
          <w:szCs w:val="24"/>
          <w:lang w:val="sr-Cyrl-RS"/>
        </w:rPr>
        <w:t>ети</w:t>
      </w:r>
      <w:r w:rsidRPr="00647D98">
        <w:rPr>
          <w:rFonts w:eastAsia="Times New Roman" w:cs="Times New Roman"/>
          <w:szCs w:val="24"/>
          <w:lang w:val="sr-Cyrl-RS"/>
        </w:rPr>
        <w:t xml:space="preserve"> увећању запослености и смањењу сиромаштва. Олакшани приступ мерама подршке пољопривредној производњи доприноси једнаким условима пословања између свих актера на тржишту. Очекује се да структурна реформа има неутрални утицај на родни аспект</w:t>
      </w:r>
      <w:r>
        <w:rPr>
          <w:rFonts w:eastAsia="Times New Roman" w:cs="Times New Roman"/>
          <w:szCs w:val="24"/>
          <w:lang w:val="sr-Cyrl-RS"/>
        </w:rPr>
        <w:t>,</w:t>
      </w:r>
      <w:r w:rsidRPr="00647D98">
        <w:rPr>
          <w:rFonts w:eastAsia="Times New Roman" w:cs="Times New Roman"/>
          <w:szCs w:val="24"/>
          <w:lang w:val="sr-Cyrl-RS"/>
        </w:rPr>
        <w:t xml:space="preserve"> али се</w:t>
      </w:r>
      <w:r w:rsidRPr="00647D98" w:rsidDel="009D21AF">
        <w:rPr>
          <w:rFonts w:eastAsia="Times New Roman" w:cs="Times New Roman"/>
          <w:szCs w:val="24"/>
          <w:lang w:val="sr-Cyrl-RS"/>
        </w:rPr>
        <w:t xml:space="preserve"> </w:t>
      </w:r>
      <w:r>
        <w:rPr>
          <w:rFonts w:eastAsia="Times New Roman" w:cs="Times New Roman"/>
          <w:szCs w:val="24"/>
          <w:lang w:val="sr-Cyrl-RS"/>
        </w:rPr>
        <w:t>н</w:t>
      </w:r>
      <w:r w:rsidRPr="00647D98">
        <w:rPr>
          <w:rFonts w:eastAsia="Times New Roman" w:cs="Times New Roman"/>
          <w:szCs w:val="24"/>
          <w:lang w:val="sr-Cyrl-RS"/>
        </w:rPr>
        <w:t xml:space="preserve">акон спроведеног поступка комасације </w:t>
      </w:r>
      <w:r>
        <w:rPr>
          <w:rFonts w:eastAsia="Times New Roman" w:cs="Times New Roman"/>
          <w:szCs w:val="24"/>
          <w:lang w:val="sr-Cyrl-RS"/>
        </w:rPr>
        <w:t>м</w:t>
      </w:r>
      <w:r w:rsidRPr="00647D98">
        <w:rPr>
          <w:rFonts w:eastAsia="Times New Roman" w:cs="Times New Roman"/>
          <w:szCs w:val="24"/>
          <w:lang w:val="sr-Cyrl-RS"/>
        </w:rPr>
        <w:t>оже успоставити механизам за уступање неискоришћеног земљишта младима и женама.</w:t>
      </w:r>
    </w:p>
    <w:p w14:paraId="738760E8"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2B9DA60F" w14:textId="77777777" w:rsidR="00DC7F92" w:rsidRPr="00A37C60"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Убрзавањем поступака комасације стварају се услови за укрупњавање катастарских парцела, спречавање поремећаја природних функција земљишта, као и очување квалитета пољопривредног земљишта. Изградњом система за одводњавање упоредо са комасацијом ствара се повољан водно-ваздушни режим земљишта, што доводи до спречавања неповољног утицаја задржавања воде у пољопривредном земљишту и смањења плодности земљишта. Такође, осигураће се</w:t>
      </w:r>
      <w:r>
        <w:rPr>
          <w:rFonts w:cs="Times New Roman"/>
          <w:szCs w:val="24"/>
          <w:lang w:val="sr-Cyrl-RS" w:eastAsia="sr-Cyrl-CS" w:bidi="sr-Cyrl-CS"/>
        </w:rPr>
        <w:t xml:space="preserve"> </w:t>
      </w:r>
      <w:r w:rsidRPr="00A37C60">
        <w:rPr>
          <w:rFonts w:cs="Times New Roman"/>
          <w:szCs w:val="24"/>
          <w:lang w:val="sr-Cyrl-RS" w:eastAsia="sr-Cyrl-CS" w:bidi="sr-Cyrl-CS"/>
        </w:rPr>
        <w:t>транспарентност поступка комасације и јавни приступ информацијама о животној средини на комасационом подручју.</w:t>
      </w:r>
    </w:p>
    <w:p w14:paraId="59F85800" w14:textId="77777777" w:rsidR="00DC7F92" w:rsidRPr="00A37C60"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Унапређења руралне инфраструктуре доприноси очувању животне средине, с обзиром да су предвиђене за финансирање инвестиције које се, између осталог, односе и на изградњу постројења за пречишћавање отпадних вода и управљање отпадом. Органска производња заснива се на „холистичк</w:t>
      </w:r>
      <w:r>
        <w:rPr>
          <w:rFonts w:cs="Times New Roman"/>
          <w:szCs w:val="24"/>
          <w:lang w:val="sr-Cyrl-RS" w:eastAsia="sr-Cyrl-CS" w:bidi="sr-Cyrl-CS"/>
        </w:rPr>
        <w:t>ом</w:t>
      </w:r>
      <w:r w:rsidRPr="00A37C60">
        <w:rPr>
          <w:rFonts w:cs="Times New Roman"/>
          <w:szCs w:val="24"/>
          <w:lang w:val="sr-Cyrl-RS" w:eastAsia="sr-Cyrl-CS" w:bidi="sr-Cyrl-CS"/>
        </w:rPr>
        <w:t>” систем</w:t>
      </w:r>
      <w:r>
        <w:rPr>
          <w:rFonts w:cs="Times New Roman"/>
          <w:szCs w:val="24"/>
          <w:lang w:val="sr-Cyrl-RS" w:eastAsia="sr-Cyrl-CS" w:bidi="sr-Cyrl-CS"/>
        </w:rPr>
        <w:t>у</w:t>
      </w:r>
      <w:r w:rsidRPr="00A37C60">
        <w:rPr>
          <w:rFonts w:cs="Times New Roman"/>
          <w:szCs w:val="24"/>
          <w:lang w:val="sr-Cyrl-RS" w:eastAsia="sr-Cyrl-CS" w:bidi="sr-Cyrl-CS"/>
        </w:rPr>
        <w:t xml:space="preserve"> производње који промовише и јача агроекосистем, здравље, укључујући и биодиверзитет, биолошке циклусе, као и земљиште. Највећа корист органске проиводње је у томе да доприноси одрживом коришћењу и очувању природних ресурса.</w:t>
      </w:r>
    </w:p>
    <w:p w14:paraId="2754EDF0" w14:textId="77777777" w:rsidR="00DC7F92" w:rsidRPr="00A6164C"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 xml:space="preserve">Успостављањем IACS стварају се услови за примену правила ЗПП и провере усаглашености са еколошким захтевима за исплату подстицаја као и плаћања по основу подстицаја за еколошке мере чиме ће се допринети озелењавању, инвестирању у </w:t>
      </w:r>
      <w:r w:rsidRPr="00A37C60">
        <w:rPr>
          <w:rFonts w:cs="Times New Roman"/>
          <w:szCs w:val="24"/>
          <w:lang w:val="sr-Cyrl-RS" w:eastAsia="sr-Cyrl-CS" w:bidi="sr-Cyrl-CS"/>
        </w:rPr>
        <w:lastRenderedPageBreak/>
        <w:t>смањење ефеката стаклене баште у пољопривреди, ефективно доприносећи захтевима Европског зеленог договора.</w:t>
      </w:r>
    </w:p>
    <w:p w14:paraId="0038E649"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58120622"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21E726AF"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3BC3C8D7"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60FCA9FC"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574826F9" w14:textId="77777777" w:rsidTr="00DC7F92">
        <w:trPr>
          <w:trHeight w:val="421"/>
        </w:trPr>
        <w:tc>
          <w:tcPr>
            <w:tcW w:w="3329" w:type="dxa"/>
          </w:tcPr>
          <w:p w14:paraId="46821B2C" w14:textId="77777777" w:rsidR="00DC7F92" w:rsidRPr="00F22C60" w:rsidRDefault="00DC7F92" w:rsidP="006B76C3">
            <w:pPr>
              <w:spacing w:before="0" w:after="0"/>
              <w:ind w:left="113" w:right="113"/>
              <w:rPr>
                <w:rFonts w:cs="Times New Roman"/>
                <w:b/>
                <w:sz w:val="20"/>
                <w:lang w:val="sr-Cyrl-RS"/>
              </w:rPr>
            </w:pPr>
            <w:r w:rsidRPr="00F22C60">
              <w:rPr>
                <w:rFonts w:cs="Times New Roman"/>
                <w:sz w:val="20"/>
                <w:lang w:val="sr-Cyrl-RS"/>
              </w:rPr>
              <w:t>Велики број заинтересова</w:t>
            </w:r>
            <w:r>
              <w:rPr>
                <w:rFonts w:cs="Times New Roman"/>
                <w:sz w:val="20"/>
                <w:lang w:val="sr-Cyrl-RS"/>
              </w:rPr>
              <w:t>них лица за решавање имовинско-</w:t>
            </w:r>
            <w:r w:rsidRPr="00F22C60">
              <w:rPr>
                <w:rFonts w:cs="Times New Roman"/>
                <w:sz w:val="20"/>
                <w:lang w:val="sr-Cyrl-RS"/>
              </w:rPr>
              <w:t>правних односа и сложеност поступака њиховог решавања</w:t>
            </w:r>
            <w:r>
              <w:rPr>
                <w:rFonts w:cs="Times New Roman"/>
                <w:sz w:val="20"/>
                <w:lang w:val="sr-Cyrl-RS"/>
              </w:rPr>
              <w:t xml:space="preserve"> и н</w:t>
            </w:r>
            <w:r w:rsidRPr="004934FA">
              <w:rPr>
                <w:rFonts w:cs="Times New Roman"/>
                <w:sz w:val="20"/>
                <w:lang w:val="sr-Cyrl-RS"/>
              </w:rPr>
              <w:t>есигуран прилив средстава из буџета Републике Србије за спровођење комасације у делу који се односи на: радове који прате пилот комасације, набавку софтвера и друге опреме неопходне за брзу размену информација, средства расположива и одређена из буџета</w:t>
            </w:r>
          </w:p>
        </w:tc>
        <w:tc>
          <w:tcPr>
            <w:tcW w:w="2200" w:type="dxa"/>
          </w:tcPr>
          <w:p w14:paraId="08593224" w14:textId="77777777" w:rsidR="00DC7F92" w:rsidRPr="00A6164C" w:rsidRDefault="00DC7F92" w:rsidP="006B76C3">
            <w:pPr>
              <w:spacing w:before="0" w:after="0"/>
              <w:ind w:left="113" w:right="113"/>
              <w:rPr>
                <w:rFonts w:cs="Times New Roman"/>
                <w:b/>
                <w:sz w:val="20"/>
                <w:lang w:val="sr-Cyrl-RS"/>
              </w:rPr>
            </w:pPr>
            <w:r>
              <w:rPr>
                <w:rFonts w:cs="Times New Roman"/>
                <w:sz w:val="20"/>
                <w:lang w:val="sr-Cyrl-RS"/>
              </w:rPr>
              <w:t>В</w:t>
            </w:r>
            <w:r w:rsidRPr="00D20AFF">
              <w:rPr>
                <w:rFonts w:cs="Times New Roman"/>
                <w:sz w:val="20"/>
                <w:lang w:val="sr-Cyrl-RS"/>
              </w:rPr>
              <w:t>исока</w:t>
            </w:r>
          </w:p>
        </w:tc>
        <w:tc>
          <w:tcPr>
            <w:tcW w:w="4165" w:type="dxa"/>
          </w:tcPr>
          <w:p w14:paraId="60E549AC" w14:textId="77777777" w:rsidR="00DC7F92" w:rsidRPr="00EB28AE" w:rsidRDefault="00DC7F92" w:rsidP="006B76C3">
            <w:pPr>
              <w:spacing w:before="0" w:after="0"/>
              <w:ind w:left="113" w:right="113"/>
              <w:rPr>
                <w:rFonts w:cs="Times New Roman"/>
                <w:b/>
                <w:sz w:val="20"/>
              </w:rPr>
            </w:pPr>
            <w:r w:rsidRPr="00D20AFF">
              <w:rPr>
                <w:rFonts w:cs="Times New Roman"/>
                <w:sz w:val="20"/>
                <w:lang w:val="sr-Cyrl-RS"/>
              </w:rPr>
              <w:t>Спровођење јавних расправа, округлих столова и други начини за обавештавање заинтересованих страна у поступку усвајања регулаторног оквира</w:t>
            </w:r>
            <w:r>
              <w:rPr>
                <w:rFonts w:cs="Times New Roman"/>
                <w:sz w:val="20"/>
                <w:lang w:val="sr-Cyrl-RS"/>
              </w:rPr>
              <w:t>.</w:t>
            </w:r>
            <w:r>
              <w:t xml:space="preserve"> </w:t>
            </w:r>
            <w:r w:rsidRPr="004934FA">
              <w:rPr>
                <w:rFonts w:cs="Times New Roman"/>
                <w:sz w:val="20"/>
                <w:lang w:val="sr-Cyrl-RS"/>
              </w:rPr>
              <w:t>Одређена средства у буџету Републике Србије за време трајања реформе и обезбеђени извори додатних средстава до процењене вредности планираних трошкова</w:t>
            </w:r>
            <w:r>
              <w:rPr>
                <w:rFonts w:cs="Times New Roman"/>
                <w:sz w:val="20"/>
              </w:rPr>
              <w:t>.</w:t>
            </w:r>
          </w:p>
        </w:tc>
      </w:tr>
      <w:tr w:rsidR="00DC7F92" w:rsidRPr="00A6164C" w14:paraId="16F1AE95" w14:textId="77777777" w:rsidTr="00DC7F92">
        <w:trPr>
          <w:trHeight w:val="429"/>
        </w:trPr>
        <w:tc>
          <w:tcPr>
            <w:tcW w:w="3329" w:type="dxa"/>
          </w:tcPr>
          <w:p w14:paraId="060BEFFC" w14:textId="77777777" w:rsidR="00DC7F92" w:rsidRPr="00F22C60" w:rsidRDefault="00DC7F92" w:rsidP="006B76C3">
            <w:pPr>
              <w:spacing w:before="0" w:after="0"/>
              <w:ind w:left="113" w:right="113"/>
              <w:rPr>
                <w:rFonts w:cs="Times New Roman"/>
                <w:sz w:val="20"/>
                <w:lang w:val="sr-Cyrl-RS"/>
              </w:rPr>
            </w:pPr>
            <w:r w:rsidRPr="00F22C60">
              <w:rPr>
                <w:rFonts w:cs="Times New Roman"/>
                <w:sz w:val="20"/>
                <w:lang w:val="sr-Cyrl-RS"/>
              </w:rPr>
              <w:t>Немогућност запошљавања недостајућег кадра/изостанак одобрења за запошљавање</w:t>
            </w:r>
          </w:p>
        </w:tc>
        <w:tc>
          <w:tcPr>
            <w:tcW w:w="2200" w:type="dxa"/>
          </w:tcPr>
          <w:p w14:paraId="13023BA4"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С</w:t>
            </w:r>
            <w:r w:rsidRPr="00D20AFF">
              <w:rPr>
                <w:rFonts w:cs="Times New Roman"/>
                <w:sz w:val="20"/>
                <w:lang w:val="sr-Cyrl-RS"/>
              </w:rPr>
              <w:t>редњ</w:t>
            </w:r>
            <w:r>
              <w:rPr>
                <w:rFonts w:cs="Times New Roman"/>
                <w:sz w:val="20"/>
                <w:lang w:val="sr-Cyrl-RS"/>
              </w:rPr>
              <w:t>а</w:t>
            </w:r>
          </w:p>
        </w:tc>
        <w:tc>
          <w:tcPr>
            <w:tcW w:w="4165" w:type="dxa"/>
          </w:tcPr>
          <w:p w14:paraId="57B6B2AE" w14:textId="3A25DACB" w:rsidR="00DC7F92" w:rsidRPr="00A6164C" w:rsidRDefault="00DC7F92" w:rsidP="006B76C3">
            <w:pPr>
              <w:spacing w:before="0" w:after="0"/>
              <w:ind w:left="113" w:right="113"/>
              <w:rPr>
                <w:rFonts w:cs="Times New Roman"/>
                <w:sz w:val="20"/>
                <w:lang w:val="sr-Cyrl-RS"/>
              </w:rPr>
            </w:pPr>
            <w:r w:rsidRPr="00260A1A">
              <w:rPr>
                <w:rFonts w:cs="Times New Roman"/>
                <w:sz w:val="20"/>
                <w:lang w:val="sr-Cyrl-RS"/>
              </w:rPr>
              <w:t>Систематизовати и попунити радна места различитих образовних профила</w:t>
            </w:r>
            <w:r>
              <w:rPr>
                <w:rFonts w:cs="Times New Roman"/>
                <w:sz w:val="20"/>
                <w:lang w:val="sr-Cyrl-RS"/>
              </w:rPr>
              <w:t>.</w:t>
            </w:r>
          </w:p>
        </w:tc>
      </w:tr>
      <w:tr w:rsidR="00DC7F92" w:rsidRPr="000C4B75" w14:paraId="50BF0553" w14:textId="77777777" w:rsidTr="00DC7F92">
        <w:trPr>
          <w:trHeight w:val="536"/>
        </w:trPr>
        <w:tc>
          <w:tcPr>
            <w:tcW w:w="3329" w:type="dxa"/>
          </w:tcPr>
          <w:p w14:paraId="50C336C9" w14:textId="77777777" w:rsidR="00DC7F92" w:rsidRPr="00F22C60" w:rsidRDefault="00DC7F92" w:rsidP="006B76C3">
            <w:pPr>
              <w:spacing w:before="0" w:after="0"/>
              <w:ind w:left="113" w:right="113"/>
              <w:rPr>
                <w:rFonts w:cs="Times New Roman"/>
                <w:sz w:val="20"/>
                <w:lang w:val="sr-Cyrl-RS"/>
              </w:rPr>
            </w:pPr>
            <w:r w:rsidRPr="00F22C60">
              <w:rPr>
                <w:rFonts w:cs="Times New Roman"/>
                <w:sz w:val="20"/>
                <w:lang w:val="sr-Cyrl-RS"/>
              </w:rPr>
              <w:t>Неусвајање закона и кашњење са усвајањем подзаконских аката</w:t>
            </w:r>
          </w:p>
        </w:tc>
        <w:tc>
          <w:tcPr>
            <w:tcW w:w="2200" w:type="dxa"/>
          </w:tcPr>
          <w:p w14:paraId="6C19A0BF" w14:textId="77777777" w:rsidR="00DC7F92" w:rsidRPr="00D20AFF" w:rsidRDefault="00DC7F92" w:rsidP="006B76C3">
            <w:pPr>
              <w:spacing w:before="0" w:after="0"/>
              <w:ind w:left="113" w:right="113"/>
              <w:rPr>
                <w:rFonts w:cs="Times New Roman"/>
                <w:sz w:val="20"/>
                <w:lang w:val="sr-Cyrl-RS"/>
              </w:rPr>
            </w:pPr>
            <w:r>
              <w:rPr>
                <w:rFonts w:cs="Times New Roman"/>
                <w:sz w:val="20"/>
                <w:lang w:val="sr-Cyrl-RS"/>
              </w:rPr>
              <w:t>С</w:t>
            </w:r>
            <w:r w:rsidRPr="00D20AFF">
              <w:rPr>
                <w:rFonts w:cs="Times New Roman"/>
                <w:sz w:val="20"/>
                <w:lang w:val="sr-Cyrl-RS"/>
              </w:rPr>
              <w:t>редњ</w:t>
            </w:r>
            <w:r>
              <w:rPr>
                <w:rFonts w:cs="Times New Roman"/>
                <w:sz w:val="20"/>
                <w:lang w:val="sr-Cyrl-RS"/>
              </w:rPr>
              <w:t>а</w:t>
            </w:r>
          </w:p>
        </w:tc>
        <w:tc>
          <w:tcPr>
            <w:tcW w:w="4165" w:type="dxa"/>
          </w:tcPr>
          <w:p w14:paraId="2E38B686" w14:textId="77777777" w:rsidR="00DC7F92" w:rsidRPr="00D20AFF" w:rsidRDefault="00DC7F92" w:rsidP="006B76C3">
            <w:pPr>
              <w:spacing w:before="0" w:after="0"/>
              <w:ind w:left="113" w:right="113"/>
              <w:rPr>
                <w:rFonts w:cs="Times New Roman"/>
                <w:sz w:val="20"/>
                <w:lang w:val="sr-Cyrl-RS"/>
              </w:rPr>
            </w:pPr>
            <w:r w:rsidRPr="00D20AFF">
              <w:rPr>
                <w:rFonts w:cs="Times New Roman"/>
                <w:sz w:val="20"/>
                <w:lang w:val="sr-Cyrl-RS"/>
              </w:rPr>
              <w:t>Пољопривредна политика креирана на начин да подржава мере које су наведене кроз Закон о подстицајима у пољопривреди и руралном развоју</w:t>
            </w:r>
            <w:r>
              <w:rPr>
                <w:rFonts w:cs="Times New Roman"/>
                <w:sz w:val="20"/>
                <w:lang w:val="sr-Cyrl-RS"/>
              </w:rPr>
              <w:t xml:space="preserve">. </w:t>
            </w:r>
            <w:r w:rsidRPr="00F433CF">
              <w:rPr>
                <w:rFonts w:cs="Times New Roman"/>
                <w:sz w:val="20"/>
                <w:lang w:val="sr-Cyrl-RS"/>
              </w:rPr>
              <w:t>Предвидети доношење регулаторног оквира у Плану рада Владе за наредну календарску годину.</w:t>
            </w:r>
          </w:p>
        </w:tc>
      </w:tr>
      <w:tr w:rsidR="00DC7F92" w:rsidRPr="00A6164C" w14:paraId="392646DB" w14:textId="77777777" w:rsidTr="00DC7F92">
        <w:trPr>
          <w:trHeight w:val="536"/>
        </w:trPr>
        <w:tc>
          <w:tcPr>
            <w:tcW w:w="3329" w:type="dxa"/>
          </w:tcPr>
          <w:p w14:paraId="4B3C2867" w14:textId="77777777" w:rsidR="00DC7F92" w:rsidRPr="00F22C60" w:rsidRDefault="00DC7F92" w:rsidP="006B76C3">
            <w:pPr>
              <w:spacing w:before="0" w:after="0"/>
              <w:ind w:left="113" w:right="113"/>
              <w:rPr>
                <w:rFonts w:cs="Times New Roman"/>
                <w:sz w:val="20"/>
                <w:lang w:val="sr-Cyrl-RS"/>
              </w:rPr>
            </w:pPr>
            <w:r>
              <w:rPr>
                <w:rFonts w:cs="Times New Roman"/>
                <w:sz w:val="20"/>
                <w:lang w:val="sr-Cyrl-RS"/>
              </w:rPr>
              <w:t>Н</w:t>
            </w:r>
            <w:r w:rsidRPr="00F22C60">
              <w:rPr>
                <w:rFonts w:cs="Times New Roman"/>
                <w:sz w:val="20"/>
                <w:lang w:val="sr-Cyrl-RS"/>
              </w:rPr>
              <w:t>еуспешно спроведена набавка</w:t>
            </w:r>
            <w:r>
              <w:rPr>
                <w:rFonts w:cs="Times New Roman"/>
                <w:sz w:val="20"/>
              </w:rPr>
              <w:t xml:space="preserve"> </w:t>
            </w:r>
            <w:r>
              <w:rPr>
                <w:rFonts w:cs="Times New Roman"/>
                <w:sz w:val="20"/>
                <w:lang w:val="sr-Cyrl-RS"/>
              </w:rPr>
              <w:t xml:space="preserve">или кашњење </w:t>
            </w:r>
            <w:r w:rsidRPr="00F22C60">
              <w:rPr>
                <w:rFonts w:cs="Times New Roman"/>
                <w:sz w:val="20"/>
                <w:lang w:val="sr-Cyrl-RS"/>
              </w:rPr>
              <w:t>израд</w:t>
            </w:r>
            <w:r>
              <w:rPr>
                <w:rFonts w:cs="Times New Roman"/>
                <w:sz w:val="20"/>
              </w:rPr>
              <w:t>e</w:t>
            </w:r>
            <w:r w:rsidRPr="00F22C60">
              <w:rPr>
                <w:rFonts w:cs="Times New Roman"/>
                <w:sz w:val="20"/>
                <w:lang w:val="sr-Cyrl-RS"/>
              </w:rPr>
              <w:t xml:space="preserve"> LPIS/РПГ софтвера,</w:t>
            </w:r>
            <w:r>
              <w:rPr>
                <w:rFonts w:cs="Times New Roman"/>
                <w:sz w:val="20"/>
                <w:lang w:val="sr-Cyrl-RS"/>
              </w:rPr>
              <w:t xml:space="preserve"> непотпуно и/или неблаговремено преузимање података из Управе за трезор и</w:t>
            </w:r>
            <w:r>
              <w:rPr>
                <w:rFonts w:cs="Times New Roman"/>
                <w:sz w:val="20"/>
                <w:lang w:val="sr-Latn-RS"/>
              </w:rPr>
              <w:t xml:space="preserve"> </w:t>
            </w:r>
            <w:r>
              <w:rPr>
                <w:rFonts w:cs="Times New Roman"/>
                <w:sz w:val="20"/>
                <w:lang w:val="sr-Cyrl-RS"/>
              </w:rPr>
              <w:t>изостанак надоградње регистра животиња</w:t>
            </w:r>
            <w:r w:rsidRPr="00F22C60">
              <w:rPr>
                <w:rFonts w:cs="Times New Roman"/>
                <w:sz w:val="20"/>
                <w:lang w:val="sr-Cyrl-RS"/>
              </w:rPr>
              <w:t xml:space="preserve"> </w:t>
            </w:r>
          </w:p>
        </w:tc>
        <w:tc>
          <w:tcPr>
            <w:tcW w:w="2200" w:type="dxa"/>
          </w:tcPr>
          <w:p w14:paraId="5DE6DCCB" w14:textId="77777777" w:rsidR="00DC7F92" w:rsidRDefault="00DC7F92" w:rsidP="006B76C3">
            <w:pPr>
              <w:spacing w:before="0" w:after="0"/>
              <w:ind w:left="113" w:right="113"/>
              <w:rPr>
                <w:rFonts w:cs="Times New Roman"/>
                <w:sz w:val="20"/>
                <w:lang w:val="sr-Cyrl-RS"/>
              </w:rPr>
            </w:pPr>
            <w:r>
              <w:rPr>
                <w:rFonts w:cs="Times New Roman"/>
                <w:sz w:val="20"/>
                <w:lang w:val="sr-Cyrl-RS"/>
              </w:rPr>
              <w:t>Н</w:t>
            </w:r>
            <w:r w:rsidRPr="00D20AFF">
              <w:rPr>
                <w:rFonts w:cs="Times New Roman"/>
                <w:sz w:val="20"/>
                <w:lang w:val="sr-Cyrl-RS"/>
              </w:rPr>
              <w:t>иска</w:t>
            </w:r>
          </w:p>
        </w:tc>
        <w:tc>
          <w:tcPr>
            <w:tcW w:w="4165" w:type="dxa"/>
          </w:tcPr>
          <w:p w14:paraId="7CB14EBB" w14:textId="77777777" w:rsidR="00DC7F92" w:rsidRPr="00D20AFF" w:rsidRDefault="00DC7F92" w:rsidP="006B76C3">
            <w:pPr>
              <w:spacing w:before="0" w:after="0"/>
              <w:ind w:left="113" w:right="113"/>
              <w:rPr>
                <w:rFonts w:cs="Times New Roman"/>
                <w:sz w:val="20"/>
                <w:lang w:val="sr-Cyrl-RS"/>
              </w:rPr>
            </w:pPr>
            <w:r w:rsidRPr="00D20AFF">
              <w:rPr>
                <w:rFonts w:cs="Times New Roman"/>
                <w:sz w:val="20"/>
                <w:lang w:val="sr-Cyrl-RS"/>
              </w:rPr>
              <w:t>Дефинисање тачно одређених рокова са експертима и њихово праћење за израду техничке спецификације за LPIS /РПГсофтвер</w:t>
            </w:r>
            <w:r>
              <w:rPr>
                <w:rFonts w:cs="Times New Roman"/>
                <w:sz w:val="20"/>
                <w:lang w:val="sr-Cyrl-RS"/>
              </w:rPr>
              <w:t xml:space="preserve"> и преузимање података из Управе за трезор, као и закључивање споразума са Управом за ветерину у делу надоградње регистра животиња и праћење реализације спровођења надоградње</w:t>
            </w:r>
            <w:r w:rsidRPr="00D20AFF">
              <w:rPr>
                <w:rFonts w:cs="Times New Roman"/>
                <w:sz w:val="20"/>
                <w:lang w:val="sr-Cyrl-RS"/>
              </w:rPr>
              <w:t>.</w:t>
            </w:r>
          </w:p>
        </w:tc>
      </w:tr>
    </w:tbl>
    <w:p w14:paraId="0C792132" w14:textId="77777777" w:rsidR="00DC7F92" w:rsidRDefault="00DC7F92" w:rsidP="00DC7F92">
      <w:pPr>
        <w:spacing w:after="60"/>
        <w:rPr>
          <w:rFonts w:cs="Times New Roman"/>
          <w:szCs w:val="24"/>
          <w:lang w:val="sr-Cyrl-CS"/>
        </w:rPr>
      </w:pPr>
    </w:p>
    <w:p w14:paraId="1DFB2247" w14:textId="77777777" w:rsidR="00DC7F92" w:rsidRPr="00715C7C" w:rsidRDefault="00DC7F92" w:rsidP="00DC7F92">
      <w:pPr>
        <w:spacing w:before="120"/>
        <w:rPr>
          <w:rFonts w:cs="Times New Roman"/>
          <w:b/>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19</w:t>
      </w:r>
      <w:r w:rsidRPr="00715C7C">
        <w:rPr>
          <w:rFonts w:cs="Times New Roman"/>
          <w:b/>
          <w:szCs w:val="24"/>
          <w:lang w:val="sr-Cyrl-RS"/>
        </w:rPr>
        <w:t xml:space="preserve">: </w:t>
      </w:r>
      <w:r w:rsidRPr="00715C7C">
        <w:rPr>
          <w:rFonts w:cs="Times New Roman"/>
          <w:szCs w:val="24"/>
          <w:lang w:val="sr-Cyrl-CS"/>
        </w:rPr>
        <w:t>БЕЗБЕДАН И КВАЛИТЕТАН ПРОИЗВОД - ФАКТОР РАЗВОЈА ИНДУСТРИЈЕ</w:t>
      </w:r>
    </w:p>
    <w:p w14:paraId="465ED097"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Опис структурне реформе</w:t>
      </w:r>
    </w:p>
    <w:p w14:paraId="3E74FFAE" w14:textId="77777777" w:rsidR="00DC7F92" w:rsidRPr="00586FCE" w:rsidRDefault="00DC7F92" w:rsidP="00DC7F92">
      <w:pPr>
        <w:spacing w:after="60"/>
        <w:rPr>
          <w:rFonts w:eastAsia="Times New Roman" w:cs="Times New Roman"/>
          <w:szCs w:val="24"/>
          <w:lang w:val="sr-Cyrl-RS"/>
        </w:rPr>
      </w:pPr>
      <w:r w:rsidRPr="00586FCE">
        <w:rPr>
          <w:rFonts w:eastAsia="Times New Roman" w:cs="Times New Roman"/>
          <w:szCs w:val="24"/>
          <w:lang w:val="sr-Cyrl-RS"/>
        </w:rPr>
        <w:t>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организацији пословања и дигитализацијом услуга у области инфраструктуре квалитета (у даљем тексту: ИК). Реформа је пренета из претходне године и обухвата две компоненте.</w:t>
      </w:r>
    </w:p>
    <w:p w14:paraId="29819359" w14:textId="77777777" w:rsidR="00DC7F92" w:rsidRPr="004D792F" w:rsidRDefault="00DC7F92" w:rsidP="00DC7F92">
      <w:pPr>
        <w:spacing w:after="60"/>
        <w:rPr>
          <w:rFonts w:eastAsia="Times New Roman" w:cs="Times New Roman"/>
          <w:szCs w:val="24"/>
          <w:lang w:val="sr-Cyrl-RS"/>
        </w:rPr>
      </w:pPr>
      <w:r w:rsidRPr="00995876">
        <w:rPr>
          <w:rFonts w:eastAsia="Times New Roman" w:cs="Times New Roman"/>
          <w:szCs w:val="24"/>
          <w:lang w:val="sr-Cyrl-RS"/>
        </w:rPr>
        <w:t>Прва</w:t>
      </w:r>
      <w:r w:rsidRPr="00586FCE">
        <w:rPr>
          <w:rFonts w:eastAsia="Times New Roman" w:cs="Times New Roman"/>
          <w:szCs w:val="24"/>
          <w:lang w:val="sr-Cyrl-RS"/>
        </w:rPr>
        <w:t xml:space="preserve"> </w:t>
      </w:r>
      <w:r>
        <w:rPr>
          <w:rFonts w:eastAsia="Times New Roman" w:cs="Times New Roman"/>
          <w:szCs w:val="24"/>
          <w:lang w:val="sr-Cyrl-RS"/>
        </w:rPr>
        <w:t xml:space="preserve">компонента </w:t>
      </w:r>
      <w:r w:rsidRPr="00586FCE">
        <w:rPr>
          <w:rFonts w:eastAsia="Times New Roman" w:cs="Times New Roman"/>
          <w:szCs w:val="24"/>
          <w:lang w:val="sr-Cyrl-RS"/>
        </w:rPr>
        <w:t xml:space="preserve">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унапређењу доступности свих других услуга у области инфраструктуре квалитета. Структурна реформа има упориште у </w:t>
      </w:r>
      <w:r w:rsidRPr="00995876">
        <w:rPr>
          <w:rFonts w:eastAsia="Times New Roman" w:cs="Times New Roman"/>
          <w:i/>
          <w:szCs w:val="24"/>
          <w:lang w:val="sr-Cyrl-RS"/>
        </w:rPr>
        <w:t>Стратегији индустријске политике Републике Србије 2021-2030. године</w:t>
      </w:r>
      <w:r w:rsidRPr="00586FCE">
        <w:rPr>
          <w:rFonts w:eastAsia="Times New Roman" w:cs="Times New Roman"/>
          <w:szCs w:val="24"/>
          <w:lang w:val="sr-Cyrl-RS"/>
        </w:rPr>
        <w:t>.</w:t>
      </w:r>
      <w:r>
        <w:rPr>
          <w:rFonts w:eastAsia="Times New Roman" w:cs="Times New Roman"/>
          <w:szCs w:val="24"/>
          <w:lang w:val="sr-Cyrl-RS"/>
        </w:rPr>
        <w:t xml:space="preserve"> </w:t>
      </w:r>
      <w:r w:rsidRPr="004D792F">
        <w:rPr>
          <w:rFonts w:eastAsia="Times New Roman" w:cs="Times New Roman"/>
          <w:szCs w:val="24"/>
          <w:lang w:val="sr-Cyrl-RS"/>
        </w:rPr>
        <w:t>Развијен је Програм финансијске подршке - „Коришћењем стандарда до конкурентнијих производа“, а усвајање уредбе од стране Владе Републике Србије,  којом ће се омогућити спровођење овог програма, очекује се до краја 2021. године. Имајући у виду наведено, реализација ове компоненте одвија се у складу са предвиђеном временском динамиком.</w:t>
      </w:r>
    </w:p>
    <w:p w14:paraId="6AFE8EB4" w14:textId="2DBEE1E8" w:rsidR="00DC7F92" w:rsidRPr="004D792F" w:rsidRDefault="00DC7F92" w:rsidP="00DC7F92">
      <w:pPr>
        <w:spacing w:after="60"/>
        <w:rPr>
          <w:rFonts w:eastAsia="Times New Roman" w:cs="Times New Roman"/>
          <w:szCs w:val="24"/>
          <w:lang w:val="sr-Cyrl-RS"/>
        </w:rPr>
      </w:pPr>
      <w:r w:rsidRPr="00995876">
        <w:rPr>
          <w:rFonts w:eastAsia="Times New Roman" w:cs="Times New Roman"/>
          <w:szCs w:val="24"/>
          <w:lang w:val="sr-Cyrl-RS"/>
        </w:rPr>
        <w:lastRenderedPageBreak/>
        <w:t>Друга компонента</w:t>
      </w:r>
      <w:r w:rsidRPr="00586FCE">
        <w:rPr>
          <w:rFonts w:eastAsia="Times New Roman" w:cs="Times New Roman"/>
          <w:szCs w:val="24"/>
          <w:lang w:val="sr-Cyrl-RS"/>
        </w:rPr>
        <w:t xml:space="preserve">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Подразумева умрежавање и унапређење база података институција ИК</w:t>
      </w:r>
      <w:r>
        <w:rPr>
          <w:rStyle w:val="FootnoteReference"/>
          <w:rFonts w:eastAsia="Times New Roman" w:cs="Times New Roman"/>
          <w:szCs w:val="24"/>
          <w:lang w:val="sr-Cyrl-RS"/>
        </w:rPr>
        <w:footnoteReference w:id="109"/>
      </w:r>
      <w:r w:rsidRPr="00586FCE">
        <w:rPr>
          <w:rFonts w:eastAsia="Times New Roman" w:cs="Times New Roman"/>
          <w:szCs w:val="24"/>
          <w:lang w:val="sr-Cyrl-RS"/>
        </w:rPr>
        <w:t xml:space="preserve"> и министарстава надлежних за доношење техничких прописа, како би се обезбедили тачност и ажурност података о техничким захтевима, стандардима, активностима оцењивања усаглашености, акредитацији и метрологији. Развој дигиталних сервиса у вези са применом техничких прописа допринеће смањењу трошкова производње, увоза, извоза и стављања робе на тржиште. Реализацијом ове мере, унапређује се ефикасност процеса усклађивања и примене техничких прописа у оквиру </w:t>
      </w:r>
      <w:r>
        <w:rPr>
          <w:rFonts w:eastAsia="Times New Roman" w:cs="Times New Roman"/>
          <w:szCs w:val="24"/>
          <w:lang w:val="sr-Cyrl-RS"/>
        </w:rPr>
        <w:t xml:space="preserve">ПП 1 – Слобода кретања робе </w:t>
      </w:r>
      <w:r w:rsidRPr="00586FCE">
        <w:rPr>
          <w:rFonts w:eastAsia="Times New Roman" w:cs="Times New Roman"/>
          <w:szCs w:val="24"/>
          <w:lang w:val="sr-Cyrl-RS"/>
        </w:rPr>
        <w:t>и стандарда са ЕУ, правилима јединственог европског тржишта и међународних организација (СТО/ТБТ, CEFTA и др). Реформа испуњава препоруку Европске комисије за унапређењем Контактне тачке за производе (PCP-Product Contact Point) (</w:t>
      </w:r>
      <w:r w:rsidR="006666EF">
        <w:rPr>
          <w:rFonts w:eastAsia="Times New Roman" w:cs="Times New Roman"/>
          <w:szCs w:val="24"/>
          <w:lang w:val="sr-Cyrl-RS"/>
        </w:rPr>
        <w:t>ЕК Извештај о Србији</w:t>
      </w:r>
      <w:r w:rsidRPr="00586FCE">
        <w:rPr>
          <w:rFonts w:eastAsia="Times New Roman" w:cs="Times New Roman"/>
          <w:szCs w:val="24"/>
          <w:lang w:val="sr-Cyrl-RS"/>
        </w:rPr>
        <w:t>, 2019 и 2020), а у складу са европском Уредбом 2019/515 и Уредбом 2018/1724. Реализација компоненте „Производ-инфо“ је у току</w:t>
      </w:r>
      <w:r>
        <w:rPr>
          <w:rFonts w:eastAsia="Times New Roman" w:cs="Times New Roman"/>
          <w:szCs w:val="24"/>
          <w:lang w:val="sr-Cyrl-RS"/>
        </w:rPr>
        <w:t xml:space="preserve"> и касни у односу на план</w:t>
      </w:r>
      <w:r w:rsidRPr="00586FCE">
        <w:rPr>
          <w:rFonts w:eastAsia="Times New Roman" w:cs="Times New Roman"/>
          <w:szCs w:val="24"/>
          <w:lang w:val="sr-Cyrl-RS"/>
        </w:rPr>
        <w:t>.</w:t>
      </w:r>
      <w:r>
        <w:rPr>
          <w:rFonts w:eastAsia="Times New Roman" w:cs="Times New Roman"/>
          <w:szCs w:val="24"/>
          <w:lang w:val="sr-Cyrl-RS"/>
        </w:rPr>
        <w:t xml:space="preserve"> </w:t>
      </w:r>
      <w:r w:rsidRPr="004D792F">
        <w:rPr>
          <w:rFonts w:eastAsia="Times New Roman" w:cs="Times New Roman"/>
          <w:szCs w:val="24"/>
          <w:lang w:val="sr-Cyrl-RS"/>
        </w:rPr>
        <w:t xml:space="preserve">Након два неуспешна поступка, окончан је трећи поступак јавне набавке у септембру 2021. године и изабран је понуђач који је отпочео спровођење анализе стања постојећих ИТ капацитета и софтверских решењакао и потреба за њиховим унапређењем у институцијама ИК, након чега ће израдити пројектну документацију са спецификацијом потребних средстава. Због ових кашњења су и активности на унапређењу база података у Министарству привреде и дигиталног сервиса, одложене за 2022. годину (планиране у другој половини 2021. године). </w:t>
      </w:r>
    </w:p>
    <w:p w14:paraId="42B57345" w14:textId="452E85F5" w:rsidR="00DC7F92" w:rsidRDefault="00DC7F92" w:rsidP="00DC7F92">
      <w:pPr>
        <w:spacing w:after="60"/>
        <w:rPr>
          <w:rFonts w:eastAsia="Times New Roman" w:cs="Times New Roman"/>
          <w:szCs w:val="24"/>
          <w:lang w:val="sr-Cyrl-RS"/>
        </w:rPr>
      </w:pPr>
      <w:r w:rsidRPr="00586FCE">
        <w:rPr>
          <w:rFonts w:eastAsia="Times New Roman" w:cs="Times New Roman"/>
          <w:szCs w:val="24"/>
          <w:lang w:val="sr-Cyrl-RS"/>
        </w:rPr>
        <w:t xml:space="preserve">Реформом се посебно унапређује коришћење најновијих стандарда у производњи и организацији пословања и тиме индиректно остварује напредак у испуњењу </w:t>
      </w:r>
      <w:r w:rsidRPr="00586FCE">
        <w:rPr>
          <w:rFonts w:eastAsia="Times New Roman" w:cs="Times New Roman"/>
          <w:b/>
          <w:szCs w:val="24"/>
          <w:lang w:val="sr-Cyrl-RS"/>
        </w:rPr>
        <w:t>ЦОР 12.</w:t>
      </w:r>
      <w:r w:rsidRPr="00586FCE">
        <w:rPr>
          <w:rFonts w:eastAsia="Times New Roman" w:cs="Times New Roman"/>
          <w:szCs w:val="24"/>
          <w:lang w:val="sr-Cyrl-RS"/>
        </w:rPr>
        <w:t xml:space="preserve"> </w:t>
      </w:r>
      <w:r w:rsidRPr="00586FCE">
        <w:rPr>
          <w:rFonts w:eastAsia="Times New Roman" w:cs="Times New Roman"/>
          <w:szCs w:val="24"/>
          <w:lang w:val="sr-Latn-RS"/>
        </w:rPr>
        <w:t xml:space="preserve">- </w:t>
      </w:r>
      <w:r w:rsidRPr="00586FCE">
        <w:rPr>
          <w:rFonts w:eastAsia="Times New Roman" w:cs="Times New Roman"/>
          <w:szCs w:val="24"/>
          <w:lang w:val="sr-Cyrl-RS"/>
        </w:rPr>
        <w:t xml:space="preserve">Одговорна потрошња и производња, односно </w:t>
      </w:r>
      <w:r w:rsidRPr="00586FCE">
        <w:rPr>
          <w:rFonts w:eastAsia="Times New Roman" w:cs="Times New Roman"/>
          <w:b/>
          <w:szCs w:val="24"/>
          <w:lang w:val="sr-Cyrl-RS"/>
        </w:rPr>
        <w:t>ЦОР 12.8.</w:t>
      </w:r>
      <w:r w:rsidRPr="00586FCE">
        <w:rPr>
          <w:rFonts w:eastAsia="Times New Roman" w:cs="Times New Roman"/>
          <w:szCs w:val="24"/>
          <w:lang w:val="sr-Cyrl-RS"/>
        </w:rPr>
        <w:t xml:space="preserve"> </w:t>
      </w:r>
      <w:r w:rsidRPr="00586FCE">
        <w:rPr>
          <w:rFonts w:eastAsia="Times New Roman" w:cs="Times New Roman"/>
          <w:szCs w:val="24"/>
          <w:lang w:val="sr-Latn-RS"/>
        </w:rPr>
        <w:t xml:space="preserve">- </w:t>
      </w:r>
      <w:r w:rsidRPr="00586FCE">
        <w:rPr>
          <w:rFonts w:eastAsia="Times New Roman" w:cs="Times New Roman"/>
          <w:szCs w:val="24"/>
          <w:lang w:val="sr-Cyrl-RS"/>
        </w:rPr>
        <w:t xml:space="preserve">До 2030. године осигурати да људи свуда имају релевантне информације и свест о одрживом развоју и стил живота у хармонији са природом. Реформа делимично утиче и на испуњење </w:t>
      </w:r>
      <w:r w:rsidRPr="00586FCE">
        <w:rPr>
          <w:rFonts w:eastAsia="Times New Roman" w:cs="Times New Roman"/>
          <w:b/>
          <w:szCs w:val="24"/>
          <w:lang w:val="sr-Cyrl-RS"/>
        </w:rPr>
        <w:t>ЦОР 9.2.</w:t>
      </w:r>
      <w:r w:rsidRPr="00586FCE">
        <w:rPr>
          <w:rFonts w:eastAsia="Times New Roman" w:cs="Times New Roman"/>
          <w:szCs w:val="24"/>
          <w:lang w:val="sr-Cyrl-RS"/>
        </w:rPr>
        <w:t xml:space="preserve"> </w:t>
      </w:r>
      <w:r w:rsidRPr="00586FCE">
        <w:rPr>
          <w:rFonts w:eastAsia="Times New Roman" w:cs="Times New Roman"/>
          <w:szCs w:val="24"/>
          <w:lang w:val="sr-Latn-RS"/>
        </w:rPr>
        <w:t xml:space="preserve">- </w:t>
      </w:r>
      <w:r w:rsidRPr="00586FCE">
        <w:rPr>
          <w:rFonts w:eastAsia="Times New Roman" w:cs="Times New Roman"/>
          <w:szCs w:val="24"/>
          <w:lang w:val="sr-Cyrl-RS"/>
        </w:rPr>
        <w:t>Промовисати инклузивну и одрживу индустријализацију и до 2030. године значајно повећати удео индустрије у стопи запослености и бруто домаћем производу, у скл</w:t>
      </w:r>
      <w:r w:rsidR="006B76C3">
        <w:rPr>
          <w:rFonts w:eastAsia="Times New Roman" w:cs="Times New Roman"/>
          <w:szCs w:val="24"/>
          <w:lang w:val="sr-Cyrl-RS"/>
        </w:rPr>
        <w:t>аду са националним околностима.</w:t>
      </w:r>
    </w:p>
    <w:p w14:paraId="09F776FC" w14:textId="23779085" w:rsidR="008C478F" w:rsidRPr="00586FCE" w:rsidRDefault="008C478F" w:rsidP="00DC7F92">
      <w:pPr>
        <w:spacing w:after="60"/>
        <w:rPr>
          <w:rFonts w:eastAsia="Times New Roman" w:cs="Times New Roman"/>
          <w:szCs w:val="24"/>
          <w:lang w:val="sr-Cyrl-RS"/>
        </w:rPr>
      </w:pPr>
    </w:p>
    <w:p w14:paraId="4613FCDA"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586FCE" w14:paraId="24144819"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07D8086C" w14:textId="77777777"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5C7C6D1" w14:textId="77777777" w:rsidR="00DC7F92" w:rsidRPr="00586FCE" w:rsidRDefault="00DC7F92" w:rsidP="00DC7F92">
            <w:pPr>
              <w:spacing w:after="0"/>
              <w:rPr>
                <w:rFonts w:eastAsia="Times New Roman" w:cs="Times New Roman"/>
                <w:b/>
                <w:bCs/>
                <w:sz w:val="20"/>
                <w:szCs w:val="20"/>
                <w:lang w:val="sr-Cyrl-RS"/>
              </w:rPr>
            </w:pPr>
            <w:r w:rsidRPr="00586FCE">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5C230083" w14:textId="77777777"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202</w:t>
            </w:r>
            <w:r w:rsidRPr="00586FCE">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5D79175" w14:textId="77777777" w:rsidR="00DC7F92" w:rsidRPr="00586FCE" w:rsidRDefault="00DC7F92" w:rsidP="00DC7F92">
            <w:pPr>
              <w:spacing w:after="0"/>
              <w:jc w:val="center"/>
              <w:rPr>
                <w:rFonts w:eastAsia="Times New Roman" w:cs="Times New Roman"/>
                <w:b/>
                <w:bCs/>
                <w:sz w:val="20"/>
                <w:szCs w:val="20"/>
              </w:rPr>
            </w:pPr>
            <w:r w:rsidRPr="00586FCE">
              <w:rPr>
                <w:rFonts w:eastAsia="Times New Roman" w:cs="Times New Roman"/>
                <w:b/>
                <w:bCs/>
                <w:sz w:val="20"/>
                <w:szCs w:val="20"/>
                <w:lang w:val="sr-Cyrl-RS"/>
              </w:rPr>
              <w:t>202</w:t>
            </w:r>
            <w:r w:rsidRPr="00586FCE">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9F4169C" w14:textId="77777777"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20</w:t>
            </w:r>
            <w:r w:rsidRPr="00586FCE">
              <w:rPr>
                <w:rFonts w:eastAsia="Times New Roman" w:cs="Times New Roman"/>
                <w:b/>
                <w:bCs/>
                <w:sz w:val="20"/>
                <w:szCs w:val="20"/>
              </w:rPr>
              <w:t>24</w:t>
            </w:r>
          </w:p>
        </w:tc>
      </w:tr>
      <w:tr w:rsidR="00DC7F92" w:rsidRPr="00586FCE" w14:paraId="4219839C" w14:textId="77777777"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14:paraId="391EB070" w14:textId="77777777" w:rsidR="00DC7F92" w:rsidRPr="00586FCE"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14:paraId="69638BDB" w14:textId="77777777" w:rsidR="00DC7F92" w:rsidRPr="00586FCE"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auto"/>
            <w:vAlign w:val="center"/>
            <w:hideMark/>
          </w:tcPr>
          <w:p w14:paraId="2AF9423A"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376E739A"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2355AE31"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29086013"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415A7D50"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478639AF"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035FBD54"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0AEEEF53"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0B5FF249"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7ADE97A8"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486D10A0"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1B23A910"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r>
      <w:tr w:rsidR="00DC7F92" w:rsidRPr="00586FCE" w14:paraId="7F470788"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7DAC55F" w14:textId="77777777" w:rsidR="00DC7F92" w:rsidRPr="00586FCE" w:rsidRDefault="00DC7F92" w:rsidP="00DC7F92">
            <w:pPr>
              <w:spacing w:after="0"/>
              <w:jc w:val="right"/>
              <w:rPr>
                <w:rFonts w:eastAsia="Times New Roman" w:cs="Times New Roman"/>
                <w:bCs/>
                <w:sz w:val="20"/>
                <w:szCs w:val="20"/>
                <w:lang w:val="sr-Cyrl-RS"/>
              </w:rPr>
            </w:pPr>
            <w:r w:rsidRPr="00586FCE">
              <w:rPr>
                <w:rFonts w:eastAsia="Times New Roman" w:cs="Times New Roman"/>
                <w:bCs/>
                <w:sz w:val="20"/>
                <w:szCs w:val="20"/>
                <w:lang w:val="sr-Cyrl-RS"/>
              </w:rPr>
              <w:t>1</w:t>
            </w:r>
          </w:p>
        </w:tc>
        <w:tc>
          <w:tcPr>
            <w:tcW w:w="4120" w:type="dxa"/>
            <w:tcBorders>
              <w:top w:val="single" w:sz="4" w:space="0" w:color="auto"/>
              <w:left w:val="single" w:sz="8" w:space="0" w:color="auto"/>
              <w:bottom w:val="single" w:sz="4" w:space="0" w:color="auto"/>
              <w:right w:val="nil"/>
            </w:tcBorders>
            <w:shd w:val="clear" w:color="auto" w:fill="auto"/>
          </w:tcPr>
          <w:p w14:paraId="4ED2B536" w14:textId="77777777" w:rsidR="00DC7F92" w:rsidRPr="00586FCE" w:rsidRDefault="00DC7F92" w:rsidP="00DC7F92">
            <w:pPr>
              <w:spacing w:after="0"/>
              <w:rPr>
                <w:rFonts w:eastAsia="Times New Roman" w:cs="Times New Roman"/>
                <w:sz w:val="20"/>
                <w:szCs w:val="20"/>
                <w:lang w:val="sr-Cyrl-RS" w:eastAsia="sr-Latn-RS"/>
              </w:rPr>
            </w:pPr>
            <w:r w:rsidRPr="00586FCE">
              <w:rPr>
                <w:rFonts w:eastAsia="Times New Roman" w:cs="Times New Roman"/>
                <w:sz w:val="20"/>
                <w:szCs w:val="20"/>
                <w:lang w:val="sr-Cyrl-RS" w:eastAsia="sr-Latn-RS"/>
              </w:rPr>
              <w:t>Имплементација програма подршке привредним субјектима (Министарство привреде, Р</w:t>
            </w:r>
            <w:r>
              <w:rPr>
                <w:rFonts w:eastAsia="Times New Roman" w:cs="Times New Roman"/>
                <w:sz w:val="20"/>
                <w:szCs w:val="20"/>
                <w:lang w:val="sr-Cyrl-RS" w:eastAsia="sr-Latn-RS"/>
              </w:rPr>
              <w:t>азвојна агенција Србије - Р</w:t>
            </w:r>
            <w:r w:rsidRPr="00586FCE">
              <w:rPr>
                <w:rFonts w:eastAsia="Times New Roman" w:cs="Times New Roman"/>
                <w:sz w:val="20"/>
                <w:szCs w:val="20"/>
                <w:lang w:val="sr-Cyrl-RS" w:eastAsia="sr-Latn-RS"/>
              </w:rPr>
              <w:t>АС)</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47EC172"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DCFEA50"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C5CC5DE"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E1FC871"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4595503"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21F5C9D"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830A4B7"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D2BC45D"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19135B"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084F5E"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D9A3AA"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168746B" w14:textId="77777777" w:rsidR="00DC7F92" w:rsidRPr="00586FCE" w:rsidRDefault="00DC7F92" w:rsidP="00DC7F92">
            <w:pPr>
              <w:spacing w:after="0"/>
              <w:jc w:val="center"/>
              <w:rPr>
                <w:rFonts w:eastAsia="Times New Roman" w:cs="Times New Roman"/>
                <w:sz w:val="20"/>
                <w:szCs w:val="20"/>
                <w:lang w:val="sr-Cyrl-RS"/>
              </w:rPr>
            </w:pPr>
          </w:p>
        </w:tc>
      </w:tr>
      <w:tr w:rsidR="00DC7F92" w:rsidRPr="00586FCE" w14:paraId="16D0FCF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2F8E45D" w14:textId="77777777"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14:paraId="015DBCA6" w14:textId="77777777" w:rsidR="00DC7F92" w:rsidRPr="00586FCE" w:rsidRDefault="00DC7F92" w:rsidP="00DC7F92">
            <w:pPr>
              <w:spacing w:after="0"/>
              <w:rPr>
                <w:rFonts w:eastAsia="Times New Roman" w:cs="Times New Roman"/>
                <w:sz w:val="20"/>
                <w:szCs w:val="20"/>
                <w:lang w:eastAsia="sr-Latn-RS"/>
              </w:rPr>
            </w:pPr>
            <w:r w:rsidRPr="00586FCE">
              <w:rPr>
                <w:rFonts w:eastAsia="Times New Roman" w:cs="Times New Roman"/>
                <w:sz w:val="20"/>
                <w:szCs w:val="20"/>
                <w:lang w:val="sr-Cyrl-RS" w:eastAsia="sr-Latn-RS"/>
              </w:rPr>
              <w:t>А</w:t>
            </w:r>
            <w:r w:rsidRPr="00586FCE">
              <w:rPr>
                <w:rFonts w:eastAsia="Times New Roman" w:cs="Times New Roman"/>
                <w:sz w:val="20"/>
                <w:szCs w:val="20"/>
                <w:lang w:eastAsia="sr-Latn-RS"/>
              </w:rPr>
              <w:t>нализ</w:t>
            </w:r>
            <w:r w:rsidRPr="00586FCE">
              <w:rPr>
                <w:rFonts w:eastAsia="Times New Roman" w:cs="Times New Roman"/>
                <w:sz w:val="20"/>
                <w:szCs w:val="20"/>
                <w:lang w:val="sr-Cyrl-RS" w:eastAsia="sr-Latn-RS"/>
              </w:rPr>
              <w:t>а</w:t>
            </w:r>
            <w:r w:rsidRPr="00586FCE">
              <w:rPr>
                <w:rFonts w:eastAsia="Times New Roman" w:cs="Times New Roman"/>
                <w:sz w:val="20"/>
                <w:szCs w:val="20"/>
                <w:lang w:eastAsia="sr-Latn-RS"/>
              </w:rPr>
              <w:t xml:space="preserve"> стања </w:t>
            </w:r>
            <w:r w:rsidRPr="00586FCE">
              <w:rPr>
                <w:rFonts w:eastAsia="Times New Roman" w:cs="Times New Roman"/>
                <w:sz w:val="20"/>
                <w:szCs w:val="20"/>
                <w:lang w:val="sr-Cyrl-RS" w:eastAsia="sr-Latn-RS"/>
              </w:rPr>
              <w:t>постојећих ИТ капацитета и софтверских решења и потреба за њиховим унапређењем</w:t>
            </w:r>
            <w:r w:rsidRPr="00586FCE">
              <w:rPr>
                <w:rFonts w:eastAsia="Times New Roman" w:cs="Times New Roman"/>
                <w:sz w:val="20"/>
                <w:szCs w:val="20"/>
                <w:lang w:eastAsia="sr-Latn-RS"/>
              </w:rPr>
              <w:t xml:space="preserve">  </w:t>
            </w:r>
            <w:r>
              <w:rPr>
                <w:rFonts w:eastAsia="Times New Roman" w:cs="Times New Roman"/>
                <w:sz w:val="20"/>
                <w:szCs w:val="20"/>
                <w:lang w:val="sr-Cyrl-RS" w:eastAsia="sr-Latn-RS"/>
              </w:rPr>
              <w:t xml:space="preserve">и израда пројектне документације </w:t>
            </w:r>
            <w:r w:rsidRPr="00586FCE">
              <w:rPr>
                <w:rFonts w:eastAsia="Times New Roman" w:cs="Times New Roman"/>
                <w:sz w:val="20"/>
                <w:szCs w:val="20"/>
                <w:lang w:eastAsia="sr-Latn-RS"/>
              </w:rPr>
              <w:t xml:space="preserve">у институцијама </w:t>
            </w:r>
            <w:r w:rsidRPr="00586FCE">
              <w:rPr>
                <w:rFonts w:eastAsia="Times New Roman" w:cs="Times New Roman"/>
                <w:sz w:val="20"/>
                <w:szCs w:val="20"/>
                <w:lang w:val="sr-Cyrl-RS" w:eastAsia="sr-Latn-RS"/>
              </w:rPr>
              <w:t>ИК</w:t>
            </w:r>
            <w:r w:rsidRPr="00586FCE">
              <w:rPr>
                <w:rFonts w:eastAsia="Times New Roman" w:cs="Times New Roman"/>
                <w:sz w:val="20"/>
                <w:szCs w:val="20"/>
                <w:lang w:eastAsia="sr-Latn-RS"/>
              </w:rPr>
              <w:t xml:space="preserve"> (</w:t>
            </w:r>
            <w:r w:rsidRPr="00586FCE">
              <w:rPr>
                <w:rFonts w:eastAsia="Times New Roman" w:cs="Times New Roman"/>
                <w:sz w:val="20"/>
                <w:szCs w:val="20"/>
                <w:lang w:val="sr-Cyrl-RS" w:eastAsia="sr-Latn-RS"/>
              </w:rPr>
              <w:t>Министарство привреде</w:t>
            </w:r>
            <w:r w:rsidRPr="00586FCE">
              <w:rPr>
                <w:rFonts w:eastAsia="Times New Roman" w:cs="Times New Roman"/>
                <w:sz w:val="20"/>
                <w:szCs w:val="20"/>
                <w:lang w:eastAsia="sr-Latn-RS"/>
              </w:rPr>
              <w:t>, ИСС, АТС и ДМДМ)</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41ADF43"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5F3AE3D"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700F2B"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602B740"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13CDB01"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AA9D84"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A6996DC"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FCD61D2"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52E7E58"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3B1D3A2"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810A346"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154A1D4" w14:textId="77777777" w:rsidR="00DC7F92" w:rsidRPr="00586FCE" w:rsidRDefault="00DC7F92" w:rsidP="00DC7F92">
            <w:pPr>
              <w:spacing w:after="0"/>
              <w:jc w:val="center"/>
              <w:rPr>
                <w:rFonts w:eastAsia="Times New Roman" w:cs="Times New Roman"/>
                <w:sz w:val="20"/>
                <w:szCs w:val="20"/>
                <w:lang w:val="sr-Cyrl-RS"/>
              </w:rPr>
            </w:pPr>
          </w:p>
        </w:tc>
      </w:tr>
      <w:tr w:rsidR="00DC7F92" w:rsidRPr="00586FCE" w14:paraId="12997326"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A862783" w14:textId="77777777"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37A6AFDF" w14:textId="77777777" w:rsidR="00DC7F92" w:rsidRPr="00586FCE" w:rsidRDefault="00DC7F92" w:rsidP="00DC7F92">
            <w:pPr>
              <w:spacing w:after="0"/>
              <w:rPr>
                <w:rFonts w:eastAsia="Times New Roman" w:cs="Times New Roman"/>
                <w:sz w:val="20"/>
                <w:szCs w:val="20"/>
                <w:lang w:val="sr-Cyrl-RS" w:eastAsia="sr-Latn-RS"/>
              </w:rPr>
            </w:pPr>
            <w:r w:rsidRPr="00586FCE">
              <w:rPr>
                <w:rFonts w:eastAsia="Times New Roman" w:cs="Times New Roman"/>
                <w:sz w:val="20"/>
                <w:szCs w:val="20"/>
                <w:lang w:eastAsia="sr-Latn-RS"/>
              </w:rPr>
              <w:t>Унапређење база података и дигиталног сервиса у</w:t>
            </w:r>
            <w:r w:rsidRPr="00586FCE">
              <w:rPr>
                <w:rFonts w:eastAsia="Times New Roman" w:cs="Times New Roman"/>
                <w:sz w:val="20"/>
                <w:szCs w:val="20"/>
                <w:lang w:val="sr-Cyrl-RS" w:eastAsia="sr-Latn-RS"/>
              </w:rPr>
              <w:t xml:space="preserve"> Министарству привреде</w:t>
            </w:r>
            <w:r w:rsidRPr="00586FCE">
              <w:rPr>
                <w:rFonts w:eastAsia="Times New Roman" w:cs="Times New Roman"/>
                <w:sz w:val="20"/>
                <w:szCs w:val="20"/>
                <w:lang w:eastAsia="sr-Latn-RS"/>
              </w:rPr>
              <w:t xml:space="preserve">  у вези са технички</w:t>
            </w:r>
            <w:r w:rsidRPr="00586FCE">
              <w:rPr>
                <w:rFonts w:eastAsia="Times New Roman" w:cs="Times New Roman"/>
                <w:sz w:val="20"/>
                <w:szCs w:val="20"/>
                <w:lang w:val="sr-Cyrl-RS" w:eastAsia="sr-Latn-RS"/>
              </w:rPr>
              <w:t>м</w:t>
            </w:r>
            <w:r w:rsidRPr="00586FCE">
              <w:rPr>
                <w:rFonts w:eastAsia="Times New Roman" w:cs="Times New Roman"/>
                <w:sz w:val="20"/>
                <w:szCs w:val="20"/>
                <w:lang w:eastAsia="sr-Latn-RS"/>
              </w:rPr>
              <w:t xml:space="preserve"> захтеви</w:t>
            </w:r>
            <w:r w:rsidRPr="00586FCE">
              <w:rPr>
                <w:rFonts w:eastAsia="Times New Roman" w:cs="Times New Roman"/>
                <w:sz w:val="20"/>
                <w:szCs w:val="20"/>
                <w:lang w:val="sr-Cyrl-RS" w:eastAsia="sr-Latn-RS"/>
              </w:rPr>
              <w:t>ма</w:t>
            </w:r>
            <w:r w:rsidRPr="00586FCE">
              <w:rPr>
                <w:rFonts w:eastAsia="Times New Roman" w:cs="Times New Roman"/>
                <w:sz w:val="20"/>
                <w:szCs w:val="20"/>
                <w:lang w:eastAsia="sr-Latn-RS"/>
              </w:rPr>
              <w:t xml:space="preserve"> за производе и портала „TBT</w:t>
            </w:r>
            <w:r w:rsidRPr="00586FCE">
              <w:rPr>
                <w:rFonts w:eastAsia="Times New Roman" w:cs="Times New Roman"/>
                <w:sz w:val="20"/>
                <w:szCs w:val="20"/>
                <w:lang w:val="sr-Cyrl-RS" w:eastAsia="sr-Latn-RS"/>
              </w:rPr>
              <w:t>-</w:t>
            </w:r>
            <w:r w:rsidRPr="00586FCE">
              <w:rPr>
                <w:rFonts w:eastAsia="Times New Roman" w:cs="Times New Roman"/>
                <w:sz w:val="20"/>
                <w:szCs w:val="20"/>
                <w:lang w:eastAsia="sr-Latn-RS"/>
              </w:rPr>
              <w:t xml:space="preserve"> Enquire point</w:t>
            </w:r>
            <w:r w:rsidRPr="00586FCE">
              <w:rPr>
                <w:rFonts w:eastAsia="Times New Roman" w:cs="Times New Roman"/>
                <w:sz w:val="20"/>
                <w:szCs w:val="20"/>
                <w:lang w:val="sr-Cyrl-RS" w:eastAsia="sr-Latn-RS"/>
              </w:rPr>
              <w:t>“ (Контактна тачка за производе)</w:t>
            </w:r>
            <w:r>
              <w:rPr>
                <w:rFonts w:eastAsia="Times New Roman" w:cs="Times New Roman"/>
                <w:sz w:val="20"/>
                <w:szCs w:val="20"/>
                <w:lang w:val="sr-Cyrl-RS" w:eastAsia="sr-Latn-RS"/>
              </w:rPr>
              <w:t xml:space="preserve"> и у</w:t>
            </w:r>
            <w:r w:rsidRPr="00586FCE">
              <w:rPr>
                <w:rFonts w:eastAsia="Times New Roman" w:cs="Times New Roman"/>
                <w:sz w:val="20"/>
                <w:szCs w:val="20"/>
                <w:lang w:eastAsia="sr-Latn-RS"/>
              </w:rPr>
              <w:t xml:space="preserve">напређење база података и дигиталног сервиса у </w:t>
            </w:r>
            <w:r w:rsidRPr="00586FCE">
              <w:rPr>
                <w:rFonts w:eastAsia="Times New Roman" w:cs="Times New Roman"/>
                <w:sz w:val="20"/>
                <w:szCs w:val="20"/>
                <w:lang w:val="sr-Cyrl-RS" w:eastAsia="sr-Latn-RS"/>
              </w:rPr>
              <w:t xml:space="preserve">институцијама ИК </w:t>
            </w:r>
            <w:r w:rsidRPr="00586FCE">
              <w:rPr>
                <w:rFonts w:eastAsia="Times New Roman" w:cs="Times New Roman"/>
                <w:sz w:val="20"/>
                <w:szCs w:val="20"/>
                <w:lang w:eastAsia="sr-Latn-RS"/>
              </w:rPr>
              <w:t>(ИСС, АТС и ДМДМ)</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0B5CB57"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9468D77"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2ADE54D"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44270FF"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73F5BF0D"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AF3C73"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EAEE2D1"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6403A01"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58FDF62E"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1DA16EF"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6AE8898"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30BB0AC8" w14:textId="77777777" w:rsidR="00DC7F92" w:rsidRPr="00586FCE" w:rsidRDefault="00DC7F92" w:rsidP="00DC7F92">
            <w:pPr>
              <w:spacing w:after="0"/>
              <w:jc w:val="center"/>
              <w:rPr>
                <w:rFonts w:eastAsia="Times New Roman" w:cs="Times New Roman"/>
                <w:b/>
                <w:bCs/>
                <w:sz w:val="20"/>
                <w:szCs w:val="20"/>
                <w:lang w:val="sr-Cyrl-RS"/>
              </w:rPr>
            </w:pPr>
          </w:p>
        </w:tc>
      </w:tr>
      <w:tr w:rsidR="00DC7F92" w:rsidRPr="00586FCE" w14:paraId="372C457F"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23E34023" w14:textId="77777777"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lastRenderedPageBreak/>
              <w:t>4</w:t>
            </w:r>
          </w:p>
        </w:tc>
        <w:tc>
          <w:tcPr>
            <w:tcW w:w="4120" w:type="dxa"/>
            <w:tcBorders>
              <w:top w:val="single" w:sz="4" w:space="0" w:color="auto"/>
              <w:left w:val="single" w:sz="8" w:space="0" w:color="auto"/>
              <w:bottom w:val="single" w:sz="4" w:space="0" w:color="auto"/>
              <w:right w:val="single" w:sz="4" w:space="0" w:color="auto"/>
            </w:tcBorders>
            <w:shd w:val="clear" w:color="auto" w:fill="auto"/>
          </w:tcPr>
          <w:p w14:paraId="6020558E" w14:textId="77777777" w:rsidR="00DC7F92" w:rsidRPr="00586FCE" w:rsidRDefault="00DC7F92" w:rsidP="00DC7F92">
            <w:pPr>
              <w:spacing w:after="0"/>
              <w:rPr>
                <w:rFonts w:eastAsia="Times New Roman" w:cs="Times New Roman"/>
                <w:sz w:val="20"/>
                <w:szCs w:val="20"/>
                <w:lang w:eastAsia="sr-Latn-RS"/>
              </w:rPr>
            </w:pPr>
            <w:r w:rsidRPr="00586FCE">
              <w:rPr>
                <w:rFonts w:eastAsia="Times New Roman" w:cs="Times New Roman"/>
                <w:sz w:val="20"/>
                <w:szCs w:val="20"/>
                <w:lang w:eastAsia="sr-Latn-RS"/>
              </w:rPr>
              <w:t>Умрежавање дигиталних сервиса и промоција заинтересованим странама и широј јавности</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37F166E"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D8C5EBD"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D1B5E44"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DFC15DE"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ADFC436"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57707EF"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783E22"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F45DD1"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BFEF00"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4095D5"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CC10D7A"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52F0053" w14:textId="77777777" w:rsidR="00DC7F92" w:rsidRPr="00586FCE" w:rsidRDefault="00DC7F92" w:rsidP="00DC7F92">
            <w:pPr>
              <w:spacing w:after="0"/>
              <w:jc w:val="center"/>
              <w:rPr>
                <w:rFonts w:eastAsia="Times New Roman" w:cs="Times New Roman"/>
                <w:b/>
                <w:bCs/>
                <w:sz w:val="20"/>
                <w:szCs w:val="20"/>
                <w:lang w:val="sr-Cyrl-RS"/>
              </w:rPr>
            </w:pPr>
          </w:p>
        </w:tc>
      </w:tr>
    </w:tbl>
    <w:p w14:paraId="3872EEB5" w14:textId="77777777" w:rsidR="00DC7F92" w:rsidRPr="00586FCE" w:rsidRDefault="00DC7F92" w:rsidP="004D22FA">
      <w:pPr>
        <w:widowControl w:val="0"/>
        <w:numPr>
          <w:ilvl w:val="0"/>
          <w:numId w:val="42"/>
        </w:numPr>
        <w:spacing w:before="240"/>
        <w:ind w:left="425" w:hanging="425"/>
        <w:rPr>
          <w:rFonts w:cs="Times New Roman"/>
          <w:b/>
          <w:szCs w:val="24"/>
          <w:lang w:val="sr-Cyrl-RS" w:eastAsia="sr-Cyrl-CS" w:bidi="sr-Cyrl-CS"/>
        </w:rPr>
      </w:pPr>
      <w:r w:rsidRPr="00586FCE">
        <w:rPr>
          <w:rFonts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586FCE" w14:paraId="0B5D98F0" w14:textId="77777777" w:rsidTr="00DC7F92">
        <w:tc>
          <w:tcPr>
            <w:tcW w:w="4106" w:type="dxa"/>
            <w:vAlign w:val="center"/>
          </w:tcPr>
          <w:p w14:paraId="2C3C59DE" w14:textId="77777777" w:rsidR="00DC7F92" w:rsidRPr="00586FCE" w:rsidRDefault="00DC7F92" w:rsidP="006B76C3">
            <w:pPr>
              <w:spacing w:after="0"/>
              <w:rPr>
                <w:b/>
                <w:sz w:val="20"/>
                <w:szCs w:val="20"/>
                <w:lang w:val="sr-Cyrl-RS"/>
              </w:rPr>
            </w:pPr>
            <w:r w:rsidRPr="00586FCE">
              <w:rPr>
                <w:b/>
                <w:sz w:val="20"/>
                <w:szCs w:val="20"/>
                <w:lang w:val="sr-Cyrl-RS"/>
              </w:rPr>
              <w:t>Показатељ</w:t>
            </w:r>
          </w:p>
        </w:tc>
        <w:tc>
          <w:tcPr>
            <w:tcW w:w="1842" w:type="dxa"/>
            <w:vAlign w:val="center"/>
          </w:tcPr>
          <w:p w14:paraId="22505166" w14:textId="77777777" w:rsidR="00DC7F92" w:rsidRPr="00586FCE" w:rsidRDefault="00DC7F92" w:rsidP="006B76C3">
            <w:pPr>
              <w:spacing w:after="0"/>
              <w:jc w:val="right"/>
              <w:rPr>
                <w:b/>
                <w:sz w:val="20"/>
                <w:szCs w:val="20"/>
                <w:lang w:val="sr-Cyrl-RS"/>
              </w:rPr>
            </w:pPr>
            <w:r w:rsidRPr="00586FCE">
              <w:rPr>
                <w:b/>
                <w:sz w:val="20"/>
                <w:szCs w:val="20"/>
                <w:lang w:val="sr-Cyrl-RS"/>
              </w:rPr>
              <w:t>Почетна вредност (година)</w:t>
            </w:r>
          </w:p>
        </w:tc>
        <w:tc>
          <w:tcPr>
            <w:tcW w:w="1843" w:type="dxa"/>
            <w:vAlign w:val="center"/>
          </w:tcPr>
          <w:p w14:paraId="7E4F6EEC" w14:textId="77777777" w:rsidR="00DC7F92" w:rsidRPr="00586FCE" w:rsidRDefault="00DC7F92" w:rsidP="006B76C3">
            <w:pPr>
              <w:spacing w:after="0"/>
              <w:jc w:val="right"/>
              <w:rPr>
                <w:b/>
                <w:sz w:val="20"/>
                <w:szCs w:val="20"/>
                <w:lang w:val="sr-Cyrl-RS"/>
              </w:rPr>
            </w:pPr>
            <w:r w:rsidRPr="00586FCE">
              <w:rPr>
                <w:b/>
                <w:sz w:val="20"/>
                <w:szCs w:val="20"/>
                <w:lang w:val="sr-Cyrl-RS"/>
              </w:rPr>
              <w:t>Међурезултат (година)</w:t>
            </w:r>
          </w:p>
        </w:tc>
        <w:tc>
          <w:tcPr>
            <w:tcW w:w="1843" w:type="dxa"/>
            <w:vAlign w:val="center"/>
          </w:tcPr>
          <w:p w14:paraId="485F4EC4" w14:textId="77777777" w:rsidR="00DC7F92" w:rsidRPr="00586FCE" w:rsidRDefault="00DC7F92" w:rsidP="006B76C3">
            <w:pPr>
              <w:spacing w:after="0"/>
              <w:jc w:val="right"/>
              <w:rPr>
                <w:b/>
                <w:sz w:val="20"/>
                <w:szCs w:val="20"/>
                <w:lang w:val="sr-Cyrl-RS"/>
              </w:rPr>
            </w:pPr>
            <w:r w:rsidRPr="00586FCE">
              <w:rPr>
                <w:b/>
                <w:sz w:val="20"/>
                <w:szCs w:val="20"/>
                <w:lang w:val="sr-Cyrl-RS"/>
              </w:rPr>
              <w:t>Циљна вредност (година)</w:t>
            </w:r>
          </w:p>
        </w:tc>
      </w:tr>
      <w:tr w:rsidR="00DC7F92" w:rsidRPr="00586FCE" w14:paraId="7139F5D6" w14:textId="77777777" w:rsidTr="00DC7F92">
        <w:trPr>
          <w:trHeight w:val="284"/>
        </w:trPr>
        <w:tc>
          <w:tcPr>
            <w:tcW w:w="4106" w:type="dxa"/>
            <w:shd w:val="clear" w:color="auto" w:fill="auto"/>
          </w:tcPr>
          <w:p w14:paraId="20C0D999" w14:textId="77777777" w:rsidR="00DC7F92" w:rsidRPr="00586FCE" w:rsidRDefault="00DC7F92" w:rsidP="006B76C3">
            <w:pPr>
              <w:spacing w:after="0"/>
              <w:rPr>
                <w:highlight w:val="yellow"/>
                <w:lang w:val="sr-Cyrl-RS"/>
              </w:rPr>
            </w:pPr>
            <w:r w:rsidRPr="00586FCE">
              <w:rPr>
                <w:rFonts w:eastAsia="Times New Roman"/>
                <w:sz w:val="20"/>
                <w:szCs w:val="20"/>
              </w:rPr>
              <w:t>Број корисника (привредних субјеката) програма подршке</w:t>
            </w:r>
            <w:r w:rsidRPr="00586FCE">
              <w:rPr>
                <w:lang w:val="en-US"/>
              </w:rPr>
              <w:t xml:space="preserve"> </w:t>
            </w:r>
          </w:p>
        </w:tc>
        <w:tc>
          <w:tcPr>
            <w:tcW w:w="1842" w:type="dxa"/>
            <w:shd w:val="clear" w:color="auto" w:fill="auto"/>
          </w:tcPr>
          <w:p w14:paraId="21689515"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0</w:t>
            </w:r>
            <w:r w:rsidRPr="00586FCE">
              <w:rPr>
                <w:rFonts w:eastAsia="Times New Roman"/>
                <w:sz w:val="20"/>
                <w:szCs w:val="20"/>
                <w:lang w:val="sr-Cyrl-RS"/>
              </w:rPr>
              <w:t xml:space="preserve"> </w:t>
            </w:r>
            <w:r w:rsidRPr="00586FCE">
              <w:rPr>
                <w:rFonts w:eastAsia="Times New Roman"/>
                <w:sz w:val="20"/>
                <w:szCs w:val="20"/>
              </w:rPr>
              <w:t>(2021)</w:t>
            </w:r>
          </w:p>
        </w:tc>
        <w:tc>
          <w:tcPr>
            <w:tcW w:w="1843" w:type="dxa"/>
            <w:shd w:val="clear" w:color="auto" w:fill="auto"/>
          </w:tcPr>
          <w:p w14:paraId="442BF995"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100</w:t>
            </w:r>
            <w:r w:rsidRPr="00586FCE">
              <w:rPr>
                <w:rFonts w:eastAsia="Times New Roman"/>
                <w:sz w:val="20"/>
                <w:szCs w:val="20"/>
                <w:lang w:val="sr-Cyrl-RS"/>
              </w:rPr>
              <w:t xml:space="preserve"> </w:t>
            </w:r>
            <w:r w:rsidRPr="00586FCE">
              <w:rPr>
                <w:rFonts w:eastAsia="Times New Roman"/>
                <w:sz w:val="20"/>
                <w:szCs w:val="20"/>
              </w:rPr>
              <w:t>(2022)</w:t>
            </w:r>
          </w:p>
        </w:tc>
        <w:tc>
          <w:tcPr>
            <w:tcW w:w="1843" w:type="dxa"/>
            <w:shd w:val="clear" w:color="auto" w:fill="auto"/>
          </w:tcPr>
          <w:p w14:paraId="66129062"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150</w:t>
            </w:r>
            <w:r w:rsidRPr="00586FCE">
              <w:rPr>
                <w:rFonts w:eastAsia="Times New Roman"/>
                <w:sz w:val="20"/>
                <w:szCs w:val="20"/>
                <w:lang w:val="sr-Cyrl-RS"/>
              </w:rPr>
              <w:t xml:space="preserve"> </w:t>
            </w:r>
            <w:r w:rsidRPr="00586FCE">
              <w:rPr>
                <w:rFonts w:eastAsia="Times New Roman"/>
                <w:sz w:val="20"/>
                <w:szCs w:val="20"/>
              </w:rPr>
              <w:t>(2023)</w:t>
            </w:r>
          </w:p>
        </w:tc>
      </w:tr>
      <w:tr w:rsidR="00DC7F92" w:rsidRPr="00586FCE" w14:paraId="5A189C5C" w14:textId="77777777" w:rsidTr="00DC7F92">
        <w:trPr>
          <w:trHeight w:val="284"/>
        </w:trPr>
        <w:tc>
          <w:tcPr>
            <w:tcW w:w="4106" w:type="dxa"/>
            <w:shd w:val="clear" w:color="auto" w:fill="auto"/>
          </w:tcPr>
          <w:p w14:paraId="579904B5" w14:textId="77777777" w:rsidR="00DC7F92" w:rsidRPr="00586FCE" w:rsidRDefault="00DC7F92" w:rsidP="006B76C3">
            <w:pPr>
              <w:spacing w:after="0"/>
              <w:rPr>
                <w:highlight w:val="yellow"/>
                <w:lang w:val="sr-Cyrl-RS"/>
              </w:rPr>
            </w:pPr>
            <w:r w:rsidRPr="00586FCE">
              <w:rPr>
                <w:rFonts w:eastAsia="Times New Roman"/>
                <w:sz w:val="20"/>
                <w:szCs w:val="20"/>
              </w:rPr>
              <w:t>Број корисника – повратника (који више од једног пута користе услуге портала „Производ инфо“)</w:t>
            </w:r>
          </w:p>
        </w:tc>
        <w:tc>
          <w:tcPr>
            <w:tcW w:w="1842" w:type="dxa"/>
          </w:tcPr>
          <w:p w14:paraId="2456783C"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0</w:t>
            </w:r>
            <w:r w:rsidRPr="00586FCE">
              <w:rPr>
                <w:rFonts w:eastAsia="Times New Roman"/>
                <w:sz w:val="20"/>
                <w:szCs w:val="20"/>
                <w:lang w:val="sr-Cyrl-RS"/>
              </w:rPr>
              <w:t xml:space="preserve"> </w:t>
            </w:r>
            <w:r w:rsidRPr="00586FCE">
              <w:rPr>
                <w:rFonts w:eastAsia="Times New Roman"/>
                <w:sz w:val="20"/>
                <w:szCs w:val="20"/>
              </w:rPr>
              <w:t>(2020)</w:t>
            </w:r>
          </w:p>
        </w:tc>
        <w:tc>
          <w:tcPr>
            <w:tcW w:w="1843" w:type="dxa"/>
          </w:tcPr>
          <w:p w14:paraId="244F5F87"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1000</w:t>
            </w:r>
            <w:r w:rsidRPr="00586FCE">
              <w:rPr>
                <w:rFonts w:eastAsia="Times New Roman"/>
                <w:sz w:val="20"/>
                <w:szCs w:val="20"/>
                <w:lang w:val="sr-Cyrl-RS"/>
              </w:rPr>
              <w:t xml:space="preserve"> </w:t>
            </w:r>
            <w:r w:rsidRPr="00586FCE">
              <w:rPr>
                <w:rFonts w:eastAsia="Times New Roman"/>
                <w:sz w:val="20"/>
                <w:szCs w:val="20"/>
              </w:rPr>
              <w:t>(2023)</w:t>
            </w:r>
          </w:p>
        </w:tc>
        <w:tc>
          <w:tcPr>
            <w:tcW w:w="1843" w:type="dxa"/>
          </w:tcPr>
          <w:p w14:paraId="14108DB2"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2000</w:t>
            </w:r>
            <w:r w:rsidRPr="00586FCE">
              <w:rPr>
                <w:rFonts w:eastAsia="Times New Roman"/>
                <w:sz w:val="20"/>
                <w:szCs w:val="20"/>
                <w:lang w:val="sr-Cyrl-RS"/>
              </w:rPr>
              <w:t xml:space="preserve"> </w:t>
            </w:r>
            <w:r w:rsidRPr="00586FCE">
              <w:rPr>
                <w:rFonts w:eastAsia="Times New Roman"/>
                <w:sz w:val="20"/>
                <w:szCs w:val="20"/>
              </w:rPr>
              <w:t>(2024)</w:t>
            </w:r>
          </w:p>
        </w:tc>
      </w:tr>
    </w:tbl>
    <w:p w14:paraId="7D33662F"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Очекивани утицај на конкурентност</w:t>
      </w:r>
    </w:p>
    <w:p w14:paraId="37E42770" w14:textId="77777777" w:rsidR="00DC7F92" w:rsidRPr="00586FCE" w:rsidRDefault="00DC7F92" w:rsidP="00DC7F92">
      <w:pPr>
        <w:spacing w:after="60"/>
        <w:rPr>
          <w:rFonts w:eastAsia="Times New Roman" w:cs="Times New Roman"/>
          <w:szCs w:val="24"/>
          <w:lang w:val="sr-Cyrl-RS"/>
        </w:rPr>
      </w:pPr>
      <w:r>
        <w:rPr>
          <w:rFonts w:eastAsia="Times New Roman" w:cs="Times New Roman"/>
          <w:szCs w:val="24"/>
          <w:lang w:val="sr-Cyrl-RS"/>
        </w:rPr>
        <w:t>П</w:t>
      </w:r>
      <w:r w:rsidRPr="00586FCE">
        <w:rPr>
          <w:rFonts w:eastAsia="Times New Roman" w:cs="Times New Roman"/>
          <w:szCs w:val="24"/>
          <w:lang w:val="sr-Cyrl-RS"/>
        </w:rPr>
        <w:t>овећањ</w:t>
      </w:r>
      <w:r>
        <w:rPr>
          <w:rFonts w:eastAsia="Times New Roman" w:cs="Times New Roman"/>
          <w:szCs w:val="24"/>
          <w:lang w:val="sr-Cyrl-RS"/>
        </w:rPr>
        <w:t>ем</w:t>
      </w:r>
      <w:r w:rsidRPr="00586FCE">
        <w:rPr>
          <w:rFonts w:eastAsia="Times New Roman" w:cs="Times New Roman"/>
          <w:szCs w:val="24"/>
          <w:lang w:val="sr-Cyrl-RS"/>
        </w:rPr>
        <w:t xml:space="preserve"> нивоа квалитета и безбедности производа доприн</w:t>
      </w:r>
      <w:r>
        <w:rPr>
          <w:rFonts w:eastAsia="Times New Roman" w:cs="Times New Roman"/>
          <w:szCs w:val="24"/>
          <w:lang w:val="sr-Cyrl-RS"/>
        </w:rPr>
        <w:t>оси се</w:t>
      </w:r>
      <w:r w:rsidRPr="00586FCE">
        <w:rPr>
          <w:rFonts w:eastAsia="Times New Roman" w:cs="Times New Roman"/>
          <w:szCs w:val="24"/>
          <w:lang w:val="sr-Cyrl-RS"/>
        </w:rPr>
        <w:t xml:space="preserve"> повећању нивоа конкурентности производа на иностраним тржиштима и тиме </w:t>
      </w:r>
      <w:r>
        <w:rPr>
          <w:rFonts w:eastAsia="Times New Roman" w:cs="Times New Roman"/>
          <w:szCs w:val="24"/>
          <w:lang w:val="sr-Cyrl-RS"/>
        </w:rPr>
        <w:t>се</w:t>
      </w:r>
      <w:r w:rsidRPr="00586FCE">
        <w:rPr>
          <w:rFonts w:eastAsia="Times New Roman" w:cs="Times New Roman"/>
          <w:szCs w:val="24"/>
          <w:lang w:val="sr-Cyrl-RS"/>
        </w:rPr>
        <w:t xml:space="preserve"> позитивно </w:t>
      </w:r>
      <w:r>
        <w:rPr>
          <w:rFonts w:eastAsia="Times New Roman" w:cs="Times New Roman"/>
          <w:szCs w:val="24"/>
          <w:lang w:val="sr-Cyrl-RS"/>
        </w:rPr>
        <w:t>утиче</w:t>
      </w:r>
      <w:r w:rsidRPr="00586FCE">
        <w:rPr>
          <w:rFonts w:eastAsia="Times New Roman" w:cs="Times New Roman"/>
          <w:szCs w:val="24"/>
          <w:lang w:val="sr-Cyrl-RS"/>
        </w:rPr>
        <w:t xml:space="preserve"> на пораст </w:t>
      </w:r>
      <w:r>
        <w:rPr>
          <w:rFonts w:eastAsia="Times New Roman" w:cs="Times New Roman"/>
          <w:szCs w:val="24"/>
          <w:lang w:val="sr-Cyrl-RS"/>
        </w:rPr>
        <w:t xml:space="preserve">укупног </w:t>
      </w:r>
      <w:r w:rsidRPr="00586FCE">
        <w:rPr>
          <w:rFonts w:eastAsia="Times New Roman" w:cs="Times New Roman"/>
          <w:szCs w:val="24"/>
          <w:lang w:val="sr-Cyrl-RS"/>
        </w:rPr>
        <w:t>извоза</w:t>
      </w:r>
      <w:r>
        <w:rPr>
          <w:rFonts w:eastAsia="Times New Roman" w:cs="Times New Roman"/>
          <w:szCs w:val="24"/>
          <w:lang w:val="sr-Cyrl-RS"/>
        </w:rPr>
        <w:t xml:space="preserve"> </w:t>
      </w:r>
      <w:r w:rsidRPr="00586FCE">
        <w:rPr>
          <w:rFonts w:eastAsia="Times New Roman" w:cs="Times New Roman"/>
          <w:szCs w:val="24"/>
          <w:lang w:val="sr-Cyrl-RS"/>
        </w:rPr>
        <w:t>и удела извоза индустријских производа (у оквиру ПП 1) у укупном извозу Републике Србије. Подстицаји за повећање коришћења стандарда и</w:t>
      </w:r>
      <w:r>
        <w:rPr>
          <w:rFonts w:eastAsia="Times New Roman" w:cs="Times New Roman"/>
          <w:szCs w:val="24"/>
          <w:lang w:val="sr-Cyrl-RS"/>
        </w:rPr>
        <w:t xml:space="preserve"> унапређење квалитета производа </w:t>
      </w:r>
      <w:r w:rsidRPr="00586FCE">
        <w:rPr>
          <w:rFonts w:eastAsia="Times New Roman" w:cs="Times New Roman"/>
          <w:szCs w:val="24"/>
          <w:lang w:val="sr-Cyrl-RS"/>
        </w:rPr>
        <w:t>директно ће утицати на смањењ</w:t>
      </w:r>
      <w:r>
        <w:rPr>
          <w:rFonts w:eastAsia="Times New Roman" w:cs="Times New Roman"/>
          <w:szCs w:val="24"/>
          <w:lang w:val="sr-Cyrl-RS"/>
        </w:rPr>
        <w:t>е техничких препрека у трговини.</w:t>
      </w:r>
    </w:p>
    <w:p w14:paraId="46C9D206"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Процењени трошкови активности и извори финансирања</w:t>
      </w:r>
    </w:p>
    <w:p w14:paraId="478AFDF5" w14:textId="77777777"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 xml:space="preserve">Ова структурна реформа се састоји од 2 компоненте. Обе компоненте наставак су планираних активности из претходног програмског периода. </w:t>
      </w:r>
    </w:p>
    <w:p w14:paraId="3A3D684F" w14:textId="77777777"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Укупна вредност структурне реформе за период 2022-2024. године износи 1.500.000 евра. Вредност прве компоненте износи 1.000.000 евра (средства из буџета РС), а друге 500.000 евра (од тога око 1</w:t>
      </w:r>
      <w:r>
        <w:rPr>
          <w:rFonts w:eastAsia="Times New Roman" w:cs="Times New Roman"/>
          <w:szCs w:val="24"/>
          <w:lang w:val="sr-Cyrl-RS"/>
        </w:rPr>
        <w:t>8</w:t>
      </w:r>
      <w:r w:rsidRPr="00586FCE">
        <w:rPr>
          <w:rFonts w:eastAsia="Times New Roman" w:cs="Times New Roman"/>
          <w:szCs w:val="24"/>
          <w:lang w:val="sr-Cyrl-RS"/>
        </w:rPr>
        <w:t xml:space="preserve">0.000 евра планирано је из буџета РС, око 120.000 евра из сопствених средстава институција партнера: </w:t>
      </w:r>
      <w:r w:rsidRPr="002B57BD">
        <w:rPr>
          <w:rFonts w:eastAsia="Times New Roman" w:cs="Times New Roman"/>
          <w:szCs w:val="24"/>
          <w:lang w:val="sr-Cyrl-RS" w:bidi="sr-Cyrl-CS"/>
        </w:rPr>
        <w:t>ДМДМ, ИСС и АТС</w:t>
      </w:r>
      <w:r w:rsidRPr="00586FCE">
        <w:rPr>
          <w:rFonts w:eastAsia="Times New Roman" w:cs="Times New Roman"/>
          <w:szCs w:val="24"/>
          <w:lang w:val="sr-Cyrl-RS"/>
        </w:rPr>
        <w:t xml:space="preserve"> и око 2</w:t>
      </w:r>
      <w:r>
        <w:rPr>
          <w:rFonts w:eastAsia="Times New Roman" w:cs="Times New Roman"/>
          <w:szCs w:val="24"/>
          <w:lang w:val="sr-Cyrl-RS"/>
        </w:rPr>
        <w:t>0</w:t>
      </w:r>
      <w:r w:rsidRPr="00586FCE">
        <w:rPr>
          <w:rFonts w:eastAsia="Times New Roman" w:cs="Times New Roman"/>
          <w:szCs w:val="24"/>
          <w:lang w:val="sr-Cyrl-RS"/>
        </w:rPr>
        <w:t xml:space="preserve">0.000 евра из других бесповратних средстава - у току су договори са билатералним донаторима око обезбеђења износа ових средстава). </w:t>
      </w:r>
    </w:p>
    <w:p w14:paraId="60D78367" w14:textId="77777777"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 xml:space="preserve">Трошкови у вези са спровођењем ове реформе укључују (а) субвенције привредним субјектима (100% из буџета РС); (б) спровођење анализе стања постојећих ИТ и расположивих софтверских решења у институцијама обухваћених реформом (финансирање 100% из буџета РС); (в) набавку недостајуће ИТ опреме и софтвера (финансирање око </w:t>
      </w:r>
      <w:r>
        <w:rPr>
          <w:rFonts w:eastAsia="Times New Roman" w:cs="Times New Roman"/>
          <w:szCs w:val="24"/>
          <w:lang w:val="sr-Cyrl-RS"/>
        </w:rPr>
        <w:t>40</w:t>
      </w:r>
      <w:r w:rsidRPr="00586FCE">
        <w:rPr>
          <w:rFonts w:eastAsia="Times New Roman" w:cs="Times New Roman"/>
          <w:szCs w:val="24"/>
          <w:lang w:val="sr-Cyrl-RS"/>
        </w:rPr>
        <w:t xml:space="preserve">% из буџета РС, </w:t>
      </w:r>
      <w:r>
        <w:rPr>
          <w:rFonts w:eastAsia="Times New Roman" w:cs="Times New Roman"/>
          <w:szCs w:val="24"/>
          <w:lang w:val="sr-Cyrl-RS"/>
        </w:rPr>
        <w:t>25</w:t>
      </w:r>
      <w:r w:rsidRPr="00586FCE">
        <w:rPr>
          <w:rFonts w:eastAsia="Times New Roman" w:cs="Times New Roman"/>
          <w:szCs w:val="24"/>
          <w:lang w:val="sr-Cyrl-RS"/>
        </w:rPr>
        <w:t xml:space="preserve">% из средстава институција партнера, остала средства од других донатора) и (г) усавршавања кадрова за потребе умрежавања и континуираног ажурирања садржаја портала као и трошкове промотивних активности (финансирање 50% из буџета РС, остала средства од других донатора). </w:t>
      </w:r>
    </w:p>
    <w:p w14:paraId="46D8E50D" w14:textId="77777777" w:rsidR="00DC7F92" w:rsidRPr="00586FCE" w:rsidRDefault="00DC7F92" w:rsidP="004D22FA">
      <w:pPr>
        <w:widowControl w:val="0"/>
        <w:numPr>
          <w:ilvl w:val="0"/>
          <w:numId w:val="42"/>
        </w:numPr>
        <w:spacing w:before="120"/>
        <w:rPr>
          <w:rFonts w:cs="Times New Roman"/>
          <w:b/>
          <w:szCs w:val="24"/>
          <w:lang w:val="sr-Cyrl-RS" w:eastAsia="sr-Cyrl-CS" w:bidi="sr-Cyrl-CS"/>
        </w:rPr>
      </w:pPr>
      <w:r w:rsidRPr="00586FCE">
        <w:rPr>
          <w:rFonts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9D80D60" w14:textId="77777777" w:rsidR="00DC7F92" w:rsidRPr="00586FCE" w:rsidRDefault="00DC7F92" w:rsidP="00DC7F92">
      <w:pPr>
        <w:spacing w:after="60"/>
        <w:rPr>
          <w:rFonts w:eastAsia="Times New Roman" w:cs="Times New Roman"/>
          <w:szCs w:val="24"/>
          <w:lang w:val="sr-Cyrl-RS"/>
        </w:rPr>
      </w:pPr>
      <w:r w:rsidRPr="00586FCE">
        <w:rPr>
          <w:rFonts w:eastAsia="Times New Roman" w:cs="Times New Roman"/>
          <w:szCs w:val="24"/>
          <w:lang w:val="sr-Cyrl-RS"/>
        </w:rPr>
        <w:t>Реформа нема утицај на запосленост, смањење сиромаштва</w:t>
      </w:r>
      <w:r>
        <w:rPr>
          <w:rFonts w:eastAsia="Times New Roman" w:cs="Times New Roman"/>
          <w:szCs w:val="24"/>
          <w:lang w:val="sr-Cyrl-RS"/>
        </w:rPr>
        <w:t xml:space="preserve"> </w:t>
      </w:r>
      <w:r w:rsidRPr="00586FCE">
        <w:rPr>
          <w:rFonts w:eastAsia="Times New Roman" w:cs="Times New Roman"/>
          <w:szCs w:val="24"/>
          <w:lang w:val="sr-Cyrl-RS"/>
        </w:rPr>
        <w:t>и неутрална је са родног аспекта. Такође, реформа нема утицај на систем здравствене заштите.</w:t>
      </w:r>
    </w:p>
    <w:p w14:paraId="4085D3B2"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Очекивани утицај на животну средину и климатске промене</w:t>
      </w:r>
    </w:p>
    <w:p w14:paraId="691739DD" w14:textId="77777777" w:rsidR="00DC7F92" w:rsidRPr="00586FCE" w:rsidRDefault="00DC7F92" w:rsidP="00DC7F92">
      <w:pPr>
        <w:widowControl w:val="0"/>
        <w:spacing w:after="60"/>
        <w:rPr>
          <w:rFonts w:cs="Times New Roman"/>
          <w:szCs w:val="24"/>
          <w:lang w:val="sr-Cyrl-RS" w:eastAsia="sr-Cyrl-CS" w:bidi="sr-Cyrl-CS"/>
        </w:rPr>
      </w:pPr>
      <w:r w:rsidRPr="00586FCE">
        <w:rPr>
          <w:rFonts w:cs="Times New Roman"/>
          <w:szCs w:val="24"/>
          <w:lang w:val="sr-Cyrl-RS" w:eastAsia="sr-Cyrl-CS" w:bidi="sr-Cyrl-CS"/>
        </w:rPr>
        <w:t>Структурна реформа допринос</w:t>
      </w:r>
      <w:r>
        <w:rPr>
          <w:rFonts w:cs="Times New Roman"/>
          <w:szCs w:val="24"/>
          <w:lang w:val="sr-Cyrl-RS" w:eastAsia="sr-Cyrl-CS" w:bidi="sr-Cyrl-CS"/>
        </w:rPr>
        <w:t>и</w:t>
      </w:r>
      <w:r w:rsidRPr="00586FCE">
        <w:rPr>
          <w:rFonts w:cs="Times New Roman"/>
          <w:szCs w:val="24"/>
          <w:lang w:val="sr-Cyrl-RS" w:eastAsia="sr-Cyrl-CS" w:bidi="sr-Cyrl-CS"/>
        </w:rPr>
        <w:t xml:space="preserve"> унапређењу техничких прописа и примене стандарда који укључују и захтеве заштите животне средине.</w:t>
      </w:r>
      <w:r>
        <w:rPr>
          <w:rFonts w:cs="Times New Roman"/>
          <w:szCs w:val="24"/>
          <w:lang w:val="sr-Cyrl-RS" w:eastAsia="sr-Cyrl-CS" w:bidi="sr-Cyrl-CS"/>
        </w:rPr>
        <w:t xml:space="preserve"> </w:t>
      </w:r>
      <w:r w:rsidRPr="00586FCE">
        <w:rPr>
          <w:rFonts w:cs="Times New Roman"/>
          <w:szCs w:val="24"/>
          <w:lang w:val="sr-Cyrl-RS" w:eastAsia="sr-Cyrl-CS" w:bidi="sr-Cyrl-CS"/>
        </w:rPr>
        <w:t>Кроз програм субвенција привредним субјектима, ће се вршити рефундација дела средстава, уколико одлуче да своје</w:t>
      </w:r>
      <w:r>
        <w:rPr>
          <w:rFonts w:cs="Times New Roman"/>
          <w:szCs w:val="24"/>
          <w:lang w:val="sr-Cyrl-RS" w:eastAsia="sr-Cyrl-CS" w:bidi="sr-Cyrl-CS"/>
        </w:rPr>
        <w:t xml:space="preserve"> </w:t>
      </w:r>
      <w:r w:rsidRPr="00586FCE">
        <w:rPr>
          <w:rFonts w:cs="Times New Roman"/>
          <w:szCs w:val="24"/>
          <w:lang w:val="sr-Cyrl-RS" w:eastAsia="sr-Cyrl-CS" w:bidi="sr-Cyrl-CS"/>
        </w:rPr>
        <w:t>пословање ускладе са захтевима стандарда SRPS ISO 14001 - Систем менаџмента зaштите животне средине.</w:t>
      </w:r>
      <w:r>
        <w:rPr>
          <w:rFonts w:cs="Times New Roman"/>
          <w:szCs w:val="24"/>
          <w:lang w:val="sr-Cyrl-RS" w:eastAsia="sr-Cyrl-CS" w:bidi="sr-Cyrl-CS"/>
        </w:rPr>
        <w:t xml:space="preserve"> </w:t>
      </w:r>
      <w:r w:rsidRPr="00586FCE">
        <w:rPr>
          <w:rFonts w:cs="Times New Roman"/>
          <w:szCs w:val="24"/>
          <w:lang w:val="sr-Cyrl-RS" w:eastAsia="sr-Cyrl-CS" w:bidi="sr-Cyrl-CS"/>
        </w:rPr>
        <w:t xml:space="preserve">Такође, овим програмом субвенција подржана је и сертификација система менаџмента према стандарду SRPS ISO 50001 – Системи менаџмента енергијом, што ће омогућити корисницима Програма, да повећају своју </w:t>
      </w:r>
      <w:r w:rsidRPr="00586FCE">
        <w:rPr>
          <w:rFonts w:cs="Times New Roman"/>
          <w:szCs w:val="24"/>
          <w:lang w:val="sr-Cyrl-RS" w:eastAsia="sr-Cyrl-CS" w:bidi="sr-Cyrl-CS"/>
        </w:rPr>
        <w:lastRenderedPageBreak/>
        <w:t>одговорност према енергетској ефикасности, а самим тим и животној средини и климатским промена.</w:t>
      </w:r>
    </w:p>
    <w:p w14:paraId="3B13CA32"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586FCE" w14:paraId="05D2FC80" w14:textId="77777777" w:rsidTr="00DC7F92">
        <w:trPr>
          <w:trHeight w:val="421"/>
        </w:trPr>
        <w:tc>
          <w:tcPr>
            <w:tcW w:w="3329" w:type="dxa"/>
            <w:vAlign w:val="center"/>
          </w:tcPr>
          <w:p w14:paraId="0140C41F" w14:textId="77777777" w:rsidR="00DC7F92" w:rsidRPr="00586FCE" w:rsidRDefault="00DC7F92" w:rsidP="006B76C3">
            <w:pPr>
              <w:spacing w:after="0"/>
              <w:rPr>
                <w:b/>
                <w:sz w:val="20"/>
                <w:szCs w:val="20"/>
                <w:lang w:val="sr-Cyrl-RS"/>
              </w:rPr>
            </w:pPr>
            <w:r w:rsidRPr="00586FCE">
              <w:rPr>
                <w:b/>
                <w:sz w:val="20"/>
                <w:szCs w:val="20"/>
                <w:lang w:val="sr-Cyrl-RS"/>
              </w:rPr>
              <w:t>Ризик</w:t>
            </w:r>
          </w:p>
        </w:tc>
        <w:tc>
          <w:tcPr>
            <w:tcW w:w="2200" w:type="dxa"/>
            <w:vAlign w:val="center"/>
          </w:tcPr>
          <w:p w14:paraId="2CB09894" w14:textId="77777777" w:rsidR="00DC7F92" w:rsidRPr="00586FCE" w:rsidRDefault="00DC7F92" w:rsidP="006B76C3">
            <w:pPr>
              <w:spacing w:after="0"/>
              <w:rPr>
                <w:b/>
                <w:sz w:val="20"/>
                <w:szCs w:val="20"/>
                <w:lang w:val="sr-Cyrl-RS"/>
              </w:rPr>
            </w:pPr>
            <w:r w:rsidRPr="00586FCE">
              <w:rPr>
                <w:b/>
                <w:sz w:val="20"/>
                <w:szCs w:val="20"/>
                <w:lang w:val="sr-Cyrl-RS"/>
              </w:rPr>
              <w:t xml:space="preserve">Вероватноћа за остваривање ризика </w:t>
            </w:r>
          </w:p>
        </w:tc>
        <w:tc>
          <w:tcPr>
            <w:tcW w:w="4165" w:type="dxa"/>
            <w:vAlign w:val="center"/>
          </w:tcPr>
          <w:p w14:paraId="0DDA2BE7" w14:textId="77777777" w:rsidR="00DC7F92" w:rsidRPr="00586FCE" w:rsidRDefault="00DC7F92" w:rsidP="006B76C3">
            <w:pPr>
              <w:spacing w:after="0"/>
              <w:rPr>
                <w:b/>
                <w:sz w:val="20"/>
                <w:szCs w:val="20"/>
                <w:lang w:val="sr-Cyrl-RS"/>
              </w:rPr>
            </w:pPr>
            <w:r w:rsidRPr="00586FCE">
              <w:rPr>
                <w:b/>
                <w:sz w:val="20"/>
                <w:szCs w:val="20"/>
                <w:lang w:val="sr-Cyrl-RS"/>
              </w:rPr>
              <w:t>Планиране активности за ублажавање негативних ефеката ризика</w:t>
            </w:r>
          </w:p>
        </w:tc>
      </w:tr>
      <w:tr w:rsidR="00DC7F92" w:rsidRPr="00586FCE" w14:paraId="25DB1240" w14:textId="77777777" w:rsidTr="00DC7F92">
        <w:trPr>
          <w:trHeight w:val="1224"/>
        </w:trPr>
        <w:tc>
          <w:tcPr>
            <w:tcW w:w="3329" w:type="dxa"/>
          </w:tcPr>
          <w:p w14:paraId="0A2D5F7B" w14:textId="77777777" w:rsidR="00DC7F92" w:rsidRPr="00586FCE" w:rsidRDefault="00DC7F92" w:rsidP="006B76C3">
            <w:pPr>
              <w:spacing w:after="0"/>
              <w:rPr>
                <w:rFonts w:eastAsia="Times New Roman"/>
                <w:sz w:val="20"/>
                <w:szCs w:val="20"/>
                <w:lang w:val="sr-Cyrl-RS"/>
              </w:rPr>
            </w:pPr>
            <w:r>
              <w:rPr>
                <w:rFonts w:eastAsia="Times New Roman"/>
                <w:sz w:val="20"/>
                <w:szCs w:val="20"/>
                <w:lang w:val="sr-Cyrl-RS"/>
              </w:rPr>
              <w:t>Захтеви</w:t>
            </w:r>
            <w:r w:rsidRPr="00586FCE">
              <w:rPr>
                <w:rFonts w:eastAsia="Times New Roman"/>
                <w:sz w:val="20"/>
                <w:szCs w:val="20"/>
                <w:lang w:val="sr-Cyrl-RS"/>
              </w:rPr>
              <w:t xml:space="preserve"> привредних субјеката заинтересован</w:t>
            </w:r>
            <w:r>
              <w:rPr>
                <w:rFonts w:eastAsia="Times New Roman"/>
                <w:sz w:val="20"/>
                <w:szCs w:val="20"/>
                <w:lang w:val="sr-Cyrl-RS"/>
              </w:rPr>
              <w:t>их</w:t>
            </w:r>
            <w:r w:rsidRPr="00586FCE">
              <w:rPr>
                <w:rFonts w:eastAsia="Times New Roman"/>
                <w:sz w:val="20"/>
                <w:szCs w:val="20"/>
                <w:lang w:val="sr-Cyrl-RS"/>
              </w:rPr>
              <w:t xml:space="preserve"> за Програм финансијске подршке </w:t>
            </w:r>
            <w:r>
              <w:rPr>
                <w:rFonts w:eastAsia="Times New Roman"/>
                <w:sz w:val="20"/>
                <w:szCs w:val="20"/>
                <w:lang w:val="sr-Cyrl-RS"/>
              </w:rPr>
              <w:t>превазилазе опредељени буџет</w:t>
            </w:r>
          </w:p>
        </w:tc>
        <w:tc>
          <w:tcPr>
            <w:tcW w:w="2200" w:type="dxa"/>
          </w:tcPr>
          <w:p w14:paraId="09B4AA85"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Средња</w:t>
            </w:r>
          </w:p>
        </w:tc>
        <w:tc>
          <w:tcPr>
            <w:tcW w:w="4165" w:type="dxa"/>
          </w:tcPr>
          <w:p w14:paraId="72FE6E51"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Обезбеђење финансијских средстава из донаторских извора; Пооштравање услова за доделу подршке; Планирање програма подршке као континуиране активности у наредним годинама.</w:t>
            </w:r>
          </w:p>
        </w:tc>
      </w:tr>
      <w:tr w:rsidR="00DC7F92" w:rsidRPr="00586FCE" w14:paraId="04339C9A" w14:textId="77777777" w:rsidTr="00DC7F92">
        <w:trPr>
          <w:trHeight w:val="556"/>
        </w:trPr>
        <w:tc>
          <w:tcPr>
            <w:tcW w:w="3329" w:type="dxa"/>
          </w:tcPr>
          <w:p w14:paraId="6057E402"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 xml:space="preserve">Недостатак финансијских средстава за потребе </w:t>
            </w:r>
            <w:r>
              <w:rPr>
                <w:rFonts w:eastAsia="Times New Roman"/>
                <w:sz w:val="20"/>
                <w:szCs w:val="20"/>
                <w:lang w:val="sr-Cyrl-RS"/>
              </w:rPr>
              <w:t xml:space="preserve">реализације пројеката </w:t>
            </w:r>
            <w:r w:rsidRPr="00586FCE">
              <w:rPr>
                <w:rFonts w:eastAsia="Times New Roman"/>
                <w:sz w:val="20"/>
                <w:szCs w:val="20"/>
                <w:lang w:val="sr-Cyrl-RS"/>
              </w:rPr>
              <w:t>Производ инфо</w:t>
            </w:r>
          </w:p>
        </w:tc>
        <w:tc>
          <w:tcPr>
            <w:tcW w:w="2200" w:type="dxa"/>
          </w:tcPr>
          <w:p w14:paraId="26D31ADD"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Средња</w:t>
            </w:r>
          </w:p>
        </w:tc>
        <w:tc>
          <w:tcPr>
            <w:tcW w:w="4165" w:type="dxa"/>
          </w:tcPr>
          <w:p w14:paraId="0BBA469D"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Интензивна комуникација са донаторима у циљу обезбеђења подршке.</w:t>
            </w:r>
            <w:r>
              <w:rPr>
                <w:rFonts w:eastAsia="Times New Roman"/>
                <w:sz w:val="20"/>
                <w:szCs w:val="20"/>
                <w:lang w:val="sr-Cyrl-RS"/>
              </w:rPr>
              <w:t xml:space="preserve"> </w:t>
            </w:r>
            <w:r w:rsidRPr="00586FCE">
              <w:rPr>
                <w:rFonts w:eastAsia="Times New Roman"/>
                <w:sz w:val="20"/>
                <w:szCs w:val="20"/>
                <w:lang w:val="sr-Cyrl-RS"/>
              </w:rPr>
              <w:t xml:space="preserve">Повећање издвајања из буџета </w:t>
            </w:r>
            <w:r>
              <w:rPr>
                <w:rFonts w:eastAsia="Times New Roman"/>
                <w:sz w:val="20"/>
                <w:szCs w:val="20"/>
                <w:lang w:val="sr-Cyrl-RS"/>
              </w:rPr>
              <w:t xml:space="preserve">РС и </w:t>
            </w:r>
            <w:r w:rsidRPr="00586FCE">
              <w:rPr>
                <w:rFonts w:eastAsia="Times New Roman"/>
                <w:sz w:val="20"/>
                <w:szCs w:val="20"/>
                <w:lang w:val="sr-Cyrl-RS"/>
              </w:rPr>
              <w:t>партнерских институција укључених у спровођење реформе.</w:t>
            </w:r>
          </w:p>
        </w:tc>
      </w:tr>
    </w:tbl>
    <w:p w14:paraId="4B0B6FD3" w14:textId="77777777" w:rsidR="00DC7F92" w:rsidRPr="00CF374E" w:rsidRDefault="00DC7F92" w:rsidP="00DC7F92">
      <w:pPr>
        <w:spacing w:after="60"/>
        <w:rPr>
          <w:rFonts w:eastAsia="Times New Roman" w:cs="Times New Roman"/>
          <w:bCs/>
          <w:szCs w:val="24"/>
          <w:lang w:val="sr-Cyrl-RS"/>
        </w:rPr>
      </w:pPr>
    </w:p>
    <w:p w14:paraId="10CDCE1E" w14:textId="77777777" w:rsidR="00DC7F92" w:rsidRPr="00C32D10" w:rsidRDefault="00DC7F92" w:rsidP="00DC7F92">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1" w:name="_Toc89375543"/>
      <w:r w:rsidRPr="00715C7C">
        <w:rPr>
          <w:rFonts w:eastAsiaTheme="majorEastAsia" w:cs="Times New Roman"/>
          <w:b/>
          <w:noProof/>
          <w:szCs w:val="24"/>
          <w:lang w:val="sr-Cyrl-RS"/>
        </w:rPr>
        <w:t>5.</w:t>
      </w:r>
      <w:r>
        <w:rPr>
          <w:rFonts w:eastAsiaTheme="majorEastAsia" w:cs="Times New Roman"/>
          <w:b/>
          <w:noProof/>
          <w:szCs w:val="24"/>
          <w:lang w:val="sr-Cyrl-RS"/>
        </w:rPr>
        <w:t>2</w:t>
      </w:r>
      <w:r w:rsidRPr="00715C7C">
        <w:rPr>
          <w:rFonts w:eastAsiaTheme="majorEastAsia" w:cs="Times New Roman"/>
          <w:b/>
          <w:noProof/>
          <w:szCs w:val="24"/>
          <w:lang w:val="sr-Cyrl-RS"/>
        </w:rPr>
        <w:t>.10. Област ОБРАЗОВАЊЕ И ВЕШТИНЕ</w:t>
      </w:r>
      <w:bookmarkEnd w:id="41"/>
    </w:p>
    <w:p w14:paraId="42690DEB" w14:textId="77777777" w:rsidR="00DC7F92" w:rsidRPr="00576465" w:rsidRDefault="00DC7F92" w:rsidP="00DC7F92">
      <w:pPr>
        <w:spacing w:after="60"/>
        <w:rPr>
          <w:rFonts w:cs="Times New Roman"/>
          <w:noProof/>
          <w:szCs w:val="24"/>
          <w:lang w:val="sr-Cyrl-RS"/>
        </w:rPr>
      </w:pPr>
      <w:r w:rsidRPr="00715C7C">
        <w:rPr>
          <w:rFonts w:cs="Times New Roman"/>
          <w:noProof/>
          <w:szCs w:val="24"/>
          <w:lang w:val="sr-Cyrl-RS"/>
        </w:rPr>
        <w:t xml:space="preserve">Препреке из ове области у вези са структурном реформом </w:t>
      </w:r>
      <w:r w:rsidRPr="00715C7C">
        <w:rPr>
          <w:rFonts w:cs="Times New Roman"/>
          <w:i/>
          <w:noProof/>
          <w:szCs w:val="24"/>
          <w:lang w:val="sr-Cyrl-RS"/>
        </w:rPr>
        <w:t>2. Квалификације оријентисане према потребама тржишта рада</w:t>
      </w:r>
      <w:r w:rsidRPr="00715C7C">
        <w:rPr>
          <w:rFonts w:cs="Times New Roman"/>
          <w:noProof/>
          <w:szCs w:val="24"/>
          <w:lang w:val="sr-Cyrl-RS"/>
        </w:rPr>
        <w:t xml:space="preserve"> анализиране су у одељку 5.1. под </w:t>
      </w:r>
      <w:r w:rsidRPr="00715C7C">
        <w:rPr>
          <w:rFonts w:cs="Times New Roman"/>
          <w:i/>
          <w:noProof/>
          <w:szCs w:val="24"/>
          <w:lang w:val="sr-Cyrl-RS"/>
        </w:rPr>
        <w:t>Кључним изазовом број 1.</w:t>
      </w:r>
      <w:r w:rsidRPr="00715C7C">
        <w:rPr>
          <w:rFonts w:cs="Times New Roman"/>
          <w:i/>
          <w:noProof/>
          <w:szCs w:val="24"/>
        </w:rPr>
        <w:t xml:space="preserve"> Повећање запослености, посебно младих</w:t>
      </w:r>
      <w:r w:rsidRPr="000928D9">
        <w:rPr>
          <w:rFonts w:cs="Times New Roman"/>
          <w:i/>
          <w:noProof/>
          <w:szCs w:val="24"/>
        </w:rPr>
        <w:t xml:space="preserve">, </w:t>
      </w:r>
      <w:r w:rsidRPr="000928D9">
        <w:rPr>
          <w:rFonts w:cs="Times New Roman"/>
          <w:i/>
          <w:noProof/>
          <w:szCs w:val="24"/>
          <w:lang w:val="sr-Cyrl-RS"/>
        </w:rPr>
        <w:t>и усклађивање квалификација са потребама тржишта рада</w:t>
      </w:r>
      <w:r w:rsidRPr="00715C7C">
        <w:rPr>
          <w:rFonts w:cs="Times New Roman"/>
          <w:i/>
          <w:noProof/>
          <w:szCs w:val="24"/>
          <w:lang w:val="sr-Cyrl-RS"/>
        </w:rPr>
        <w:t>.</w:t>
      </w:r>
    </w:p>
    <w:p w14:paraId="5347D2FA" w14:textId="77777777" w:rsidR="00DC7F92" w:rsidRDefault="00DC7F92" w:rsidP="00DC7F92">
      <w:pPr>
        <w:spacing w:before="120"/>
        <w:rPr>
          <w:szCs w:val="24"/>
          <w:lang w:val="sr-Cyrl-RS"/>
        </w:rPr>
      </w:pPr>
      <w:r w:rsidRPr="00C32D10">
        <w:rPr>
          <w:rFonts w:cs="Times New Roman"/>
          <w:b/>
          <w:noProof/>
          <w:szCs w:val="24"/>
          <w:lang w:val="sr-Cyrl-RS"/>
        </w:rPr>
        <w:t>а) Анализа главних препрека</w:t>
      </w:r>
    </w:p>
    <w:p w14:paraId="05759C29" w14:textId="77777777" w:rsidR="00DC7F92" w:rsidRPr="005D568B" w:rsidRDefault="00DC7F92" w:rsidP="00DC7F92">
      <w:pPr>
        <w:spacing w:after="60"/>
        <w:rPr>
          <w:color w:val="000000"/>
          <w:szCs w:val="24"/>
          <w:lang w:val="sr-Cyrl-RS"/>
        </w:rPr>
      </w:pPr>
      <w:r w:rsidRPr="003C0512">
        <w:rPr>
          <w:color w:val="000000"/>
          <w:szCs w:val="24"/>
          <w:lang w:val="sr-Cyrl-RS"/>
        </w:rPr>
        <w:t xml:space="preserve">Основ за </w:t>
      </w:r>
      <w:r w:rsidRPr="003C0512">
        <w:rPr>
          <w:b/>
          <w:color w:val="000000"/>
          <w:szCs w:val="24"/>
          <w:lang w:val="sr-Cyrl-RS"/>
        </w:rPr>
        <w:t>системско унапређење образовања</w:t>
      </w:r>
      <w:r w:rsidRPr="003C0512">
        <w:rPr>
          <w:color w:val="000000"/>
          <w:szCs w:val="24"/>
          <w:lang w:val="sr-Cyrl-RS"/>
        </w:rPr>
        <w:t xml:space="preserve"> представља новоусвојена</w:t>
      </w:r>
      <w:r>
        <w:rPr>
          <w:rStyle w:val="FootnoteReference"/>
          <w:color w:val="000000"/>
          <w:szCs w:val="24"/>
          <w:lang w:val="sr-Cyrl-RS"/>
        </w:rPr>
        <w:footnoteReference w:id="110"/>
      </w:r>
      <w:r w:rsidRPr="003C0512">
        <w:rPr>
          <w:color w:val="000000"/>
          <w:szCs w:val="24"/>
          <w:lang w:val="sr-Cyrl-RS"/>
        </w:rPr>
        <w:t xml:space="preserve"> </w:t>
      </w:r>
      <w:r w:rsidRPr="003C0512">
        <w:rPr>
          <w:b/>
          <w:i/>
          <w:color w:val="000000"/>
          <w:szCs w:val="24"/>
          <w:lang w:val="sr-Cyrl-RS"/>
        </w:rPr>
        <w:t>Стратегија развоја образовања и васпитања</w:t>
      </w:r>
      <w:r>
        <w:rPr>
          <w:b/>
          <w:i/>
          <w:color w:val="000000"/>
          <w:szCs w:val="24"/>
          <w:lang w:val="sr-Cyrl-RS"/>
        </w:rPr>
        <w:t xml:space="preserve"> у Републици Србији</w:t>
      </w:r>
      <w:r w:rsidRPr="003C0512">
        <w:rPr>
          <w:b/>
          <w:i/>
          <w:color w:val="000000"/>
          <w:szCs w:val="24"/>
          <w:lang w:val="sr-Cyrl-RS"/>
        </w:rPr>
        <w:t xml:space="preserve"> до 2030. године</w:t>
      </w:r>
      <w:r w:rsidRPr="003C0512">
        <w:rPr>
          <w:color w:val="000000"/>
          <w:szCs w:val="24"/>
          <w:lang w:val="sr-Cyrl-RS"/>
        </w:rPr>
        <w:t xml:space="preserve"> са пратећим </w:t>
      </w:r>
      <w:r w:rsidRPr="003C0512">
        <w:rPr>
          <w:b/>
          <w:i/>
          <w:color w:val="000000"/>
          <w:szCs w:val="24"/>
          <w:lang w:val="sr-Cyrl-RS"/>
        </w:rPr>
        <w:t>Акционим планом за период</w:t>
      </w:r>
      <w:r>
        <w:rPr>
          <w:b/>
          <w:i/>
          <w:color w:val="000000"/>
          <w:szCs w:val="24"/>
          <w:lang w:val="sr-Cyrl-RS"/>
        </w:rPr>
        <w:t xml:space="preserve"> од</w:t>
      </w:r>
      <w:r w:rsidRPr="003C0512">
        <w:rPr>
          <w:b/>
          <w:i/>
          <w:color w:val="000000"/>
          <w:szCs w:val="24"/>
          <w:lang w:val="sr-Cyrl-RS"/>
        </w:rPr>
        <w:t xml:space="preserve"> 2021</w:t>
      </w:r>
      <w:r>
        <w:rPr>
          <w:b/>
          <w:i/>
          <w:color w:val="000000"/>
          <w:szCs w:val="24"/>
          <w:lang w:val="sr-Cyrl-RS"/>
        </w:rPr>
        <w:t xml:space="preserve">. до </w:t>
      </w:r>
      <w:r w:rsidRPr="003C0512">
        <w:rPr>
          <w:b/>
          <w:i/>
          <w:color w:val="000000"/>
          <w:szCs w:val="24"/>
          <w:lang w:val="sr-Cyrl-RS"/>
        </w:rPr>
        <w:t>2023. године</w:t>
      </w:r>
      <w:r>
        <w:rPr>
          <w:rStyle w:val="FootnoteReference"/>
          <w:b/>
          <w:i/>
          <w:color w:val="000000"/>
          <w:szCs w:val="24"/>
          <w:lang w:val="sr-Cyrl-RS"/>
        </w:rPr>
        <w:footnoteReference w:id="111"/>
      </w:r>
      <w:r>
        <w:rPr>
          <w:color w:val="000000"/>
          <w:szCs w:val="24"/>
          <w:lang w:val="sr-Cyrl-RS"/>
        </w:rPr>
        <w:t>.</w:t>
      </w:r>
      <w:r w:rsidRPr="003C0512">
        <w:rPr>
          <w:color w:val="000000"/>
          <w:szCs w:val="24"/>
          <w:lang w:val="sr-Cyrl-RS"/>
        </w:rPr>
        <w:t xml:space="preserve"> </w:t>
      </w:r>
      <w:r w:rsidRPr="005D568B">
        <w:rPr>
          <w:color w:val="000000"/>
          <w:szCs w:val="24"/>
          <w:lang w:val="sr-Cyrl-RS"/>
        </w:rPr>
        <w:t>Стратегија</w:t>
      </w:r>
      <w:r>
        <w:rPr>
          <w:color w:val="000000"/>
          <w:szCs w:val="24"/>
        </w:rPr>
        <w:t xml:space="preserve"> </w:t>
      </w:r>
      <w:r>
        <w:rPr>
          <w:color w:val="000000"/>
          <w:szCs w:val="24"/>
          <w:lang w:val="sr-Cyrl-RS"/>
        </w:rPr>
        <w:t>у фокусу има постизање два</w:t>
      </w:r>
      <w:r>
        <w:rPr>
          <w:color w:val="000000"/>
          <w:szCs w:val="24"/>
        </w:rPr>
        <w:t xml:space="preserve"> </w:t>
      </w:r>
      <w:r w:rsidRPr="006829EE">
        <w:rPr>
          <w:color w:val="000000"/>
          <w:szCs w:val="24"/>
          <w:lang w:val="sr-Cyrl-RS"/>
        </w:rPr>
        <w:t>општа циља – унапређење предуниверзитетског и високог образовања</w:t>
      </w:r>
      <w:r>
        <w:rPr>
          <w:color w:val="000000"/>
          <w:szCs w:val="24"/>
          <w:lang w:val="sr-Cyrl-RS"/>
        </w:rPr>
        <w:t>,</w:t>
      </w:r>
      <w:r w:rsidRPr="006829EE">
        <w:rPr>
          <w:color w:val="000000"/>
          <w:szCs w:val="24"/>
          <w:lang w:val="sr-Cyrl-RS"/>
        </w:rPr>
        <w:t xml:space="preserve"> </w:t>
      </w:r>
      <w:r>
        <w:rPr>
          <w:color w:val="000000"/>
          <w:szCs w:val="24"/>
          <w:lang w:val="sr-Cyrl-RS"/>
        </w:rPr>
        <w:t>и</w:t>
      </w:r>
      <w:r w:rsidRPr="005D568B">
        <w:rPr>
          <w:color w:val="000000"/>
          <w:szCs w:val="24"/>
          <w:lang w:val="sr-Cyrl-RS"/>
        </w:rPr>
        <w:t xml:space="preserve"> представља план за наставак реформи које ће омогућити повећање обухвата образовањем деце на свим </w:t>
      </w:r>
      <w:r w:rsidRPr="009B25E8">
        <w:rPr>
          <w:color w:val="000000"/>
          <w:szCs w:val="24"/>
          <w:lang w:val="sr-Cyrl-RS"/>
        </w:rPr>
        <w:t>нивоима (пре свега код средњошколаца,</w:t>
      </w:r>
      <w:r>
        <w:rPr>
          <w:color w:val="000000"/>
          <w:szCs w:val="24"/>
          <w:lang w:val="sr-Cyrl-RS"/>
        </w:rPr>
        <w:t xml:space="preserve"> </w:t>
      </w:r>
      <w:r w:rsidRPr="009B25E8">
        <w:rPr>
          <w:b/>
          <w:color w:val="000000"/>
          <w:szCs w:val="24"/>
          <w:lang w:val="sr-Cyrl-RS"/>
        </w:rPr>
        <w:t>обезбеђивањем услова за</w:t>
      </w:r>
      <w:r w:rsidRPr="009B25E8">
        <w:rPr>
          <w:color w:val="000000"/>
          <w:szCs w:val="24"/>
          <w:lang w:val="sr-Cyrl-RS"/>
        </w:rPr>
        <w:t xml:space="preserve"> </w:t>
      </w:r>
      <w:r w:rsidRPr="009B25E8">
        <w:rPr>
          <w:b/>
          <w:color w:val="000000"/>
          <w:szCs w:val="24"/>
          <w:lang w:val="sr-Cyrl-RS"/>
        </w:rPr>
        <w:t>увођење обавезног средњег образовања</w:t>
      </w:r>
      <w:r>
        <w:rPr>
          <w:rStyle w:val="FootnoteReference"/>
          <w:b/>
          <w:color w:val="000000"/>
          <w:szCs w:val="24"/>
          <w:lang w:val="sr-Cyrl-RS"/>
        </w:rPr>
        <w:footnoteReference w:id="112"/>
      </w:r>
      <w:r w:rsidRPr="009B25E8">
        <w:rPr>
          <w:color w:val="000000"/>
          <w:szCs w:val="24"/>
          <w:lang w:val="sr-Cyrl-RS"/>
        </w:rPr>
        <w:t>), неосипање осетљивих група из образовних кругова, боља постигнућа ученика, квалитетнији програм (одговор образовног система на захтеве тржишта рада) и бољ</w:t>
      </w:r>
      <w:r>
        <w:rPr>
          <w:color w:val="000000"/>
          <w:szCs w:val="24"/>
          <w:lang w:val="sr-Cyrl-RS"/>
        </w:rPr>
        <w:t>у</w:t>
      </w:r>
      <w:r w:rsidRPr="009B25E8">
        <w:rPr>
          <w:color w:val="000000"/>
          <w:szCs w:val="24"/>
          <w:lang w:val="sr-Cyrl-RS"/>
        </w:rPr>
        <w:t xml:space="preserve"> подршк</w:t>
      </w:r>
      <w:r>
        <w:rPr>
          <w:color w:val="000000"/>
          <w:szCs w:val="24"/>
          <w:lang w:val="sr-Cyrl-RS"/>
        </w:rPr>
        <w:t>у</w:t>
      </w:r>
      <w:r w:rsidRPr="009B25E8">
        <w:rPr>
          <w:color w:val="000000"/>
          <w:szCs w:val="24"/>
          <w:lang w:val="sr-Cyrl-RS"/>
        </w:rPr>
        <w:t xml:space="preserve"> наставницима.</w:t>
      </w:r>
    </w:p>
    <w:p w14:paraId="0BF4947C" w14:textId="77777777" w:rsidR="00DC7F92" w:rsidRDefault="00DC7F92" w:rsidP="00DC7F92">
      <w:pPr>
        <w:widowControl w:val="0"/>
        <w:spacing w:after="60"/>
        <w:rPr>
          <w:color w:val="000000"/>
          <w:szCs w:val="24"/>
          <w:lang w:val="sr-Cyrl-RS"/>
        </w:rPr>
      </w:pPr>
      <w:r w:rsidRPr="005D4646">
        <w:rPr>
          <w:b/>
          <w:color w:val="000000"/>
          <w:szCs w:val="24"/>
          <w:lang w:val="sr-Cyrl-RS"/>
        </w:rPr>
        <w:t>Садашња пракса матурских испита није стандардизована.</w:t>
      </w:r>
      <w:r w:rsidRPr="005D4646">
        <w:rPr>
          <w:color w:val="000000"/>
          <w:szCs w:val="24"/>
          <w:lang w:val="sr-Cyrl-RS"/>
        </w:rPr>
        <w:t xml:space="preserve"> </w:t>
      </w:r>
      <w:r w:rsidRPr="007F5A02">
        <w:rPr>
          <w:color w:val="000000"/>
          <w:szCs w:val="24"/>
          <w:lang w:val="sr-Cyrl-RS"/>
        </w:rPr>
        <w:t xml:space="preserve">Значајан системски корак у развоју средњег образовања је увођење </w:t>
      </w:r>
      <w:r w:rsidRPr="007F5A02">
        <w:rPr>
          <w:b/>
          <w:color w:val="000000"/>
          <w:szCs w:val="24"/>
          <w:lang w:val="sr-Cyrl-RS"/>
        </w:rPr>
        <w:t>државне матуре</w:t>
      </w:r>
      <w:r w:rsidRPr="007F5A02">
        <w:rPr>
          <w:rStyle w:val="FootnoteReference"/>
          <w:color w:val="000000"/>
          <w:szCs w:val="24"/>
          <w:lang w:val="sr-Cyrl-RS"/>
        </w:rPr>
        <w:footnoteReference w:id="113"/>
      </w:r>
      <w:r w:rsidRPr="007F5A02">
        <w:rPr>
          <w:color w:val="000000"/>
          <w:szCs w:val="24"/>
          <w:lang w:val="sr-Cyrl-RS"/>
        </w:rPr>
        <w:t xml:space="preserve"> </w:t>
      </w:r>
      <w:r>
        <w:rPr>
          <w:color w:val="000000"/>
          <w:szCs w:val="24"/>
        </w:rPr>
        <w:t>(о</w:t>
      </w:r>
      <w:r w:rsidRPr="007F5A02">
        <w:rPr>
          <w:color w:val="000000"/>
          <w:szCs w:val="24"/>
          <w:lang w:val="sr-Cyrl-RS"/>
        </w:rPr>
        <w:t xml:space="preserve">бухвата </w:t>
      </w:r>
      <w:r w:rsidRPr="007F5A02">
        <w:rPr>
          <w:b/>
          <w:color w:val="000000"/>
          <w:szCs w:val="24"/>
          <w:lang w:val="sr-Cyrl-RS"/>
        </w:rPr>
        <w:t>општу, стручну и уметничку матуру</w:t>
      </w:r>
      <w:r w:rsidRPr="007F5A02">
        <w:rPr>
          <w:color w:val="000000"/>
          <w:szCs w:val="24"/>
          <w:lang w:val="sr-Cyrl-RS"/>
        </w:rPr>
        <w:t xml:space="preserve"> </w:t>
      </w:r>
      <w:r w:rsidRPr="007F5A02">
        <w:rPr>
          <w:b/>
          <w:color w:val="000000"/>
          <w:szCs w:val="24"/>
          <w:lang w:val="sr-Cyrl-RS"/>
        </w:rPr>
        <w:t>и завршни испит</w:t>
      </w:r>
      <w:r>
        <w:rPr>
          <w:b/>
          <w:color w:val="000000"/>
          <w:szCs w:val="24"/>
          <w:lang w:val="sr-Cyrl-RS"/>
        </w:rPr>
        <w:t>)</w:t>
      </w:r>
      <w:r w:rsidRPr="007F5A02">
        <w:rPr>
          <w:color w:val="000000"/>
          <w:szCs w:val="24"/>
          <w:lang w:val="sr-Cyrl-RS"/>
        </w:rPr>
        <w:t>,</w:t>
      </w:r>
      <w:r>
        <w:rPr>
          <w:color w:val="000000"/>
          <w:szCs w:val="24"/>
          <w:lang w:val="sr-Cyrl-RS"/>
        </w:rPr>
        <w:t xml:space="preserve"> која ће, кроз стандардизацију, омогућити објективну процену квалитета образовања што је темељ за даље унапређење образовног система</w:t>
      </w:r>
      <w:r w:rsidRPr="007F5A02">
        <w:rPr>
          <w:color w:val="000000"/>
          <w:szCs w:val="24"/>
          <w:lang w:val="sr-Cyrl-RS"/>
        </w:rPr>
        <w:t xml:space="preserve">. </w:t>
      </w:r>
      <w:r w:rsidRPr="00D947FE">
        <w:rPr>
          <w:color w:val="000000"/>
          <w:szCs w:val="24"/>
          <w:lang w:val="sr-Cyrl-RS"/>
        </w:rPr>
        <w:t>Генерација ученика која је средњу школу уписала школске 2020/2021 прва ће полагати нове националне стандардизоване испите на крају средњег образовања. Они ученици који похађају средње стручне школе у трогодишњем трајању полагаће завршни испит у школској 2022/2023</w:t>
      </w:r>
      <w:r>
        <w:rPr>
          <w:color w:val="000000"/>
          <w:szCs w:val="24"/>
          <w:lang w:val="sr-Cyrl-RS"/>
        </w:rPr>
        <w:t>, док у</w:t>
      </w:r>
      <w:r w:rsidRPr="00D947FE">
        <w:rPr>
          <w:color w:val="000000"/>
          <w:szCs w:val="24"/>
          <w:lang w:val="sr-Cyrl-RS"/>
        </w:rPr>
        <w:t>ченици који иду</w:t>
      </w:r>
      <w:r>
        <w:rPr>
          <w:color w:val="000000"/>
          <w:szCs w:val="24"/>
          <w:lang w:val="sr-Cyrl-RS"/>
        </w:rPr>
        <w:t xml:space="preserve"> у четворогодишње средње школе (гимназије или</w:t>
      </w:r>
      <w:r w:rsidRPr="00D947FE">
        <w:rPr>
          <w:color w:val="000000"/>
          <w:szCs w:val="24"/>
          <w:lang w:val="sr-Cyrl-RS"/>
        </w:rPr>
        <w:t xml:space="preserve"> стручне школе</w:t>
      </w:r>
      <w:r>
        <w:rPr>
          <w:color w:val="000000"/>
          <w:szCs w:val="24"/>
          <w:lang w:val="sr-Cyrl-RS"/>
        </w:rPr>
        <w:t>)</w:t>
      </w:r>
      <w:r w:rsidRPr="00D947FE">
        <w:rPr>
          <w:color w:val="000000"/>
          <w:szCs w:val="24"/>
          <w:lang w:val="sr-Cyrl-RS"/>
        </w:rPr>
        <w:t xml:space="preserve"> полагаће општу, стручну или уметничку матуру крајем школске 2023/2024 године.</w:t>
      </w:r>
    </w:p>
    <w:p w14:paraId="40F10661" w14:textId="77777777" w:rsidR="00DC7F92" w:rsidRPr="00F553A4" w:rsidRDefault="00DC7F92" w:rsidP="00DC7F92">
      <w:pPr>
        <w:widowControl w:val="0"/>
        <w:spacing w:after="60"/>
        <w:rPr>
          <w:rFonts w:cs="Times New Roman"/>
          <w:color w:val="000000"/>
          <w:szCs w:val="24"/>
          <w:lang w:val="sr-Cyrl-RS"/>
        </w:rPr>
      </w:pPr>
      <w:r w:rsidRPr="00F553A4">
        <w:rPr>
          <w:rFonts w:cs="Times New Roman"/>
          <w:b/>
          <w:color w:val="000000"/>
          <w:szCs w:val="24"/>
          <w:lang w:val="sr-Cyrl-RS"/>
        </w:rPr>
        <w:t>Јавни расходи за образовање износе 3,56% БДП</w:t>
      </w:r>
      <w:r w:rsidRPr="00F553A4">
        <w:rPr>
          <w:rFonts w:cs="Times New Roman"/>
          <w:color w:val="000000"/>
          <w:szCs w:val="24"/>
          <w:lang w:val="sr-Cyrl-RS"/>
        </w:rPr>
        <w:t xml:space="preserve">-а у буџету за 2021. </w:t>
      </w:r>
      <w:r>
        <w:rPr>
          <w:rFonts w:cs="Times New Roman"/>
          <w:color w:val="000000"/>
          <w:szCs w:val="24"/>
          <w:lang w:val="sr-Cyrl-RS"/>
        </w:rPr>
        <w:t xml:space="preserve">годину </w:t>
      </w:r>
      <w:r w:rsidRPr="00F553A4">
        <w:rPr>
          <w:rFonts w:cs="Times New Roman"/>
          <w:color w:val="000000"/>
          <w:szCs w:val="24"/>
          <w:lang w:val="sr-Cyrl-RS"/>
        </w:rPr>
        <w:t xml:space="preserve">што чини ниво ових расхода стабилним у последњој деценији, али су испод просека јавних издвајања на нивоу ЕУ (који се крећу око 4,6% БДП). У укупним буџетским расходима, </w:t>
      </w:r>
      <w:r w:rsidRPr="00F553A4">
        <w:rPr>
          <w:rFonts w:cs="Times New Roman"/>
          <w:color w:val="000000"/>
          <w:szCs w:val="24"/>
          <w:lang w:val="sr-Cyrl-RS"/>
        </w:rPr>
        <w:lastRenderedPageBreak/>
        <w:t>расходи за образовање учествују са 14,2%</w:t>
      </w:r>
      <w:r w:rsidRPr="00F553A4">
        <w:rPr>
          <w:rFonts w:cs="Times New Roman"/>
          <w:color w:val="000000"/>
          <w:szCs w:val="24"/>
          <w:vertAlign w:val="superscript"/>
          <w:lang w:val="sr-Cyrl-RS"/>
        </w:rPr>
        <w:footnoteReference w:id="114"/>
      </w:r>
      <w:r w:rsidRPr="00F553A4">
        <w:rPr>
          <w:rFonts w:cs="Times New Roman"/>
          <w:color w:val="000000"/>
          <w:szCs w:val="24"/>
          <w:lang w:val="sr-Cyrl-RS"/>
        </w:rPr>
        <w:t>.</w:t>
      </w:r>
    </w:p>
    <w:p w14:paraId="798E8CF4" w14:textId="77777777" w:rsidR="00DC7F92" w:rsidRPr="008A5D99" w:rsidRDefault="00DC7F92" w:rsidP="00DC7F92">
      <w:pPr>
        <w:widowControl w:val="0"/>
        <w:spacing w:after="60"/>
        <w:rPr>
          <w:color w:val="000000"/>
          <w:szCs w:val="24"/>
          <w:lang w:val="sr-Cyrl-RS"/>
        </w:rPr>
      </w:pPr>
      <w:r w:rsidRPr="008A5D99">
        <w:rPr>
          <w:color w:val="000000"/>
          <w:szCs w:val="24"/>
          <w:lang w:val="sr-Cyrl-RS"/>
        </w:rPr>
        <w:t xml:space="preserve">У пандемијским условима школске </w:t>
      </w:r>
      <w:r w:rsidRPr="008A5D99">
        <w:rPr>
          <w:color w:val="000000"/>
          <w:szCs w:val="24"/>
          <w:lang w:val="sr-Latn-RS"/>
        </w:rPr>
        <w:t>2020/</w:t>
      </w:r>
      <w:r>
        <w:rPr>
          <w:color w:val="000000"/>
          <w:szCs w:val="24"/>
          <w:lang w:val="sr-Cyrl-RS"/>
        </w:rPr>
        <w:t>20</w:t>
      </w:r>
      <w:r w:rsidRPr="008A5D99">
        <w:rPr>
          <w:color w:val="000000"/>
          <w:szCs w:val="24"/>
          <w:lang w:val="sr-Latn-RS"/>
        </w:rPr>
        <w:t xml:space="preserve">21 </w:t>
      </w:r>
      <w:r w:rsidRPr="008A5D99">
        <w:rPr>
          <w:color w:val="000000"/>
          <w:szCs w:val="24"/>
          <w:lang w:val="sr-Cyrl-RS"/>
        </w:rPr>
        <w:t>године, настава се у основним школама одвијала тако што ученици првог циклуса (од 1-4. разреда) свакодневно похађали наставу у одељењима подељеним у групе (уколико одељење броји преко 18 ученика), док се у другом циклусу</w:t>
      </w:r>
      <w:r w:rsidRPr="008A5D99" w:rsidDel="00483A04">
        <w:rPr>
          <w:color w:val="000000"/>
          <w:szCs w:val="24"/>
          <w:lang w:val="sr-Cyrl-RS"/>
        </w:rPr>
        <w:t xml:space="preserve"> </w:t>
      </w:r>
      <w:r w:rsidRPr="008A5D99">
        <w:rPr>
          <w:color w:val="000000"/>
          <w:szCs w:val="24"/>
          <w:lang w:val="sr-Cyrl-RS"/>
        </w:rPr>
        <w:t>образовања (од 5-8. разреда) настава по комбинованом моделу похађала тако што су одељења подељена у две групе и неизменично (сваког другог дана) похађала непосредну нас</w:t>
      </w:r>
      <w:r>
        <w:rPr>
          <w:color w:val="000000"/>
          <w:szCs w:val="24"/>
          <w:lang w:val="sr-Cyrl-RS"/>
        </w:rPr>
        <w:t>таву у школи и онлајн наставу.</w:t>
      </w:r>
    </w:p>
    <w:p w14:paraId="6CC2650C" w14:textId="77777777" w:rsidR="00DC7F92" w:rsidRPr="008A5D99" w:rsidRDefault="00DC7F92" w:rsidP="00DC7F92">
      <w:pPr>
        <w:widowControl w:val="0"/>
        <w:spacing w:after="60"/>
        <w:rPr>
          <w:color w:val="000000"/>
          <w:szCs w:val="24"/>
        </w:rPr>
      </w:pPr>
      <w:r w:rsidRPr="008A5D99">
        <w:rPr>
          <w:color w:val="000000"/>
          <w:szCs w:val="24"/>
          <w:lang w:val="sr-Cyrl-RS"/>
        </w:rPr>
        <w:t xml:space="preserve">Високошколске установе у Србији </w:t>
      </w:r>
      <w:r>
        <w:rPr>
          <w:color w:val="000000"/>
          <w:szCs w:val="24"/>
          <w:lang w:val="sr-Cyrl-RS"/>
        </w:rPr>
        <w:t>су у академској 2020/2021</w:t>
      </w:r>
      <w:r w:rsidRPr="008A5D99">
        <w:rPr>
          <w:color w:val="000000"/>
          <w:szCs w:val="24"/>
          <w:lang w:val="sr-Cyrl-RS"/>
        </w:rPr>
        <w:t xml:space="preserve"> години ускладиле наставни процес са епидемиолошком ситуацијом у земљи и већина је прешла на „комбиновани“ модел наставе. Један део наставе се изводи у просторијама високошколске установе</w:t>
      </w:r>
      <w:r>
        <w:rPr>
          <w:color w:val="000000"/>
          <w:szCs w:val="24"/>
          <w:lang w:val="sr-Cyrl-RS"/>
        </w:rPr>
        <w:t>,</w:t>
      </w:r>
      <w:r w:rsidRPr="008A5D99">
        <w:rPr>
          <w:color w:val="000000"/>
          <w:szCs w:val="24"/>
          <w:lang w:val="sr-Cyrl-RS"/>
        </w:rPr>
        <w:t xml:space="preserve"> док се други део наставе одржава онлајн. Теоријско градиво се може релативно ефикасно пренети и путем онлајн наставе</w:t>
      </w:r>
      <w:r>
        <w:rPr>
          <w:color w:val="000000"/>
          <w:szCs w:val="24"/>
          <w:lang w:val="sr-Cyrl-RS"/>
        </w:rPr>
        <w:t>,</w:t>
      </w:r>
      <w:r w:rsidRPr="008A5D99">
        <w:rPr>
          <w:color w:val="000000"/>
          <w:szCs w:val="24"/>
          <w:lang w:val="sr-Cyrl-RS"/>
        </w:rPr>
        <w:t xml:space="preserve"> док је потребно да се практична настава (као нпр. лабораторијске вежбе) изводи у просторијама високошколских установа.</w:t>
      </w:r>
    </w:p>
    <w:p w14:paraId="78AB79AA" w14:textId="77777777" w:rsidR="00DC7F92" w:rsidRPr="00956321" w:rsidRDefault="00DC7F92" w:rsidP="00DC7F92">
      <w:pPr>
        <w:widowControl w:val="0"/>
        <w:spacing w:after="60"/>
        <w:rPr>
          <w:color w:val="000000"/>
          <w:szCs w:val="24"/>
          <w:lang w:val="sr-Cyrl-RS"/>
        </w:rPr>
      </w:pPr>
      <w:r w:rsidRPr="0052270A">
        <w:rPr>
          <w:szCs w:val="24"/>
          <w:lang w:val="sr-Cyrl-RS"/>
        </w:rPr>
        <w:t xml:space="preserve">Целокупан образовни систем ће и у школској 2021/2022 морати да нађе </w:t>
      </w:r>
      <w:r w:rsidRPr="0052270A">
        <w:rPr>
          <w:b/>
          <w:bCs/>
          <w:szCs w:val="24"/>
          <w:lang w:val="sr-Cyrl-RS"/>
        </w:rPr>
        <w:t>баланс</w:t>
      </w:r>
      <w:r w:rsidRPr="0052270A">
        <w:rPr>
          <w:szCs w:val="24"/>
          <w:lang w:val="sr-Cyrl-RS"/>
        </w:rPr>
        <w:t xml:space="preserve"> између два приоритета: </w:t>
      </w:r>
      <w:r w:rsidRPr="0052270A">
        <w:rPr>
          <w:b/>
          <w:bCs/>
          <w:szCs w:val="24"/>
          <w:lang w:val="sr-Cyrl-RS"/>
        </w:rPr>
        <w:t>наставка образовног процеса</w:t>
      </w:r>
      <w:r w:rsidRPr="0052270A">
        <w:rPr>
          <w:szCs w:val="24"/>
          <w:lang w:val="sr-Cyrl-RS"/>
        </w:rPr>
        <w:t xml:space="preserve"> и очувања знања код ученика са једне стране, и </w:t>
      </w:r>
      <w:r w:rsidRPr="0052270A">
        <w:rPr>
          <w:b/>
          <w:bCs/>
          <w:szCs w:val="24"/>
          <w:lang w:val="sr-Cyrl-RS"/>
        </w:rPr>
        <w:t>заштите целокупне ученичке популације од пандемије Ковид-19</w:t>
      </w:r>
      <w:r w:rsidRPr="0052270A">
        <w:rPr>
          <w:szCs w:val="24"/>
          <w:lang w:val="sr-Cyrl-RS"/>
        </w:rPr>
        <w:t xml:space="preserve"> са друге </w:t>
      </w:r>
      <w:r w:rsidRPr="001A6D13">
        <w:rPr>
          <w:szCs w:val="24"/>
          <w:lang w:val="sr-Cyrl-RS"/>
        </w:rPr>
        <w:t xml:space="preserve">стране. Настава доступна путем канала јавног сервиса је равноправнија (са аспекта доступности телевизора), али је мање ефективна због недостатка интеракције, док је са друге стране настава путем интернета интерактивна, али има нижи степен равноправности јер мањи број деце, поготову из маргинализованих група, има приступ интернету. За све ученике од 3-ћег до 6-тог разреда београдских основних школа на почетку школске 2021/2022 обезбеђени су таблети </w:t>
      </w:r>
      <w:r>
        <w:rPr>
          <w:color w:val="000000"/>
          <w:szCs w:val="24"/>
          <w:lang w:val="sr-Cyrl-RS"/>
        </w:rPr>
        <w:t>за праћење наставе (са картицом за бесплатни интернет), као и дигитални уџбеници.</w:t>
      </w:r>
    </w:p>
    <w:p w14:paraId="656755C8" w14:textId="77777777" w:rsidR="00DC7F92" w:rsidRDefault="00DC7F92" w:rsidP="00DC7F92">
      <w:pPr>
        <w:widowControl w:val="0"/>
        <w:spacing w:after="60"/>
        <w:rPr>
          <w:szCs w:val="24"/>
          <w:lang w:val="sr-Cyrl-RS"/>
        </w:rPr>
      </w:pPr>
      <w:r w:rsidRPr="001A6D13">
        <w:rPr>
          <w:b/>
          <w:szCs w:val="24"/>
          <w:lang w:val="sr-Cyrl-RS"/>
        </w:rPr>
        <w:t>Опремање школа ИКТ опремом и обезбеђивање интернета школама широм Србије су неопходни предуслови за дигитализацију просвете.</w:t>
      </w:r>
      <w:r w:rsidRPr="00583055">
        <w:rPr>
          <w:szCs w:val="24"/>
          <w:lang w:val="sr-Cyrl-RS"/>
        </w:rPr>
        <w:t xml:space="preserve"> Предности које дигиталне технологије пружају искоришћене су за унапређење наставног процеса кроз </w:t>
      </w:r>
      <w:r w:rsidRPr="00583055">
        <w:rPr>
          <w:bCs/>
          <w:szCs w:val="24"/>
          <w:lang w:val="sr-Cyrl-RS"/>
        </w:rPr>
        <w:t xml:space="preserve">увођење дигиталних наставних садржаја односно различитих сервиса и већом применом ИКТ-а у школама. </w:t>
      </w:r>
      <w:r w:rsidRPr="00A81BE6">
        <w:rPr>
          <w:bCs/>
          <w:szCs w:val="24"/>
          <w:lang w:val="sr-Cyrl-RS"/>
        </w:rPr>
        <w:t>Наставља се са активностима на обезбеђивању</w:t>
      </w:r>
      <w:r w:rsidRPr="00A81BE6">
        <w:rPr>
          <w:b/>
          <w:szCs w:val="24"/>
          <w:lang w:val="sr-Cyrl-RS"/>
        </w:rPr>
        <w:t xml:space="preserve"> дигиталних образовних садржаја </w:t>
      </w:r>
      <w:r w:rsidRPr="00583055">
        <w:rPr>
          <w:b/>
          <w:szCs w:val="24"/>
          <w:lang w:val="sr-Cyrl-RS"/>
        </w:rPr>
        <w:t xml:space="preserve">– дигиталних уџбеника који се обезбеђују </w:t>
      </w:r>
      <w:r w:rsidRPr="00583055">
        <w:rPr>
          <w:bCs/>
          <w:szCs w:val="24"/>
          <w:lang w:val="sr-Cyrl-RS"/>
        </w:rPr>
        <w:t xml:space="preserve">за све ученике који образовање стичу по реформисаним плановима и програмима </w:t>
      </w:r>
      <w:r w:rsidRPr="00404F66">
        <w:rPr>
          <w:bCs/>
          <w:szCs w:val="24"/>
          <w:lang w:val="sr-Cyrl-RS"/>
        </w:rPr>
        <w:t>(у школској 2020/</w:t>
      </w:r>
      <w:r>
        <w:rPr>
          <w:bCs/>
          <w:szCs w:val="24"/>
          <w:lang w:val="sr-Cyrl-RS"/>
        </w:rPr>
        <w:t>20</w:t>
      </w:r>
      <w:r w:rsidRPr="00404F66">
        <w:rPr>
          <w:bCs/>
          <w:szCs w:val="24"/>
          <w:lang w:val="sr-Cyrl-RS"/>
        </w:rPr>
        <w:t>21 години су то први, други, трећи, пети, шести и седми разред), као</w:t>
      </w:r>
      <w:r w:rsidRPr="00583055">
        <w:rPr>
          <w:bCs/>
          <w:szCs w:val="24"/>
          <w:lang w:val="sr-Cyrl-RS"/>
        </w:rPr>
        <w:t xml:space="preserve"> и</w:t>
      </w:r>
      <w:r w:rsidRPr="00583055">
        <w:rPr>
          <w:b/>
          <w:szCs w:val="24"/>
          <w:lang w:val="sr-Cyrl-RS"/>
        </w:rPr>
        <w:t xml:space="preserve"> на развоју </w:t>
      </w:r>
      <w:r>
        <w:rPr>
          <w:b/>
          <w:szCs w:val="24"/>
          <w:lang w:val="sr-Cyrl-RS"/>
        </w:rPr>
        <w:t>Ј</w:t>
      </w:r>
      <w:r w:rsidRPr="00583055">
        <w:rPr>
          <w:b/>
          <w:szCs w:val="24"/>
          <w:lang w:val="sr-Cyrl-RS"/>
        </w:rPr>
        <w:t>единственог информационог система просвете</w:t>
      </w:r>
      <w:r>
        <w:rPr>
          <w:b/>
          <w:szCs w:val="24"/>
          <w:lang w:val="sr-Cyrl-RS"/>
        </w:rPr>
        <w:t xml:space="preserve"> </w:t>
      </w:r>
      <w:r w:rsidRPr="007F1067">
        <w:rPr>
          <w:szCs w:val="24"/>
          <w:lang w:val="sr-Cyrl-RS"/>
        </w:rPr>
        <w:t>(ЈИСП),</w:t>
      </w:r>
      <w:r w:rsidRPr="00583055">
        <w:rPr>
          <w:szCs w:val="24"/>
          <w:lang w:val="sr-Cyrl-RS"/>
        </w:rPr>
        <w:t xml:space="preserve"> а у циљу обезбеђивања квалитетног и ефикасног система образовања и васпитања уз рационализацију финансирања и смањење административног оптерећења </w:t>
      </w:r>
      <w:r w:rsidRPr="00A81BE6">
        <w:rPr>
          <w:szCs w:val="24"/>
          <w:lang w:val="sr-Cyrl-RS"/>
        </w:rPr>
        <w:t xml:space="preserve">запослених. </w:t>
      </w:r>
      <w:r w:rsidRPr="00A81BE6">
        <w:rPr>
          <w:b/>
          <w:szCs w:val="24"/>
          <w:lang w:val="sr-Cyrl-RS"/>
        </w:rPr>
        <w:t>ЈИСП је пуштен у продукцију 31. марта 2021.</w:t>
      </w:r>
      <w:r w:rsidRPr="00A81BE6">
        <w:rPr>
          <w:szCs w:val="24"/>
          <w:lang w:val="sr-Cyrl-RS"/>
        </w:rPr>
        <w:t xml:space="preserve"> а образовне установе тренутно уносе податке делом ручно а делом кроз интеграцију својих информационих система. </w:t>
      </w:r>
    </w:p>
    <w:p w14:paraId="4852D091" w14:textId="77777777" w:rsidR="00DC7F92" w:rsidRPr="00DF689B" w:rsidRDefault="00DC7F92" w:rsidP="00DC7F92">
      <w:pPr>
        <w:widowControl w:val="0"/>
        <w:spacing w:after="60"/>
        <w:rPr>
          <w:szCs w:val="24"/>
          <w:highlight w:val="yellow"/>
        </w:rPr>
      </w:pPr>
      <w:r w:rsidRPr="00A81BE6">
        <w:rPr>
          <w:szCs w:val="24"/>
          <w:lang w:val="sr-Cyrl-RS"/>
        </w:rPr>
        <w:t>Итеграција ЈИСП-а са ЦРОСО је такође у току, а aутоматска размена података биће омогућена након пуне имплементације ЈИСП-а и уноса свих планираних података у њега.</w:t>
      </w:r>
      <w:r w:rsidRPr="00A81BE6">
        <w:rPr>
          <w:szCs w:val="24"/>
        </w:rPr>
        <w:t xml:space="preserve"> </w:t>
      </w:r>
      <w:r w:rsidRPr="00A81BE6">
        <w:rPr>
          <w:color w:val="000000"/>
          <w:szCs w:val="24"/>
          <w:lang w:val="sr-Cyrl-RS"/>
        </w:rPr>
        <w:t>У</w:t>
      </w:r>
      <w:r w:rsidRPr="00583055">
        <w:rPr>
          <w:color w:val="000000"/>
          <w:szCs w:val="24"/>
          <w:lang w:val="sr-Cyrl-RS"/>
        </w:rPr>
        <w:t xml:space="preserve"> циљу побољшања дигиталних компетенција </w:t>
      </w:r>
      <w:r w:rsidRPr="00243B63">
        <w:rPr>
          <w:color w:val="000000"/>
          <w:szCs w:val="24"/>
          <w:lang w:val="sr-Cyrl-RS"/>
        </w:rPr>
        <w:t>професора</w:t>
      </w:r>
      <w:r>
        <w:rPr>
          <w:color w:val="000000"/>
          <w:szCs w:val="24"/>
          <w:lang w:val="sr-Cyrl-RS"/>
        </w:rPr>
        <w:t>,</w:t>
      </w:r>
      <w:r w:rsidRPr="00583055">
        <w:rPr>
          <w:color w:val="000000"/>
          <w:szCs w:val="24"/>
          <w:lang w:val="sr-Cyrl-RS"/>
        </w:rPr>
        <w:t xml:space="preserve"> постоји посебан наставни план и програм за развој дигиталних вештина</w:t>
      </w:r>
      <w:r>
        <w:rPr>
          <w:rStyle w:val="FootnoteReference"/>
          <w:color w:val="000000"/>
          <w:szCs w:val="24"/>
          <w:lang w:val="sr-Cyrl-RS"/>
        </w:rPr>
        <w:footnoteReference w:id="115"/>
      </w:r>
      <w:r w:rsidRPr="00583055">
        <w:rPr>
          <w:color w:val="000000"/>
          <w:szCs w:val="24"/>
          <w:lang w:val="sr-Cyrl-RS"/>
        </w:rPr>
        <w:t xml:space="preserve">, а такође се проверава њихова дигитална </w:t>
      </w:r>
      <w:r w:rsidRPr="00DF689B">
        <w:rPr>
          <w:szCs w:val="24"/>
          <w:lang w:val="sr-Cyrl-RS"/>
        </w:rPr>
        <w:t xml:space="preserve">компетенција. </w:t>
      </w:r>
    </w:p>
    <w:p w14:paraId="2C182EA2" w14:textId="77777777"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36C1BC2B" w14:textId="77777777" w:rsidR="00DC7F92" w:rsidRDefault="00DC7F92" w:rsidP="00DC7F92">
      <w:pPr>
        <w:spacing w:before="120"/>
        <w:rPr>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20</w:t>
      </w:r>
      <w:r w:rsidRPr="00CF374E">
        <w:rPr>
          <w:rFonts w:cs="Times New Roman"/>
          <w:b/>
          <w:szCs w:val="24"/>
          <w:lang w:val="sr-Cyrl-RS"/>
        </w:rPr>
        <w:t>:</w:t>
      </w:r>
      <w:r>
        <w:rPr>
          <w:rFonts w:cs="Times New Roman"/>
          <w:b/>
          <w:szCs w:val="24"/>
          <w:lang w:val="sr-Cyrl-RS"/>
        </w:rPr>
        <w:t xml:space="preserve"> </w:t>
      </w:r>
      <w:r w:rsidRPr="00CF374E">
        <w:rPr>
          <w:rFonts w:cs="Times New Roman"/>
          <w:szCs w:val="24"/>
          <w:lang w:val="sr-Cyrl-RS"/>
        </w:rPr>
        <w:t>ДИГИТАЛИЗАЦИЈА СИСТЕМА ОБРАЗОВАЊА И УВОЂЕЊЕ ЈЕДИНСТВЕНОГ ИНФОРМАЦИОНОГ СИСТЕМА</w:t>
      </w:r>
      <w:r>
        <w:rPr>
          <w:rFonts w:cs="Times New Roman"/>
          <w:szCs w:val="24"/>
          <w:lang w:val="sr-Cyrl-RS"/>
        </w:rPr>
        <w:t xml:space="preserve"> </w:t>
      </w:r>
      <w:r w:rsidRPr="0014671A">
        <w:rPr>
          <w:rFonts w:cs="Times New Roman"/>
          <w:szCs w:val="24"/>
          <w:lang w:val="sr-Cyrl-RS"/>
        </w:rPr>
        <w:t>ПРОСВЕТЕ</w:t>
      </w:r>
      <w:r w:rsidRPr="00CF374E">
        <w:rPr>
          <w:rFonts w:cs="Times New Roman"/>
          <w:szCs w:val="24"/>
          <w:lang w:val="sr-Cyrl-RS"/>
        </w:rPr>
        <w:t xml:space="preserve"> </w:t>
      </w:r>
    </w:p>
    <w:p w14:paraId="415C83C1"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15375D8E" w14:textId="77777777" w:rsidR="00DC7F92" w:rsidRPr="0030354E" w:rsidRDefault="00DC7F92" w:rsidP="00DC7F92">
      <w:pPr>
        <w:spacing w:after="60"/>
        <w:rPr>
          <w:rFonts w:eastAsia="Times New Roman" w:cs="Times New Roman"/>
          <w:szCs w:val="24"/>
          <w:lang w:val="sr-Latn-RS"/>
        </w:rPr>
      </w:pPr>
      <w:r w:rsidRPr="0030354E">
        <w:rPr>
          <w:rFonts w:eastAsia="Times New Roman" w:cs="Times New Roman"/>
          <w:szCs w:val="24"/>
          <w:lang w:val="sr-Cyrl-RS"/>
        </w:rPr>
        <w:lastRenderedPageBreak/>
        <w:t xml:space="preserve">Основни циљ ове реформе је осавремењивање система образовања и васпитања кроз увођење савремених дигиталних технологија, које треба да обезбеде </w:t>
      </w:r>
      <w:r>
        <w:rPr>
          <w:rFonts w:eastAsia="Times New Roman" w:cs="Times New Roman"/>
          <w:szCs w:val="24"/>
          <w:lang w:val="sr-Cyrl-RS"/>
        </w:rPr>
        <w:t>виши</w:t>
      </w:r>
      <w:r w:rsidRPr="0030354E">
        <w:rPr>
          <w:rFonts w:eastAsia="Times New Roman" w:cs="Times New Roman"/>
          <w:szCs w:val="24"/>
          <w:lang w:val="sr-Cyrl-RS"/>
        </w:rPr>
        <w:t xml:space="preserve"> ниво остварености исхода учења и подизање квалитета дигиталних компетенција младих</w:t>
      </w:r>
      <w:r>
        <w:rPr>
          <w:rFonts w:eastAsia="Times New Roman" w:cs="Times New Roman"/>
          <w:szCs w:val="24"/>
          <w:lang w:val="sr-Cyrl-RS"/>
        </w:rPr>
        <w:t>,</w:t>
      </w:r>
      <w:r w:rsidRPr="0030354E">
        <w:rPr>
          <w:rFonts w:eastAsia="Times New Roman" w:cs="Times New Roman"/>
          <w:szCs w:val="24"/>
          <w:lang w:val="sr-Cyrl-RS"/>
        </w:rPr>
        <w:t xml:space="preserve"> омогућавајући им конкурентност на тржишту рада кроз дигиталну трансформацију. Предности које дигиталне технологије могу да пруже биће искоришћене за унапређење наставног процеса кроз увођење дигиталних наставних садржаја, као и успостављање </w:t>
      </w:r>
      <w:r w:rsidRPr="008D1DFC">
        <w:rPr>
          <w:rFonts w:eastAsia="Times New Roman" w:cs="Times New Roman"/>
          <w:i/>
          <w:szCs w:val="24"/>
          <w:lang w:val="sr-Cyrl-RS"/>
        </w:rPr>
        <w:t>Јединственог информационог система у просвети</w:t>
      </w:r>
      <w:r w:rsidRPr="0030354E">
        <w:rPr>
          <w:rFonts w:eastAsia="Times New Roman" w:cs="Times New Roman"/>
          <w:szCs w:val="24"/>
          <w:lang w:val="sr-Cyrl-RS"/>
        </w:rPr>
        <w:t xml:space="preserve"> (ЈИСП) који представља основу за модернизацију управљања, доношење одлука на основу информација у циљу обезбеђивања квалитетног и ефикасног система образовања и васпитања уз рационализацију финансирања и смањење административног оптерећења свих запослених у систему образовања и васпитања. </w:t>
      </w:r>
      <w:r>
        <w:rPr>
          <w:rFonts w:eastAsia="Times New Roman" w:cs="Times New Roman"/>
          <w:szCs w:val="24"/>
          <w:lang w:val="sr-Cyrl-RS"/>
        </w:rPr>
        <w:t>ЈИСП</w:t>
      </w:r>
      <w:r w:rsidRPr="0030354E">
        <w:rPr>
          <w:rFonts w:eastAsia="Times New Roman" w:cs="Times New Roman"/>
          <w:szCs w:val="24"/>
          <w:lang w:val="sr-Cyrl-RS"/>
        </w:rPr>
        <w:t xml:space="preserve"> обухвата интеграцију са Централним регистром обавезног социјалног осигурања, што омогућава праћење свршених ученика и студената на тржишту рада. Анализе настале на основу података добијених из овог система допринеће креирању обавезних политика на основу потреба тржишта рада.</w:t>
      </w:r>
      <w:r>
        <w:rPr>
          <w:rFonts w:eastAsia="Times New Roman" w:cs="Times New Roman"/>
          <w:szCs w:val="24"/>
          <w:lang w:val="sr-Latn-RS"/>
        </w:rPr>
        <w:t xml:space="preserve"> </w:t>
      </w:r>
      <w:r w:rsidRPr="0030354E">
        <w:rPr>
          <w:rFonts w:eastAsia="Times New Roman" w:cs="Times New Roman"/>
          <w:szCs w:val="24"/>
          <w:lang w:val="sr-Latn-RS"/>
        </w:rPr>
        <w:t>Основни регист</w:t>
      </w:r>
      <w:r>
        <w:rPr>
          <w:rFonts w:eastAsia="Times New Roman" w:cs="Times New Roman"/>
          <w:szCs w:val="24"/>
          <w:lang w:val="sr-Cyrl-RS"/>
        </w:rPr>
        <w:t>р</w:t>
      </w:r>
      <w:r w:rsidRPr="0030354E">
        <w:rPr>
          <w:rFonts w:eastAsia="Times New Roman" w:cs="Times New Roman"/>
          <w:szCs w:val="24"/>
          <w:lang w:val="sr-Latn-RS"/>
        </w:rPr>
        <w:t>и који омогућавају</w:t>
      </w:r>
      <w:r>
        <w:rPr>
          <w:rFonts w:eastAsia="Times New Roman" w:cs="Times New Roman"/>
          <w:szCs w:val="24"/>
          <w:lang w:val="sr-Cyrl-RS"/>
        </w:rPr>
        <w:t xml:space="preserve"> </w:t>
      </w:r>
      <w:r w:rsidRPr="0030354E">
        <w:rPr>
          <w:rFonts w:eastAsia="Times New Roman" w:cs="Times New Roman"/>
          <w:szCs w:val="24"/>
          <w:lang w:val="sr-Latn-RS"/>
        </w:rPr>
        <w:t xml:space="preserve">унос података од стране корисника (васпитно-образовних </w:t>
      </w:r>
      <w:r>
        <w:rPr>
          <w:rFonts w:eastAsia="Times New Roman" w:cs="Times New Roman"/>
          <w:szCs w:val="24"/>
          <w:lang w:val="sr-Cyrl-RS"/>
        </w:rPr>
        <w:t xml:space="preserve">и образовно – васпитних </w:t>
      </w:r>
      <w:r w:rsidRPr="0030354E">
        <w:rPr>
          <w:rFonts w:eastAsia="Times New Roman" w:cs="Times New Roman"/>
          <w:szCs w:val="24"/>
          <w:lang w:val="sr-Latn-RS"/>
        </w:rPr>
        <w:t>установа) су успостављени</w:t>
      </w:r>
      <w:r>
        <w:rPr>
          <w:rFonts w:eastAsia="Times New Roman" w:cs="Times New Roman"/>
          <w:szCs w:val="24"/>
          <w:lang w:val="sr-Cyrl-RS"/>
        </w:rPr>
        <w:t>. У</w:t>
      </w:r>
      <w:r w:rsidRPr="0030354E">
        <w:rPr>
          <w:rFonts w:eastAsia="Times New Roman" w:cs="Times New Roman"/>
          <w:szCs w:val="24"/>
          <w:lang w:val="sr-Latn-RS"/>
        </w:rPr>
        <w:t xml:space="preserve"> наредном периоду </w:t>
      </w:r>
      <w:r>
        <w:rPr>
          <w:rFonts w:eastAsia="Times New Roman" w:cs="Times New Roman"/>
          <w:szCs w:val="24"/>
          <w:lang w:val="sr-Cyrl-RS"/>
        </w:rPr>
        <w:t xml:space="preserve">радиће се на </w:t>
      </w:r>
      <w:r w:rsidRPr="0030354E">
        <w:rPr>
          <w:rFonts w:eastAsia="Times New Roman" w:cs="Times New Roman"/>
          <w:szCs w:val="24"/>
          <w:lang w:val="sr-Latn-RS"/>
        </w:rPr>
        <w:t>разв</w:t>
      </w:r>
      <w:r>
        <w:rPr>
          <w:rFonts w:eastAsia="Times New Roman" w:cs="Times New Roman"/>
          <w:szCs w:val="24"/>
          <w:lang w:val="sr-Cyrl-RS"/>
        </w:rPr>
        <w:t>оју</w:t>
      </w:r>
      <w:r w:rsidRPr="0030354E">
        <w:rPr>
          <w:rFonts w:eastAsia="Times New Roman" w:cs="Times New Roman"/>
          <w:szCs w:val="24"/>
          <w:lang w:val="sr-Latn-RS"/>
        </w:rPr>
        <w:t xml:space="preserve"> и успоставља</w:t>
      </w:r>
      <w:r>
        <w:rPr>
          <w:rFonts w:eastAsia="Times New Roman" w:cs="Times New Roman"/>
          <w:szCs w:val="24"/>
          <w:lang w:val="sr-Cyrl-RS"/>
        </w:rPr>
        <w:t>њу</w:t>
      </w:r>
      <w:r w:rsidRPr="0030354E">
        <w:rPr>
          <w:rFonts w:eastAsia="Times New Roman" w:cs="Times New Roman"/>
          <w:szCs w:val="24"/>
          <w:lang w:val="sr-Latn-RS"/>
        </w:rPr>
        <w:t xml:space="preserve"> додатни</w:t>
      </w:r>
      <w:r>
        <w:rPr>
          <w:rFonts w:eastAsia="Times New Roman" w:cs="Times New Roman"/>
          <w:szCs w:val="24"/>
          <w:lang w:val="sr-Cyrl-RS"/>
        </w:rPr>
        <w:t>х</w:t>
      </w:r>
      <w:r w:rsidRPr="0030354E">
        <w:rPr>
          <w:rFonts w:eastAsia="Times New Roman" w:cs="Times New Roman"/>
          <w:szCs w:val="24"/>
          <w:lang w:val="sr-Latn-RS"/>
        </w:rPr>
        <w:t xml:space="preserve"> модул</w:t>
      </w:r>
      <w:r>
        <w:rPr>
          <w:rFonts w:eastAsia="Times New Roman" w:cs="Times New Roman"/>
          <w:szCs w:val="24"/>
          <w:lang w:val="sr-Cyrl-RS"/>
        </w:rPr>
        <w:t>а</w:t>
      </w:r>
      <w:r w:rsidRPr="0030354E">
        <w:rPr>
          <w:rFonts w:eastAsia="Times New Roman" w:cs="Times New Roman"/>
          <w:szCs w:val="24"/>
          <w:lang w:val="sr-Latn-RS"/>
        </w:rPr>
        <w:t xml:space="preserve"> који ће омогућити анализе података и извештаје за доносиоце одлука.</w:t>
      </w:r>
    </w:p>
    <w:p w14:paraId="080CCD48" w14:textId="77777777" w:rsidR="00DC7F92" w:rsidRDefault="00DC7F92" w:rsidP="00DC7F92">
      <w:pPr>
        <w:spacing w:after="60"/>
        <w:rPr>
          <w:rFonts w:eastAsia="Times New Roman" w:cs="Times New Roman"/>
          <w:szCs w:val="24"/>
          <w:lang w:val="sr-Latn-RS"/>
        </w:rPr>
      </w:pPr>
      <w:r>
        <w:rPr>
          <w:rFonts w:eastAsia="Times New Roman" w:cs="Times New Roman"/>
          <w:szCs w:val="24"/>
          <w:lang w:val="sr-Cyrl-RS"/>
        </w:rPr>
        <w:t>П</w:t>
      </w:r>
      <w:r w:rsidRPr="0030354E">
        <w:rPr>
          <w:rFonts w:eastAsia="Times New Roman" w:cs="Times New Roman"/>
          <w:szCs w:val="24"/>
          <w:lang w:val="sr-Latn-RS"/>
        </w:rPr>
        <w:t>редвиђен</w:t>
      </w:r>
      <w:r>
        <w:rPr>
          <w:rFonts w:eastAsia="Times New Roman" w:cs="Times New Roman"/>
          <w:szCs w:val="24"/>
          <w:lang w:val="sr-Cyrl-RS"/>
        </w:rPr>
        <w:t xml:space="preserve"> је и</w:t>
      </w:r>
      <w:r w:rsidRPr="0030354E">
        <w:rPr>
          <w:rFonts w:eastAsia="Times New Roman" w:cs="Times New Roman"/>
          <w:szCs w:val="24"/>
          <w:lang w:val="sr-Latn-RS"/>
        </w:rPr>
        <w:t xml:space="preserve"> разв</w:t>
      </w:r>
      <w:r>
        <w:rPr>
          <w:rFonts w:eastAsia="Times New Roman" w:cs="Times New Roman"/>
          <w:szCs w:val="24"/>
          <w:lang w:val="sr-Cyrl-RS"/>
        </w:rPr>
        <w:t>ој</w:t>
      </w:r>
      <w:r w:rsidRPr="0030354E">
        <w:rPr>
          <w:rFonts w:eastAsia="Times New Roman" w:cs="Times New Roman"/>
          <w:szCs w:val="24"/>
          <w:lang w:val="sr-Latn-RS"/>
        </w:rPr>
        <w:t xml:space="preserve"> репозиторијум</w:t>
      </w:r>
      <w:r>
        <w:rPr>
          <w:rFonts w:eastAsia="Times New Roman" w:cs="Times New Roman"/>
          <w:szCs w:val="24"/>
          <w:lang w:val="sr-Cyrl-RS"/>
        </w:rPr>
        <w:t>а</w:t>
      </w:r>
      <w:r w:rsidRPr="0030354E">
        <w:rPr>
          <w:rFonts w:eastAsia="Times New Roman" w:cs="Times New Roman"/>
          <w:szCs w:val="24"/>
          <w:lang w:val="sr-Latn-RS"/>
        </w:rPr>
        <w:t xml:space="preserve"> отворених образовних ресурса, као база дигиталних извора за школе. Наставници ће бити у могућности да претражују и прибаве дидактичке материјале у складу са планом и програмом </w:t>
      </w:r>
      <w:r>
        <w:rPr>
          <w:rFonts w:eastAsia="Times New Roman" w:cs="Times New Roman"/>
          <w:szCs w:val="24"/>
          <w:lang w:val="sr-Cyrl-RS"/>
        </w:rPr>
        <w:t xml:space="preserve">наставе и учења </w:t>
      </w:r>
      <w:r w:rsidRPr="0030354E">
        <w:rPr>
          <w:rFonts w:eastAsia="Times New Roman" w:cs="Times New Roman"/>
          <w:szCs w:val="24"/>
          <w:lang w:val="sr-Latn-RS"/>
        </w:rPr>
        <w:t xml:space="preserve">за основно и средње образовање, који се лако могу користити у учионици или модификовати и прилагодити различитим контекстима и потребама (укључујући учење на даљину). Поред тога, ова активност ће подржати стварање инвентара постојећег садржаја који ће се распоредити на националну платформу за учење на даљину. </w:t>
      </w:r>
    </w:p>
    <w:p w14:paraId="6E2BFB93" w14:textId="77777777" w:rsidR="00DC7F92" w:rsidRPr="0030354E" w:rsidRDefault="00DC7F92" w:rsidP="00DC7F92">
      <w:pPr>
        <w:spacing w:after="60"/>
        <w:rPr>
          <w:rFonts w:eastAsia="Times New Roman" w:cs="Times New Roman"/>
          <w:szCs w:val="24"/>
          <w:lang w:val="sr-Latn-RS"/>
        </w:rPr>
      </w:pPr>
      <w:r w:rsidRPr="0030354E">
        <w:rPr>
          <w:rFonts w:eastAsia="Times New Roman" w:cs="Times New Roman"/>
          <w:szCs w:val="24"/>
          <w:lang w:val="sr-Latn-RS"/>
        </w:rPr>
        <w:t>Реформа је пренета из претходне године. Пројектни задатак за Репозиторијума отворених образовних ресурса је дефинисан и у наредном периоду ће бити развијено софтверско решење.</w:t>
      </w:r>
      <w:r>
        <w:rPr>
          <w:rFonts w:eastAsia="Times New Roman" w:cs="Times New Roman"/>
          <w:szCs w:val="24"/>
          <w:lang w:val="sr-Cyrl-RS"/>
        </w:rPr>
        <w:t xml:space="preserve"> </w:t>
      </w:r>
      <w:r w:rsidRPr="0030354E">
        <w:rPr>
          <w:rFonts w:eastAsia="Times New Roman" w:cs="Times New Roman"/>
          <w:szCs w:val="24"/>
          <w:lang w:val="sr-Latn-RS"/>
        </w:rPr>
        <w:t xml:space="preserve">Реформа доприноси остваривању </w:t>
      </w:r>
      <w:r w:rsidRPr="008D1DFC">
        <w:rPr>
          <w:rFonts w:eastAsia="Times New Roman" w:cs="Times New Roman"/>
          <w:b/>
          <w:szCs w:val="24"/>
          <w:lang w:val="sr-Latn-RS"/>
        </w:rPr>
        <w:t>ЦОР 4.</w:t>
      </w:r>
      <w:r w:rsidRPr="0030354E">
        <w:rPr>
          <w:rFonts w:eastAsia="Times New Roman" w:cs="Times New Roman"/>
          <w:szCs w:val="24"/>
          <w:lang w:val="sr-Latn-RS"/>
        </w:rPr>
        <w:t xml:space="preserve"> </w:t>
      </w:r>
      <w:r>
        <w:rPr>
          <w:rFonts w:eastAsia="Times New Roman" w:cs="Times New Roman"/>
          <w:szCs w:val="24"/>
          <w:lang w:val="sr-Cyrl-RS"/>
        </w:rPr>
        <w:t xml:space="preserve">- </w:t>
      </w:r>
      <w:r w:rsidRPr="0030354E">
        <w:rPr>
          <w:rFonts w:eastAsia="Times New Roman" w:cs="Times New Roman"/>
          <w:szCs w:val="24"/>
          <w:lang w:val="sr-Latn-RS"/>
        </w:rPr>
        <w:t>Обезбедити инклузивно и праведно квалитетно образовање и промовисати могућност целоживотног учења за све.</w:t>
      </w:r>
    </w:p>
    <w:p w14:paraId="285F2DFD"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11B1FB9F"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667418DA"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EEA4A26"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4D2B5D4F"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3A780CF"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C054843"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4F2CAE38"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40ECEF6"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726A927"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42BB0"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CD5C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212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E207E"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1677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A934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0BED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72DB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1312E"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85C9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422F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EDE2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587BCADF" w14:textId="77777777" w:rsidTr="00DC7F92">
        <w:trPr>
          <w:trHeight w:val="300"/>
        </w:trPr>
        <w:tc>
          <w:tcPr>
            <w:tcW w:w="426" w:type="dxa"/>
            <w:tcBorders>
              <w:top w:val="single" w:sz="4" w:space="0" w:color="auto"/>
              <w:left w:val="single" w:sz="8" w:space="0" w:color="auto"/>
              <w:bottom w:val="single" w:sz="4" w:space="0" w:color="auto"/>
              <w:right w:val="nil"/>
            </w:tcBorders>
            <w:shd w:val="clear" w:color="auto" w:fill="auto"/>
          </w:tcPr>
          <w:p w14:paraId="00247B74"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2A0D434"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Опремање учионица и кабинета рачунарском опремом</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EF9982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084FAA8F"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734EDC14"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35DEAF2"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50B0D2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040520DD"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53CA638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1658F01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6CFF3EC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171745E3"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72E0CBEF"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4FC920D"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4CB898E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022B829"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2</w:t>
            </w:r>
          </w:p>
        </w:tc>
        <w:tc>
          <w:tcPr>
            <w:tcW w:w="4120" w:type="dxa"/>
            <w:tcBorders>
              <w:top w:val="nil"/>
              <w:left w:val="single" w:sz="4" w:space="0" w:color="auto"/>
              <w:bottom w:val="single" w:sz="4" w:space="0" w:color="auto"/>
              <w:right w:val="single" w:sz="4" w:space="0" w:color="auto"/>
            </w:tcBorders>
            <w:shd w:val="clear" w:color="auto" w:fill="auto"/>
          </w:tcPr>
          <w:p w14:paraId="6EFFCCFE"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sz w:val="20"/>
                <w:lang w:val="sr-Latn-RS"/>
              </w:rPr>
              <w:t>Анализа ефеката употребе Јединственог информационог система просвете</w:t>
            </w:r>
          </w:p>
        </w:tc>
        <w:tc>
          <w:tcPr>
            <w:tcW w:w="422" w:type="dxa"/>
            <w:tcBorders>
              <w:top w:val="nil"/>
              <w:left w:val="nil"/>
              <w:bottom w:val="single" w:sz="4" w:space="0" w:color="auto"/>
              <w:right w:val="single" w:sz="4" w:space="0" w:color="auto"/>
            </w:tcBorders>
            <w:shd w:val="clear" w:color="000000" w:fill="BFBFBF"/>
            <w:vAlign w:val="center"/>
          </w:tcPr>
          <w:p w14:paraId="66680CC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0BF2CB3"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12292EB"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66AE43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bottom"/>
          </w:tcPr>
          <w:p w14:paraId="6DC1D73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406A380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45F43B1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458B8CF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center"/>
          </w:tcPr>
          <w:p w14:paraId="15ABAEA2"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76573A9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0B6FA679"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14:paraId="55522DE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3F36E42B"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0CE3AB8"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3</w:t>
            </w:r>
          </w:p>
        </w:tc>
        <w:tc>
          <w:tcPr>
            <w:tcW w:w="4120" w:type="dxa"/>
            <w:tcBorders>
              <w:top w:val="nil"/>
              <w:left w:val="single" w:sz="4" w:space="0" w:color="auto"/>
              <w:bottom w:val="single" w:sz="4" w:space="0" w:color="auto"/>
              <w:right w:val="single" w:sz="4" w:space="0" w:color="auto"/>
            </w:tcBorders>
            <w:shd w:val="clear" w:color="auto" w:fill="auto"/>
          </w:tcPr>
          <w:p w14:paraId="62AF8127"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Унапређивање система осигурања квалитета примене дигиталних уџбеника</w:t>
            </w:r>
          </w:p>
        </w:tc>
        <w:tc>
          <w:tcPr>
            <w:tcW w:w="422" w:type="dxa"/>
            <w:tcBorders>
              <w:top w:val="nil"/>
              <w:left w:val="nil"/>
              <w:bottom w:val="single" w:sz="4" w:space="0" w:color="auto"/>
              <w:right w:val="single" w:sz="4" w:space="0" w:color="auto"/>
            </w:tcBorders>
            <w:shd w:val="clear" w:color="000000" w:fill="BFBFBF"/>
            <w:vAlign w:val="center"/>
          </w:tcPr>
          <w:p w14:paraId="01FAACFB"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8CADDA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69A6C3B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3DAEFEBD"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bottom"/>
          </w:tcPr>
          <w:p w14:paraId="7D6F7D3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392377AE"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20B319D1"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11F224F8"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center"/>
          </w:tcPr>
          <w:p w14:paraId="118100D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1D0AA555"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3C756434"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14:paraId="7E91ECD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3CCB717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7DC2229"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4</w:t>
            </w:r>
          </w:p>
        </w:tc>
        <w:tc>
          <w:tcPr>
            <w:tcW w:w="4120" w:type="dxa"/>
            <w:tcBorders>
              <w:top w:val="nil"/>
              <w:left w:val="single" w:sz="4" w:space="0" w:color="auto"/>
              <w:bottom w:val="single" w:sz="4" w:space="0" w:color="auto"/>
              <w:right w:val="single" w:sz="4" w:space="0" w:color="auto"/>
            </w:tcBorders>
            <w:shd w:val="clear" w:color="auto" w:fill="auto"/>
          </w:tcPr>
          <w:p w14:paraId="13173EE3"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Развој агрегатора репозиторијума отворених образовних ресурса</w:t>
            </w:r>
          </w:p>
        </w:tc>
        <w:tc>
          <w:tcPr>
            <w:tcW w:w="422" w:type="dxa"/>
            <w:tcBorders>
              <w:top w:val="nil"/>
              <w:left w:val="nil"/>
              <w:bottom w:val="single" w:sz="4" w:space="0" w:color="auto"/>
              <w:right w:val="single" w:sz="4" w:space="0" w:color="auto"/>
            </w:tcBorders>
            <w:shd w:val="clear" w:color="000000" w:fill="BFBFBF"/>
            <w:vAlign w:val="center"/>
          </w:tcPr>
          <w:p w14:paraId="7DD44295"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530B5034"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7410C151"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1D525E1"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91B007B"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BEE3D1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DA94223"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715B22D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50536732"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2AAAB6B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7230643E"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14:paraId="45828F9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3C8CE7AF" w14:textId="77777777"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14:paraId="63CBD0DE"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5</w:t>
            </w:r>
          </w:p>
        </w:tc>
        <w:tc>
          <w:tcPr>
            <w:tcW w:w="4120" w:type="dxa"/>
            <w:tcBorders>
              <w:top w:val="single" w:sz="4" w:space="0" w:color="auto"/>
              <w:left w:val="nil"/>
              <w:bottom w:val="single" w:sz="4" w:space="0" w:color="auto"/>
              <w:right w:val="nil"/>
            </w:tcBorders>
            <w:shd w:val="clear" w:color="auto" w:fill="auto"/>
            <w:vAlign w:val="bottom"/>
          </w:tcPr>
          <w:p w14:paraId="1D18C62B"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Повећање обима студијских програма и профила из рачунарства и програмирања у области високог и средњег образовања у складу са потребама тржишта</w:t>
            </w:r>
          </w:p>
        </w:tc>
        <w:tc>
          <w:tcPr>
            <w:tcW w:w="422" w:type="dxa"/>
            <w:tcBorders>
              <w:top w:val="nil"/>
              <w:left w:val="single" w:sz="4" w:space="0" w:color="auto"/>
              <w:bottom w:val="single" w:sz="4" w:space="0" w:color="auto"/>
              <w:right w:val="single" w:sz="4" w:space="0" w:color="auto"/>
            </w:tcBorders>
            <w:shd w:val="clear" w:color="000000" w:fill="BFBFBF"/>
            <w:vAlign w:val="center"/>
          </w:tcPr>
          <w:p w14:paraId="5A771A37"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6358B78"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6F344C1D"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458E65A"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189E13D"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192B322"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33EEEE41"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7036F15A"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6D5FD50"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5A63A407"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3B9882B3"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64DAE4EB"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r>
    </w:tbl>
    <w:p w14:paraId="04A0F606" w14:textId="77777777" w:rsidR="00DC7F92" w:rsidRPr="00A6164C" w:rsidRDefault="00DC7F92" w:rsidP="004D22FA">
      <w:pPr>
        <w:widowControl w:val="0"/>
        <w:numPr>
          <w:ilvl w:val="0"/>
          <w:numId w:val="43"/>
        </w:numPr>
        <w:spacing w:before="24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0A8C0FB2"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2E0B08AA"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78583C58"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(2021)</w:t>
            </w:r>
          </w:p>
        </w:tc>
        <w:tc>
          <w:tcPr>
            <w:tcW w:w="1843" w:type="dxa"/>
          </w:tcPr>
          <w:p w14:paraId="6C0FECF5"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(2022)</w:t>
            </w:r>
          </w:p>
        </w:tc>
        <w:tc>
          <w:tcPr>
            <w:tcW w:w="1843" w:type="dxa"/>
          </w:tcPr>
          <w:p w14:paraId="3A026FE9"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(2024)</w:t>
            </w:r>
          </w:p>
        </w:tc>
      </w:tr>
      <w:tr w:rsidR="00DC7F92" w:rsidRPr="00A6164C" w14:paraId="0B099489" w14:textId="77777777" w:rsidTr="00DC7F92">
        <w:trPr>
          <w:trHeight w:val="284"/>
        </w:trPr>
        <w:tc>
          <w:tcPr>
            <w:tcW w:w="4106" w:type="dxa"/>
          </w:tcPr>
          <w:p w14:paraId="3A42CF2B"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lastRenderedPageBreak/>
              <w:t>Број акредитованих студијских програма и програма наставе и учења из области ИКТ-а и програмирања</w:t>
            </w:r>
          </w:p>
        </w:tc>
        <w:tc>
          <w:tcPr>
            <w:tcW w:w="1842" w:type="dxa"/>
          </w:tcPr>
          <w:p w14:paraId="3012849B"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692</w:t>
            </w:r>
          </w:p>
        </w:tc>
        <w:tc>
          <w:tcPr>
            <w:tcW w:w="1843" w:type="dxa"/>
          </w:tcPr>
          <w:p w14:paraId="5175FBEF"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735</w:t>
            </w:r>
          </w:p>
        </w:tc>
        <w:tc>
          <w:tcPr>
            <w:tcW w:w="1843" w:type="dxa"/>
          </w:tcPr>
          <w:p w14:paraId="364EE08F"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73</w:t>
            </w:r>
            <w:r>
              <w:rPr>
                <w:rFonts w:cs="Times New Roman"/>
                <w:sz w:val="20"/>
                <w:lang w:val="sr-Cyrl-RS"/>
              </w:rPr>
              <w:t>7</w:t>
            </w:r>
          </w:p>
        </w:tc>
      </w:tr>
      <w:tr w:rsidR="00DC7F92" w:rsidRPr="00A6164C" w14:paraId="2C35A347" w14:textId="77777777" w:rsidTr="00DC7F92">
        <w:trPr>
          <w:trHeight w:val="284"/>
        </w:trPr>
        <w:tc>
          <w:tcPr>
            <w:tcW w:w="4106" w:type="dxa"/>
          </w:tcPr>
          <w:p w14:paraId="0994034C"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 xml:space="preserve">Број генерисаних извештаја из система ЈИСП </w:t>
            </w:r>
          </w:p>
          <w:p w14:paraId="0E4F1E94"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Регистри (ЈИСП)</w:t>
            </w:r>
          </w:p>
        </w:tc>
        <w:tc>
          <w:tcPr>
            <w:tcW w:w="1842" w:type="dxa"/>
          </w:tcPr>
          <w:p w14:paraId="0C54CE70"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6</w:t>
            </w:r>
          </w:p>
        </w:tc>
        <w:tc>
          <w:tcPr>
            <w:tcW w:w="1843" w:type="dxa"/>
          </w:tcPr>
          <w:p w14:paraId="2C805AC8"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10</w:t>
            </w:r>
          </w:p>
        </w:tc>
        <w:tc>
          <w:tcPr>
            <w:tcW w:w="1843" w:type="dxa"/>
          </w:tcPr>
          <w:p w14:paraId="5327780E" w14:textId="77777777" w:rsidR="00DC7F92" w:rsidRPr="00A6164C" w:rsidRDefault="00DC7F92" w:rsidP="006B76C3">
            <w:pPr>
              <w:spacing w:before="0" w:after="0"/>
              <w:ind w:left="113" w:right="113"/>
              <w:jc w:val="right"/>
              <w:rPr>
                <w:rFonts w:cs="Times New Roman"/>
                <w:sz w:val="20"/>
                <w:lang w:val="sr-Cyrl-RS"/>
              </w:rPr>
            </w:pPr>
            <w:r>
              <w:rPr>
                <w:rFonts w:cs="Times New Roman"/>
                <w:sz w:val="20"/>
              </w:rPr>
              <w:t>20</w:t>
            </w:r>
          </w:p>
        </w:tc>
      </w:tr>
      <w:tr w:rsidR="00DC7F92" w:rsidRPr="00A6164C" w14:paraId="48671B97" w14:textId="77777777" w:rsidTr="00DC7F92">
        <w:trPr>
          <w:trHeight w:val="284"/>
        </w:trPr>
        <w:tc>
          <w:tcPr>
            <w:tcW w:w="4106" w:type="dxa"/>
          </w:tcPr>
          <w:p w14:paraId="20C5ADBE"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 xml:space="preserve">Број дигиталних учионица </w:t>
            </w:r>
          </w:p>
          <w:p w14:paraId="5AA7086C"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Извештај МПНТР</w:t>
            </w:r>
          </w:p>
        </w:tc>
        <w:tc>
          <w:tcPr>
            <w:tcW w:w="1842" w:type="dxa"/>
          </w:tcPr>
          <w:p w14:paraId="54FAEC21"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10.000</w:t>
            </w:r>
          </w:p>
        </w:tc>
        <w:tc>
          <w:tcPr>
            <w:tcW w:w="1843" w:type="dxa"/>
          </w:tcPr>
          <w:p w14:paraId="3941801C"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31.500</w:t>
            </w:r>
          </w:p>
        </w:tc>
        <w:tc>
          <w:tcPr>
            <w:tcW w:w="1843" w:type="dxa"/>
          </w:tcPr>
          <w:p w14:paraId="20DC8F03"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31.500</w:t>
            </w:r>
          </w:p>
        </w:tc>
      </w:tr>
      <w:tr w:rsidR="00DC7F92" w:rsidRPr="00A6164C" w14:paraId="522F9BA6" w14:textId="77777777" w:rsidTr="00DC7F92">
        <w:trPr>
          <w:trHeight w:val="284"/>
        </w:trPr>
        <w:tc>
          <w:tcPr>
            <w:tcW w:w="4106" w:type="dxa"/>
          </w:tcPr>
          <w:p w14:paraId="369A3DDB"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Број нових рачунара у рачунарским кабинетима</w:t>
            </w:r>
          </w:p>
          <w:p w14:paraId="5643D7C5"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Извештај МПНТР</w:t>
            </w:r>
          </w:p>
        </w:tc>
        <w:tc>
          <w:tcPr>
            <w:tcW w:w="1842" w:type="dxa"/>
          </w:tcPr>
          <w:p w14:paraId="03B978E9"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0</w:t>
            </w:r>
          </w:p>
        </w:tc>
        <w:tc>
          <w:tcPr>
            <w:tcW w:w="1843" w:type="dxa"/>
          </w:tcPr>
          <w:p w14:paraId="7D603C09"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27.000</w:t>
            </w:r>
          </w:p>
        </w:tc>
        <w:tc>
          <w:tcPr>
            <w:tcW w:w="1843" w:type="dxa"/>
          </w:tcPr>
          <w:p w14:paraId="6FEC2AB7"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40.000</w:t>
            </w:r>
          </w:p>
        </w:tc>
      </w:tr>
      <w:tr w:rsidR="00DC7F92" w:rsidRPr="00A6164C" w14:paraId="4F23E316" w14:textId="77777777" w:rsidTr="00DC7F92">
        <w:trPr>
          <w:trHeight w:val="284"/>
        </w:trPr>
        <w:tc>
          <w:tcPr>
            <w:tcW w:w="4106" w:type="dxa"/>
          </w:tcPr>
          <w:p w14:paraId="0773222C"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Отворени образовни ресурси доступни у оквиру репозиторијума отворених образовних ресурса.</w:t>
            </w:r>
          </w:p>
          <w:p w14:paraId="66F2B6EB"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Репозиторијум отворених образовних ресурса</w:t>
            </w:r>
          </w:p>
        </w:tc>
        <w:tc>
          <w:tcPr>
            <w:tcW w:w="1842" w:type="dxa"/>
          </w:tcPr>
          <w:p w14:paraId="08603369"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0</w:t>
            </w:r>
          </w:p>
        </w:tc>
        <w:tc>
          <w:tcPr>
            <w:tcW w:w="1843" w:type="dxa"/>
          </w:tcPr>
          <w:p w14:paraId="6DA0F50B"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3</w:t>
            </w:r>
          </w:p>
        </w:tc>
        <w:tc>
          <w:tcPr>
            <w:tcW w:w="1843" w:type="dxa"/>
          </w:tcPr>
          <w:p w14:paraId="52E5A626"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5</w:t>
            </w:r>
          </w:p>
        </w:tc>
      </w:tr>
    </w:tbl>
    <w:p w14:paraId="2ECB9052"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526C5EA6" w14:textId="77777777" w:rsidR="00DC7F92" w:rsidRPr="00A6164C" w:rsidRDefault="00DC7F92" w:rsidP="002B64C7">
      <w:pPr>
        <w:spacing w:after="60"/>
        <w:rPr>
          <w:rFonts w:eastAsia="Times New Roman" w:cs="Times New Roman"/>
          <w:szCs w:val="24"/>
          <w:lang w:val="sr-Cyrl-RS"/>
        </w:rPr>
      </w:pPr>
      <w:r w:rsidRPr="00E748A5">
        <w:rPr>
          <w:rFonts w:eastAsia="Times New Roman" w:cs="Times New Roman"/>
          <w:szCs w:val="24"/>
          <w:lang w:val="sr-Cyrl-RS"/>
        </w:rPr>
        <w:t xml:space="preserve">Имплементација дигитализације образовања на нивоу средњег и високог образовања допринеће унапређивању дигиталних компетенција свих учесника процеса, што ће осигурати лакшу и бржу интеграцију средњошколаца, студената и наставног кадра у свет рада, као и унапређивање конкурентности привредних субјеката који послују у </w:t>
      </w:r>
      <w:r>
        <w:rPr>
          <w:rFonts w:eastAsia="Times New Roman" w:cs="Times New Roman"/>
          <w:szCs w:val="24"/>
          <w:lang w:val="sr-Cyrl-RS"/>
        </w:rPr>
        <w:t xml:space="preserve">Републици </w:t>
      </w:r>
      <w:r w:rsidRPr="00E748A5">
        <w:rPr>
          <w:rFonts w:eastAsia="Times New Roman" w:cs="Times New Roman"/>
          <w:szCs w:val="24"/>
          <w:lang w:val="sr-Cyrl-RS"/>
        </w:rPr>
        <w:t>Србији. Већој релевантности система образовања допринеће и успостављање Јединственог информационог система просвете, који ће коришћењем савремених информационих технологија, омогућити подизање квалитета, ефикасности, ефективности и економичности образовања, као и прецизно праћење прогреса рада, већу транспарентност у раду, могућност рационалног планирања ресурса и будућих инвестиција.</w:t>
      </w:r>
    </w:p>
    <w:p w14:paraId="2277DD60"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6B7461E5" w14:textId="77777777" w:rsidR="00DC7F92" w:rsidRPr="00E748A5" w:rsidRDefault="00DC7F92" w:rsidP="00DC7F92">
      <w:pPr>
        <w:widowControl w:val="0"/>
        <w:spacing w:after="60"/>
        <w:rPr>
          <w:rFonts w:eastAsia="Times New Roman" w:cs="Times New Roman"/>
          <w:szCs w:val="24"/>
          <w:lang w:val="sr-Cyrl-RS"/>
        </w:rPr>
      </w:pPr>
      <w:r w:rsidRPr="00E748A5">
        <w:rPr>
          <w:rFonts w:eastAsia="Times New Roman" w:cs="Times New Roman"/>
          <w:szCs w:val="24"/>
          <w:lang w:val="sr-Cyrl-RS"/>
        </w:rPr>
        <w:t xml:space="preserve">Финансијска средства за развој и имплементацију ЈИСП-а обезбеђена су у оквиру буџета </w:t>
      </w:r>
      <w:r>
        <w:rPr>
          <w:rFonts w:eastAsia="Times New Roman" w:cs="Times New Roman"/>
          <w:szCs w:val="24"/>
          <w:lang w:val="sr-Cyrl-RS"/>
        </w:rPr>
        <w:t>РС</w:t>
      </w:r>
      <w:r w:rsidRPr="00E748A5">
        <w:rPr>
          <w:rFonts w:eastAsia="Times New Roman" w:cs="Times New Roman"/>
          <w:szCs w:val="24"/>
          <w:lang w:val="sr-Cyrl-RS"/>
        </w:rPr>
        <w:t xml:space="preserve">. За развој агрегатора репозиторијума отворених образовних </w:t>
      </w:r>
      <w:r w:rsidRPr="00DF4A60">
        <w:rPr>
          <w:rFonts w:eastAsia="Times New Roman" w:cs="Times New Roman"/>
          <w:szCs w:val="24"/>
          <w:lang w:val="sr-Cyrl-RS"/>
        </w:rPr>
        <w:t>ресурса у 2024. години планирана</w:t>
      </w:r>
      <w:r>
        <w:rPr>
          <w:rFonts w:eastAsia="Times New Roman" w:cs="Times New Roman"/>
          <w:szCs w:val="24"/>
          <w:lang w:val="sr-Cyrl-RS"/>
        </w:rPr>
        <w:t xml:space="preserve"> су средства у б</w:t>
      </w:r>
      <w:r w:rsidRPr="00E748A5">
        <w:rPr>
          <w:rFonts w:eastAsia="Times New Roman" w:cs="Times New Roman"/>
          <w:szCs w:val="24"/>
          <w:lang w:val="sr-Cyrl-RS"/>
        </w:rPr>
        <w:t xml:space="preserve">уџету Републике Србије у износу од 10.000 евра. </w:t>
      </w:r>
    </w:p>
    <w:p w14:paraId="6ADC8CF8" w14:textId="77777777" w:rsidR="00DC7F92" w:rsidRPr="00E748A5" w:rsidRDefault="00DC7F92" w:rsidP="00DC7F92">
      <w:pPr>
        <w:widowControl w:val="0"/>
        <w:spacing w:after="60"/>
        <w:rPr>
          <w:rFonts w:eastAsia="Times New Roman" w:cs="Times New Roman"/>
          <w:szCs w:val="24"/>
          <w:lang w:val="sr-Cyrl-RS"/>
        </w:rPr>
      </w:pPr>
      <w:r w:rsidRPr="00E748A5">
        <w:rPr>
          <w:rFonts w:eastAsia="Times New Roman" w:cs="Times New Roman"/>
          <w:szCs w:val="24"/>
          <w:lang w:val="sr-Cyrl-RS"/>
        </w:rPr>
        <w:t>За набавку рачунарске опреме за дигиталне учионице, лаптоп рачунаре за наставнике и одређен број рачунара у рачунарским кабинет</w:t>
      </w:r>
      <w:r>
        <w:rPr>
          <w:rFonts w:eastAsia="Times New Roman" w:cs="Times New Roman"/>
          <w:szCs w:val="24"/>
          <w:lang w:val="sr-Cyrl-RS"/>
        </w:rPr>
        <w:t>има,</w:t>
      </w:r>
      <w:r w:rsidRPr="00E748A5">
        <w:rPr>
          <w:rFonts w:eastAsia="Times New Roman" w:cs="Times New Roman"/>
          <w:szCs w:val="24"/>
          <w:lang w:val="sr-Cyrl-RS"/>
        </w:rPr>
        <w:t xml:space="preserve"> </w:t>
      </w:r>
      <w:r>
        <w:rPr>
          <w:rFonts w:eastAsia="Times New Roman" w:cs="Times New Roman"/>
          <w:szCs w:val="24"/>
          <w:lang w:val="sr-Cyrl-RS"/>
        </w:rPr>
        <w:t>о</w:t>
      </w:r>
      <w:r w:rsidRPr="00E748A5">
        <w:rPr>
          <w:rFonts w:eastAsia="Times New Roman" w:cs="Times New Roman"/>
          <w:szCs w:val="24"/>
          <w:lang w:val="sr-Cyrl-RS"/>
        </w:rPr>
        <w:t>безбеђена су средства из кредитних аранжмана у износу од 35</w:t>
      </w:r>
      <w:r>
        <w:rPr>
          <w:rFonts w:eastAsia="Times New Roman" w:cs="Times New Roman"/>
          <w:szCs w:val="24"/>
          <w:lang w:val="sr-Cyrl-RS"/>
        </w:rPr>
        <w:t xml:space="preserve"> милиона евра</w:t>
      </w:r>
      <w:r w:rsidRPr="00E748A5">
        <w:rPr>
          <w:rFonts w:eastAsia="Times New Roman" w:cs="Times New Roman"/>
          <w:szCs w:val="24"/>
          <w:lang w:val="sr-Cyrl-RS"/>
        </w:rPr>
        <w:t xml:space="preserve">. </w:t>
      </w:r>
    </w:p>
    <w:p w14:paraId="2A18ECD2"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19420F54" w14:textId="77777777" w:rsidR="00DC7F92" w:rsidRPr="00A6164C" w:rsidRDefault="00DC7F92" w:rsidP="00DC7F92">
      <w:pPr>
        <w:spacing w:after="60"/>
        <w:rPr>
          <w:rFonts w:eastAsia="Times New Roman" w:cs="Times New Roman"/>
          <w:szCs w:val="24"/>
          <w:lang w:val="sr-Cyrl-RS"/>
        </w:rPr>
      </w:pPr>
      <w:r w:rsidRPr="00E748A5">
        <w:rPr>
          <w:rFonts w:eastAsia="Times New Roman" w:cs="Times New Roman"/>
          <w:szCs w:val="24"/>
          <w:lang w:val="sr-Cyrl-RS"/>
        </w:rPr>
        <w:t>Стицање савремених знања на квалитетан и ефикасан начин који ће убрзати усвајање знања и подићи ниво разумевања усвојених знања, овладавање неопходним ИКТ знањима и вештинама, уз стално праћење и одржавање квалитета образовања и васпитања кроз употребу ЈИСП-а учиниће да свршени средњошколци и студенти буду припремљенији за тржиште рада, брже нађу пут до запослења на бољим и плаћенијим радним местима.</w:t>
      </w:r>
    </w:p>
    <w:p w14:paraId="1652D798"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0325A00A" w14:textId="77777777" w:rsidR="00DC7F92" w:rsidRPr="00A6164C" w:rsidRDefault="00DC7F92" w:rsidP="00DC7F92">
      <w:pPr>
        <w:widowControl w:val="0"/>
        <w:spacing w:after="60"/>
        <w:rPr>
          <w:rFonts w:cs="Times New Roman"/>
          <w:szCs w:val="24"/>
          <w:lang w:val="sr-Cyrl-RS" w:eastAsia="sr-Cyrl-CS" w:bidi="sr-Cyrl-CS"/>
        </w:rPr>
      </w:pPr>
      <w:r w:rsidRPr="00E748A5">
        <w:rPr>
          <w:rFonts w:cs="Times New Roman"/>
          <w:szCs w:val="24"/>
          <w:lang w:val="sr-Cyrl-RS" w:eastAsia="sr-Cyrl-CS" w:bidi="sr-Cyrl-CS"/>
        </w:rPr>
        <w:t>Структурна реформа је неутрална у смислу утицаја на животну редину.</w:t>
      </w:r>
    </w:p>
    <w:p w14:paraId="55794D7D"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17A35052"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299E948C"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43B58B1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26A4B43D"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4CE1A58F" w14:textId="77777777" w:rsidTr="00DC7F92">
        <w:trPr>
          <w:trHeight w:val="429"/>
        </w:trPr>
        <w:tc>
          <w:tcPr>
            <w:tcW w:w="3329" w:type="dxa"/>
          </w:tcPr>
          <w:p w14:paraId="6F4D0A31" w14:textId="77777777" w:rsidR="00DC7F92" w:rsidRPr="00A6164C" w:rsidRDefault="00DC7F92" w:rsidP="006B76C3">
            <w:pPr>
              <w:spacing w:before="0" w:after="0"/>
              <w:ind w:left="113" w:right="113"/>
              <w:rPr>
                <w:rFonts w:cs="Times New Roman"/>
                <w:sz w:val="20"/>
                <w:lang w:val="sr-Cyrl-RS"/>
              </w:rPr>
            </w:pPr>
            <w:r w:rsidRPr="00E748A5">
              <w:rPr>
                <w:rFonts w:cs="Times New Roman"/>
                <w:sz w:val="20"/>
                <w:lang w:val="sr-Cyrl-RS"/>
              </w:rPr>
              <w:t>Нејасно дефинисане улоге и одговорности укључених учесника у реализацији процеса</w:t>
            </w:r>
            <w:r>
              <w:rPr>
                <w:rFonts w:cs="Times New Roman"/>
                <w:sz w:val="20"/>
                <w:lang w:val="sr-Cyrl-RS"/>
              </w:rPr>
              <w:t>.</w:t>
            </w:r>
          </w:p>
        </w:tc>
        <w:tc>
          <w:tcPr>
            <w:tcW w:w="2200" w:type="dxa"/>
          </w:tcPr>
          <w:p w14:paraId="798CE0AD"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Средња</w:t>
            </w:r>
          </w:p>
        </w:tc>
        <w:tc>
          <w:tcPr>
            <w:tcW w:w="4165" w:type="dxa"/>
          </w:tcPr>
          <w:p w14:paraId="2C9435D3" w14:textId="77777777" w:rsidR="00DC7F92" w:rsidRPr="00A6164C" w:rsidRDefault="00DC7F92" w:rsidP="006B76C3">
            <w:pPr>
              <w:spacing w:before="0" w:after="0"/>
              <w:ind w:left="113" w:right="113"/>
              <w:rPr>
                <w:rFonts w:cs="Times New Roman"/>
                <w:sz w:val="20"/>
                <w:lang w:val="sr-Cyrl-RS"/>
              </w:rPr>
            </w:pPr>
            <w:r w:rsidRPr="00F8489A">
              <w:rPr>
                <w:rFonts w:cs="Times New Roman"/>
                <w:sz w:val="20"/>
                <w:lang w:val="sr-Cyrl-RS"/>
              </w:rPr>
              <w:t xml:space="preserve">Потпуна укљученост у процес од стране свих учесника. Дефинисана и праћена </w:t>
            </w:r>
            <w:r w:rsidRPr="00F8489A">
              <w:rPr>
                <w:rFonts w:cs="Times New Roman"/>
                <w:sz w:val="20"/>
                <w:lang w:val="sr-Cyrl-RS"/>
              </w:rPr>
              <w:lastRenderedPageBreak/>
              <w:t>међукомуникација у процесу, стални прегледи ризика, ескалације</w:t>
            </w:r>
            <w:r>
              <w:rPr>
                <w:rFonts w:cs="Times New Roman"/>
                <w:sz w:val="20"/>
                <w:lang w:val="sr-Cyrl-RS"/>
              </w:rPr>
              <w:t>.</w:t>
            </w:r>
          </w:p>
        </w:tc>
      </w:tr>
      <w:tr w:rsidR="00DC7F92" w:rsidRPr="00A6164C" w14:paraId="11DEA86A" w14:textId="77777777" w:rsidTr="00DC7F92">
        <w:trPr>
          <w:trHeight w:val="429"/>
        </w:trPr>
        <w:tc>
          <w:tcPr>
            <w:tcW w:w="3329" w:type="dxa"/>
          </w:tcPr>
          <w:p w14:paraId="07994ADA" w14:textId="77777777" w:rsidR="00DC7F92" w:rsidRPr="00E748A5" w:rsidRDefault="00DC7F92" w:rsidP="006B76C3">
            <w:pPr>
              <w:spacing w:before="0" w:after="0"/>
              <w:ind w:left="113" w:right="113"/>
              <w:rPr>
                <w:rFonts w:cs="Times New Roman"/>
                <w:sz w:val="20"/>
                <w:lang w:val="sr-Cyrl-RS"/>
              </w:rPr>
            </w:pPr>
            <w:r w:rsidRPr="00E748A5">
              <w:rPr>
                <w:rFonts w:cs="Times New Roman"/>
                <w:sz w:val="20"/>
                <w:lang w:val="sr-Cyrl-RS"/>
              </w:rPr>
              <w:lastRenderedPageBreak/>
              <w:t>Неадекватна координација са другим странкама које пружају сервисе, а непосредно афектирају или су неопходни за процес</w:t>
            </w:r>
            <w:r>
              <w:rPr>
                <w:rFonts w:cs="Times New Roman"/>
                <w:sz w:val="20"/>
                <w:lang w:val="sr-Cyrl-RS"/>
              </w:rPr>
              <w:t>.</w:t>
            </w:r>
          </w:p>
        </w:tc>
        <w:tc>
          <w:tcPr>
            <w:tcW w:w="2200" w:type="dxa"/>
          </w:tcPr>
          <w:p w14:paraId="1ED92FE4"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Средња</w:t>
            </w:r>
          </w:p>
        </w:tc>
        <w:tc>
          <w:tcPr>
            <w:tcW w:w="4165" w:type="dxa"/>
          </w:tcPr>
          <w:p w14:paraId="0D0EF521" w14:textId="77777777" w:rsidR="00DC7F92" w:rsidRPr="00A6164C" w:rsidRDefault="00DC7F92" w:rsidP="006B76C3">
            <w:pPr>
              <w:spacing w:before="0" w:after="0"/>
              <w:ind w:left="113" w:right="113"/>
              <w:rPr>
                <w:rFonts w:cs="Times New Roman"/>
                <w:sz w:val="20"/>
                <w:lang w:val="sr-Cyrl-RS"/>
              </w:rPr>
            </w:pPr>
            <w:r w:rsidRPr="00F8489A">
              <w:rPr>
                <w:rFonts w:cs="Times New Roman"/>
                <w:sz w:val="20"/>
                <w:lang w:val="sr-Cyrl-RS"/>
              </w:rPr>
              <w:t>Потпуна укљученост у процес од стране свих учесника. Дефинисана и праћена међукомуникација у процесу, стални прегледи  ризика, ескалације</w:t>
            </w:r>
            <w:r>
              <w:rPr>
                <w:rFonts w:cs="Times New Roman"/>
                <w:sz w:val="20"/>
                <w:lang w:val="sr-Cyrl-RS"/>
              </w:rPr>
              <w:t>.</w:t>
            </w:r>
          </w:p>
        </w:tc>
      </w:tr>
      <w:tr w:rsidR="00DC7F92" w:rsidRPr="00A6164C" w14:paraId="2AC9F698" w14:textId="77777777" w:rsidTr="00DC7F92">
        <w:trPr>
          <w:trHeight w:val="536"/>
        </w:trPr>
        <w:tc>
          <w:tcPr>
            <w:tcW w:w="3329" w:type="dxa"/>
          </w:tcPr>
          <w:p w14:paraId="25EFB18B" w14:textId="77777777" w:rsidR="00DC7F92" w:rsidRPr="00A6164C" w:rsidRDefault="00DC7F92" w:rsidP="006B76C3">
            <w:pPr>
              <w:spacing w:before="0" w:after="0"/>
              <w:ind w:left="113" w:right="113"/>
              <w:rPr>
                <w:rFonts w:cs="Times New Roman"/>
                <w:b/>
                <w:sz w:val="20"/>
                <w:lang w:val="sr-Cyrl-RS"/>
              </w:rPr>
            </w:pPr>
            <w:r w:rsidRPr="00E748A5">
              <w:rPr>
                <w:rFonts w:cs="Times New Roman"/>
                <w:sz w:val="20"/>
                <w:lang w:val="sr-Cyrl-RS"/>
              </w:rPr>
              <w:t>Немотивисаност учесника процеса за остварења наведених циљева</w:t>
            </w:r>
            <w:r>
              <w:rPr>
                <w:rFonts w:cs="Times New Roman"/>
                <w:sz w:val="20"/>
                <w:lang w:val="sr-Cyrl-RS"/>
              </w:rPr>
              <w:t>.</w:t>
            </w:r>
          </w:p>
        </w:tc>
        <w:tc>
          <w:tcPr>
            <w:tcW w:w="2200" w:type="dxa"/>
          </w:tcPr>
          <w:p w14:paraId="777ADC76" w14:textId="77777777" w:rsidR="00DC7F92" w:rsidRPr="00A6164C" w:rsidRDefault="00DC7F92" w:rsidP="006B76C3">
            <w:pPr>
              <w:spacing w:before="0" w:after="0"/>
              <w:ind w:left="113" w:right="113"/>
              <w:rPr>
                <w:rFonts w:cs="Times New Roman"/>
                <w:b/>
                <w:sz w:val="20"/>
                <w:lang w:val="sr-Cyrl-RS"/>
              </w:rPr>
            </w:pPr>
            <w:r w:rsidRPr="00E748A5">
              <w:rPr>
                <w:rFonts w:cs="Times New Roman"/>
                <w:sz w:val="20"/>
                <w:lang w:val="sr-Cyrl-RS"/>
              </w:rPr>
              <w:t>Средња</w:t>
            </w:r>
          </w:p>
        </w:tc>
        <w:tc>
          <w:tcPr>
            <w:tcW w:w="4165" w:type="dxa"/>
          </w:tcPr>
          <w:p w14:paraId="3F689932" w14:textId="77777777" w:rsidR="00DC7F92" w:rsidRPr="00F8489A" w:rsidRDefault="00DC7F92" w:rsidP="006B76C3">
            <w:pPr>
              <w:spacing w:before="0" w:after="0"/>
              <w:ind w:left="113" w:right="113"/>
              <w:rPr>
                <w:rFonts w:cs="Times New Roman"/>
                <w:sz w:val="20"/>
                <w:lang w:val="sr-Cyrl-RS"/>
              </w:rPr>
            </w:pPr>
            <w:r w:rsidRPr="00F8489A">
              <w:rPr>
                <w:rFonts w:cs="Times New Roman"/>
                <w:sz w:val="20"/>
                <w:lang w:val="sr-Cyrl-RS"/>
              </w:rPr>
              <w:t>Креирање различитих модела финансијских олакшица. Креирање ефикасних процедура за реализацију процеса</w:t>
            </w:r>
            <w:r>
              <w:rPr>
                <w:rFonts w:cs="Times New Roman"/>
                <w:sz w:val="20"/>
                <w:lang w:val="sr-Cyrl-RS"/>
              </w:rPr>
              <w:t>.</w:t>
            </w:r>
          </w:p>
        </w:tc>
      </w:tr>
    </w:tbl>
    <w:p w14:paraId="2106007C" w14:textId="77777777" w:rsidR="00DC7F92" w:rsidRDefault="00DC7F92" w:rsidP="00DC7F92">
      <w:pPr>
        <w:spacing w:after="60"/>
        <w:rPr>
          <w:rFonts w:eastAsia="Times New Roman" w:cs="Times New Roman"/>
          <w:bCs/>
          <w:i/>
          <w:szCs w:val="24"/>
          <w:lang w:val="sr-Cyrl-RS"/>
        </w:rPr>
      </w:pPr>
    </w:p>
    <w:p w14:paraId="7E4D51A9" w14:textId="77777777" w:rsidR="00DC7F92" w:rsidRPr="002B63BD" w:rsidRDefault="00DC7F92" w:rsidP="00DC7F92">
      <w:pPr>
        <w:keepNext/>
        <w:keepLines/>
        <w:shd w:val="clear" w:color="auto" w:fill="D9D9D9" w:themeFill="background1" w:themeFillShade="D9"/>
        <w:spacing w:before="120"/>
        <w:outlineLvl w:val="2"/>
        <w:rPr>
          <w:rFonts w:eastAsiaTheme="majorEastAsia" w:cs="Times New Roman"/>
          <w:b/>
          <w:noProof/>
          <w:szCs w:val="24"/>
          <w:lang w:val="sr-Cyrl-RS"/>
        </w:rPr>
      </w:pPr>
      <w:bookmarkStart w:id="42" w:name="_Toc89375544"/>
      <w:r w:rsidRPr="002B63BD">
        <w:rPr>
          <w:rFonts w:eastAsiaTheme="majorEastAsia" w:cs="Times New Roman"/>
          <w:b/>
          <w:noProof/>
          <w:szCs w:val="24"/>
          <w:lang w:val="sr-Cyrl-RS"/>
        </w:rPr>
        <w:t>5.2.11. Област ЗАПОШЉАВАЊЕ И ТРЖИШТА РАДА</w:t>
      </w:r>
      <w:bookmarkEnd w:id="42"/>
    </w:p>
    <w:p w14:paraId="7742BE92" w14:textId="77777777" w:rsidR="00DC7F92" w:rsidRDefault="00DC7F92" w:rsidP="00DC7F92">
      <w:pPr>
        <w:spacing w:after="60"/>
        <w:rPr>
          <w:rFonts w:eastAsia="Times New Roman" w:cs="Times New Roman"/>
          <w:bCs/>
          <w:i/>
          <w:szCs w:val="24"/>
          <w:lang w:val="sr-Cyrl-RS"/>
        </w:rPr>
      </w:pPr>
      <w:r w:rsidRPr="002B63BD">
        <w:rPr>
          <w:rFonts w:eastAsia="Times New Roman" w:cs="Times New Roman"/>
          <w:bCs/>
          <w:i/>
          <w:szCs w:val="24"/>
          <w:lang w:val="sr-Cyrl-RS"/>
        </w:rPr>
        <w:t>Ова област и релевантне реформе (1. Успостављање оквира за увођење Гаранција за младе у Републици Србији и 3. Унапређење амбијента за подстицање, подршку и праћење циркуларних и економских миграција) анализирани су у одељку 5.1. под Кључним изазовом број 1. Повећање запослености, посебно младих, и усклађивање квалификација са потребама тржишта рада.</w:t>
      </w:r>
    </w:p>
    <w:p w14:paraId="5695E2BF" w14:textId="77777777" w:rsidR="00DC7F92" w:rsidRPr="002B63BD" w:rsidRDefault="00DC7F92" w:rsidP="00DC7F92">
      <w:pPr>
        <w:spacing w:after="60"/>
        <w:rPr>
          <w:rFonts w:eastAsia="Times New Roman" w:cs="Times New Roman"/>
          <w:bCs/>
          <w:i/>
          <w:szCs w:val="24"/>
          <w:lang w:val="sr-Cyrl-RS"/>
        </w:rPr>
      </w:pPr>
    </w:p>
    <w:p w14:paraId="4F288F07" w14:textId="77777777" w:rsidR="00DC7F92" w:rsidRPr="00C32D10" w:rsidRDefault="00DC7F92" w:rsidP="00DC7F92">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3" w:name="_Toc89375545"/>
      <w:r w:rsidRPr="00715C7C">
        <w:rPr>
          <w:rFonts w:eastAsiaTheme="majorEastAsia" w:cs="Times New Roman"/>
          <w:b/>
          <w:noProof/>
          <w:szCs w:val="24"/>
          <w:lang w:val="sr-Cyrl-RS"/>
        </w:rPr>
        <w:t>5.</w:t>
      </w:r>
      <w:r>
        <w:rPr>
          <w:rFonts w:eastAsiaTheme="majorEastAsia" w:cs="Times New Roman"/>
          <w:b/>
          <w:noProof/>
          <w:szCs w:val="24"/>
          <w:lang w:val="sr-Cyrl-RS"/>
        </w:rPr>
        <w:t>2</w:t>
      </w:r>
      <w:r w:rsidRPr="00715C7C">
        <w:rPr>
          <w:rFonts w:eastAsiaTheme="majorEastAsia" w:cs="Times New Roman"/>
          <w:b/>
          <w:noProof/>
          <w:szCs w:val="24"/>
          <w:lang w:val="sr-Cyrl-RS"/>
        </w:rPr>
        <w:t>.1</w:t>
      </w:r>
      <w:r w:rsidRPr="00715C7C">
        <w:rPr>
          <w:rFonts w:eastAsiaTheme="majorEastAsia" w:cs="Times New Roman"/>
          <w:b/>
          <w:noProof/>
          <w:szCs w:val="24"/>
          <w:lang w:val="sr-Latn-RS"/>
        </w:rPr>
        <w:t>2</w:t>
      </w:r>
      <w:r w:rsidRPr="00715C7C">
        <w:rPr>
          <w:rFonts w:eastAsiaTheme="majorEastAsia" w:cs="Times New Roman"/>
          <w:b/>
          <w:noProof/>
          <w:szCs w:val="24"/>
          <w:lang w:val="sr-Cyrl-RS"/>
        </w:rPr>
        <w:t>. Област СОЦИЈАЛНА ЗАШТИТА И ИНКЛУЗИЈА</w:t>
      </w:r>
      <w:bookmarkEnd w:id="43"/>
    </w:p>
    <w:p w14:paraId="6203F0FC" w14:textId="77777777" w:rsidR="00DC7F92" w:rsidRDefault="00DC7F92" w:rsidP="00DC7F92">
      <w:pPr>
        <w:spacing w:before="120"/>
        <w:rPr>
          <w:rFonts w:cs="Times New Roman"/>
          <w:szCs w:val="24"/>
          <w:lang w:val="sr-Cyrl-RS"/>
        </w:rPr>
      </w:pPr>
      <w:r w:rsidRPr="00C32D10">
        <w:rPr>
          <w:rFonts w:cs="Times New Roman"/>
          <w:b/>
          <w:noProof/>
          <w:szCs w:val="24"/>
          <w:lang w:val="sr-Cyrl-RS"/>
        </w:rPr>
        <w:t>а) Анализа главних препрека</w:t>
      </w:r>
    </w:p>
    <w:p w14:paraId="4C40CD89" w14:textId="77777777" w:rsidR="00DC7F92" w:rsidRPr="00750014" w:rsidRDefault="00DC7F92" w:rsidP="00DC7F92">
      <w:pPr>
        <w:spacing w:after="60"/>
        <w:rPr>
          <w:rFonts w:cs="Times New Roman"/>
          <w:szCs w:val="24"/>
          <w:lang w:val="sr-Cyrl-RS"/>
        </w:rPr>
      </w:pPr>
      <w:r w:rsidRPr="002156D0">
        <w:rPr>
          <w:rFonts w:cs="Times New Roman"/>
          <w:b/>
          <w:szCs w:val="24"/>
          <w:lang w:val="sr-Cyrl-RS"/>
        </w:rPr>
        <w:t xml:space="preserve">Сиромаштво, а нарочито сиромаштво међу децом, представља значајан проблем у </w:t>
      </w:r>
      <w:r w:rsidRPr="00750014">
        <w:rPr>
          <w:rFonts w:cs="Times New Roman"/>
          <w:b/>
          <w:szCs w:val="24"/>
          <w:lang w:val="sr-Cyrl-RS"/>
        </w:rPr>
        <w:t>Србији.</w:t>
      </w:r>
      <w:r w:rsidRPr="00750014">
        <w:rPr>
          <w:rFonts w:cs="Times New Roman"/>
          <w:szCs w:val="24"/>
          <w:lang w:val="sr-Cyrl-RS"/>
        </w:rPr>
        <w:t xml:space="preserve"> </w:t>
      </w:r>
      <w:r w:rsidRPr="00750014">
        <w:rPr>
          <w:rFonts w:cs="Times New Roman"/>
          <w:b/>
          <w:szCs w:val="24"/>
          <w:lang w:val="sr-Cyrl-RS"/>
        </w:rPr>
        <w:t>Стопа ризика од сиромаштва</w:t>
      </w:r>
      <w:r w:rsidRPr="00750014">
        <w:rPr>
          <w:rStyle w:val="FootnoteReference"/>
          <w:rFonts w:cs="Times New Roman"/>
          <w:szCs w:val="24"/>
          <w:lang w:val="sr-Cyrl-RS"/>
        </w:rPr>
        <w:footnoteReference w:id="116"/>
      </w:r>
      <w:r w:rsidRPr="00750014">
        <w:rPr>
          <w:rFonts w:cs="Times New Roman"/>
          <w:szCs w:val="24"/>
          <w:lang w:val="sr-Cyrl-RS"/>
        </w:rPr>
        <w:t xml:space="preserve"> износила је </w:t>
      </w:r>
      <w:r w:rsidRPr="00750014">
        <w:rPr>
          <w:rFonts w:cs="Times New Roman"/>
          <w:b/>
          <w:szCs w:val="24"/>
          <w:lang w:val="sr-Cyrl-RS"/>
        </w:rPr>
        <w:t>2</w:t>
      </w:r>
      <w:r>
        <w:rPr>
          <w:rFonts w:cs="Times New Roman"/>
          <w:b/>
          <w:szCs w:val="24"/>
          <w:lang w:val="sr-Cyrl-RS"/>
        </w:rPr>
        <w:t>1</w:t>
      </w:r>
      <w:r w:rsidRPr="00750014">
        <w:rPr>
          <w:rFonts w:cs="Times New Roman"/>
          <w:b/>
          <w:szCs w:val="24"/>
          <w:lang w:val="sr-Cyrl-RS"/>
        </w:rPr>
        <w:t>,</w:t>
      </w:r>
      <w:r>
        <w:rPr>
          <w:rFonts w:cs="Times New Roman"/>
          <w:b/>
          <w:szCs w:val="24"/>
          <w:lang w:val="sr-Cyrl-RS"/>
        </w:rPr>
        <w:t>7</w:t>
      </w:r>
      <w:r w:rsidRPr="00750014">
        <w:rPr>
          <w:rFonts w:cs="Times New Roman"/>
          <w:b/>
          <w:szCs w:val="24"/>
          <w:lang w:val="sr-Cyrl-RS"/>
        </w:rPr>
        <w:t>%</w:t>
      </w:r>
      <w:r w:rsidRPr="00750014">
        <w:rPr>
          <w:rFonts w:cs="Times New Roman"/>
          <w:szCs w:val="24"/>
          <w:lang w:val="sr-Cyrl-RS"/>
        </w:rPr>
        <w:t xml:space="preserve"> у </w:t>
      </w:r>
      <w:r w:rsidRPr="00750014">
        <w:rPr>
          <w:rFonts w:cs="Times New Roman"/>
          <w:b/>
          <w:szCs w:val="24"/>
          <w:lang w:val="sr-Cyrl-RS"/>
        </w:rPr>
        <w:t>2020</w:t>
      </w:r>
      <w:r w:rsidRPr="00750014">
        <w:rPr>
          <w:rFonts w:cs="Times New Roman"/>
          <w:szCs w:val="24"/>
          <w:lang w:val="sr-Cyrl-RS"/>
        </w:rPr>
        <w:t>.</w:t>
      </w:r>
      <w:r w:rsidRPr="00750014">
        <w:rPr>
          <w:rStyle w:val="FootnoteReference"/>
          <w:rFonts w:cs="Times New Roman"/>
          <w:szCs w:val="24"/>
          <w:lang w:val="sr-Cyrl-RS"/>
        </w:rPr>
        <w:footnoteReference w:id="117"/>
      </w:r>
      <w:r w:rsidRPr="00750014">
        <w:rPr>
          <w:rFonts w:cs="Times New Roman"/>
          <w:szCs w:val="24"/>
          <w:lang w:val="sr-Cyrl-RS"/>
        </w:rPr>
        <w:t xml:space="preserve"> (ова лица нису нужно сиромашна, већ само имају већи ризик да то постану), што је изнад нивоа ЕУ (ЕУ-2</w:t>
      </w:r>
      <w:r>
        <w:rPr>
          <w:rFonts w:cs="Times New Roman"/>
          <w:szCs w:val="24"/>
        </w:rPr>
        <w:t>7</w:t>
      </w:r>
      <w:r w:rsidRPr="00750014">
        <w:rPr>
          <w:rFonts w:cs="Times New Roman"/>
          <w:szCs w:val="24"/>
          <w:lang w:val="sr-Cyrl-RS"/>
        </w:rPr>
        <w:t xml:space="preserve">; </w:t>
      </w:r>
      <w:r>
        <w:rPr>
          <w:rFonts w:cs="Times New Roman"/>
          <w:szCs w:val="24"/>
        </w:rPr>
        <w:t>17</w:t>
      </w:r>
      <w:r w:rsidRPr="00750014">
        <w:rPr>
          <w:rFonts w:cs="Times New Roman"/>
          <w:szCs w:val="24"/>
          <w:lang w:val="sr-Cyrl-RS"/>
        </w:rPr>
        <w:t>,</w:t>
      </w:r>
      <w:r>
        <w:rPr>
          <w:rFonts w:cs="Times New Roman"/>
          <w:szCs w:val="24"/>
        </w:rPr>
        <w:t>1</w:t>
      </w:r>
      <w:r w:rsidRPr="00750014">
        <w:rPr>
          <w:rFonts w:cs="Times New Roman"/>
          <w:szCs w:val="24"/>
          <w:lang w:val="sr-Cyrl-RS"/>
        </w:rPr>
        <w:t>%, SILC</w:t>
      </w:r>
      <w:r>
        <w:rPr>
          <w:rFonts w:cs="Times New Roman"/>
          <w:szCs w:val="24"/>
          <w:lang w:val="sr-Cyrl-RS"/>
        </w:rPr>
        <w:t>, 20</w:t>
      </w:r>
      <w:r>
        <w:rPr>
          <w:rFonts w:cs="Times New Roman"/>
          <w:szCs w:val="24"/>
        </w:rPr>
        <w:t>20</w:t>
      </w:r>
      <w:r w:rsidRPr="00750014">
        <w:rPr>
          <w:rStyle w:val="FootnoteReference"/>
          <w:rFonts w:cs="Times New Roman"/>
          <w:szCs w:val="24"/>
          <w:lang w:val="sr-Cyrl-RS"/>
        </w:rPr>
        <w:footnoteReference w:id="118"/>
      </w:r>
      <w:r w:rsidRPr="00750014">
        <w:rPr>
          <w:rFonts w:cs="Times New Roman"/>
          <w:szCs w:val="24"/>
          <w:lang w:val="sr-Cyrl-RS"/>
        </w:rPr>
        <w:t>).</w:t>
      </w:r>
      <w:r>
        <w:rPr>
          <w:rFonts w:cs="Times New Roman"/>
          <w:szCs w:val="24"/>
          <w:lang w:val="sr-Cyrl-RS"/>
        </w:rPr>
        <w:t xml:space="preserve"> </w:t>
      </w:r>
      <w:r w:rsidRPr="00817214">
        <w:rPr>
          <w:rFonts w:cs="Times New Roman"/>
          <w:b/>
          <w:szCs w:val="24"/>
          <w:lang w:val="sr-Cyrl-RS"/>
        </w:rPr>
        <w:t>Пад стопе ризика од сиромаштва</w:t>
      </w:r>
      <w:r w:rsidRPr="00817214">
        <w:rPr>
          <w:rFonts w:cs="Times New Roman"/>
          <w:szCs w:val="24"/>
          <w:lang w:val="sr-Cyrl-RS"/>
        </w:rPr>
        <w:t xml:space="preserve"> </w:t>
      </w:r>
      <w:r w:rsidRPr="00817214">
        <w:rPr>
          <w:rFonts w:cs="Times New Roman"/>
          <w:b/>
          <w:szCs w:val="24"/>
          <w:lang w:val="sr-Cyrl-RS"/>
        </w:rPr>
        <w:t>од 1,5 п.п.</w:t>
      </w:r>
      <w:r w:rsidRPr="00817214">
        <w:rPr>
          <w:rFonts w:cs="Times New Roman"/>
          <w:szCs w:val="24"/>
          <w:lang w:val="sr-Cyrl-RS"/>
        </w:rPr>
        <w:t xml:space="preserve"> у односу на претходну годину приписује се подстицајним мерама током пандемије које су увођене у циљу заштите радних места и прихода.</w:t>
      </w:r>
    </w:p>
    <w:p w14:paraId="6D19E060" w14:textId="77777777" w:rsidR="00DC7F92" w:rsidRPr="008C0FD8" w:rsidRDefault="00DC7F92" w:rsidP="00DC7F92">
      <w:pPr>
        <w:spacing w:after="60"/>
        <w:rPr>
          <w:rFonts w:cs="Times New Roman"/>
          <w:szCs w:val="24"/>
          <w:highlight w:val="yellow"/>
          <w:lang w:val="sr-Cyrl-RS"/>
        </w:rPr>
      </w:pPr>
      <w:r w:rsidRPr="00750014">
        <w:rPr>
          <w:rFonts w:cs="Times New Roman"/>
          <w:b/>
          <w:szCs w:val="24"/>
          <w:lang w:val="sr-Cyrl-RS"/>
        </w:rPr>
        <w:t>Ризик од сиромаштва варира у зависности од старосних група и радног статуса</w:t>
      </w:r>
      <w:r w:rsidRPr="00750014">
        <w:rPr>
          <w:rFonts w:cs="Times New Roman"/>
          <w:szCs w:val="24"/>
          <w:lang w:val="sr-Cyrl-RS"/>
        </w:rPr>
        <w:t xml:space="preserve">. Лица </w:t>
      </w:r>
      <w:r w:rsidRPr="00750014">
        <w:rPr>
          <w:rFonts w:cs="Times New Roman"/>
          <w:b/>
          <w:bCs/>
          <w:szCs w:val="24"/>
          <w:lang w:val="sr-Cyrl-RS"/>
        </w:rPr>
        <w:t>млађа од 18 година</w:t>
      </w:r>
      <w:r w:rsidRPr="00750014">
        <w:rPr>
          <w:rFonts w:cs="Times New Roman"/>
          <w:szCs w:val="24"/>
          <w:lang w:val="sr-Cyrl-RS"/>
        </w:rPr>
        <w:t xml:space="preserve"> највише си била изложена ризику од сиромаштва – </w:t>
      </w:r>
      <w:r w:rsidRPr="00750014">
        <w:rPr>
          <w:rFonts w:cs="Times New Roman"/>
          <w:b/>
          <w:bCs/>
          <w:szCs w:val="24"/>
          <w:lang w:val="sr-Cyrl-RS"/>
        </w:rPr>
        <w:t>24,2%</w:t>
      </w:r>
      <w:r w:rsidRPr="00750014">
        <w:rPr>
          <w:rFonts w:cs="Times New Roman"/>
          <w:szCs w:val="24"/>
          <w:lang w:val="sr-Cyrl-RS"/>
        </w:rPr>
        <w:t xml:space="preserve">, као и лица старости </w:t>
      </w:r>
      <w:r w:rsidRPr="00750014">
        <w:rPr>
          <w:rFonts w:cs="Times New Roman"/>
          <w:b/>
          <w:bCs/>
          <w:szCs w:val="24"/>
          <w:lang w:val="sr-Cyrl-RS"/>
        </w:rPr>
        <w:t>од 18 до 24 година</w:t>
      </w:r>
      <w:r w:rsidRPr="00750014">
        <w:rPr>
          <w:rFonts w:cs="Times New Roman"/>
          <w:szCs w:val="24"/>
          <w:lang w:val="sr-Cyrl-RS"/>
        </w:rPr>
        <w:t xml:space="preserve"> – </w:t>
      </w:r>
      <w:r w:rsidRPr="00750014">
        <w:rPr>
          <w:rFonts w:cs="Times New Roman"/>
          <w:b/>
          <w:bCs/>
          <w:szCs w:val="24"/>
          <w:lang w:val="sr-Cyrl-RS"/>
        </w:rPr>
        <w:t>23,6%</w:t>
      </w:r>
      <w:r w:rsidRPr="00750014">
        <w:rPr>
          <w:rFonts w:cs="Times New Roman"/>
          <w:szCs w:val="24"/>
          <w:lang w:val="sr-Cyrl-RS"/>
        </w:rPr>
        <w:t xml:space="preserve">. </w:t>
      </w:r>
      <w:r w:rsidRPr="00750014">
        <w:rPr>
          <w:rFonts w:cs="Times New Roman"/>
          <w:b/>
          <w:bCs/>
          <w:szCs w:val="24"/>
          <w:lang w:val="sr-Cyrl-RS"/>
        </w:rPr>
        <w:t>Најнижу стопу</w:t>
      </w:r>
      <w:r w:rsidRPr="00750014">
        <w:rPr>
          <w:rFonts w:cs="Times New Roman"/>
          <w:szCs w:val="24"/>
          <w:lang w:val="sr-Cyrl-RS"/>
        </w:rPr>
        <w:t xml:space="preserve"> ризика од сиромаштва имале су особе</w:t>
      </w:r>
      <w:r w:rsidRPr="003B30E6">
        <w:rPr>
          <w:rFonts w:cs="Times New Roman"/>
          <w:szCs w:val="24"/>
          <w:lang w:val="sr-Cyrl-RS"/>
        </w:rPr>
        <w:t xml:space="preserve"> </w:t>
      </w:r>
      <w:r w:rsidRPr="003B30E6">
        <w:rPr>
          <w:rFonts w:cs="Times New Roman"/>
          <w:b/>
          <w:szCs w:val="24"/>
          <w:lang w:val="sr-Cyrl-RS"/>
        </w:rPr>
        <w:t>старости од 25 до 54 година - 19</w:t>
      </w:r>
      <w:r w:rsidRPr="003B30E6">
        <w:rPr>
          <w:rFonts w:cs="Times New Roman"/>
          <w:b/>
          <w:bCs/>
          <w:szCs w:val="24"/>
          <w:lang w:val="sr-Cyrl-RS"/>
        </w:rPr>
        <w:t>,6%</w:t>
      </w:r>
      <w:r w:rsidRPr="003B30E6">
        <w:rPr>
          <w:rFonts w:cs="Times New Roman"/>
          <w:b/>
          <w:szCs w:val="24"/>
          <w:lang w:val="sr-Cyrl-RS"/>
        </w:rPr>
        <w:t>.</w:t>
      </w:r>
      <w:r w:rsidRPr="003B30E6">
        <w:rPr>
          <w:rFonts w:cs="Times New Roman"/>
          <w:szCs w:val="24"/>
          <w:lang w:val="sr-Cyrl-RS"/>
        </w:rPr>
        <w:t xml:space="preserve"> У зависности од радног статуса, код лица </w:t>
      </w:r>
      <w:r w:rsidRPr="003B30E6">
        <w:rPr>
          <w:rFonts w:cs="Times New Roman"/>
          <w:b/>
          <w:bCs/>
          <w:szCs w:val="24"/>
          <w:lang w:val="sr-Cyrl-RS"/>
        </w:rPr>
        <w:t>старијих од 18</w:t>
      </w:r>
      <w:r w:rsidRPr="003B30E6">
        <w:rPr>
          <w:rFonts w:cs="Times New Roman"/>
          <w:szCs w:val="24"/>
          <w:lang w:val="sr-Cyrl-RS"/>
        </w:rPr>
        <w:t xml:space="preserve"> година, најизложенија ризику од сиромаштва су била </w:t>
      </w:r>
      <w:r w:rsidRPr="003B30E6">
        <w:rPr>
          <w:rFonts w:cs="Times New Roman"/>
          <w:b/>
          <w:szCs w:val="24"/>
          <w:lang w:val="sr-Cyrl-RS"/>
        </w:rPr>
        <w:t>незапослена лица</w:t>
      </w:r>
      <w:r w:rsidRPr="003B30E6">
        <w:rPr>
          <w:rFonts w:cs="Times New Roman"/>
          <w:szCs w:val="24"/>
          <w:lang w:val="sr-Cyrl-RS"/>
        </w:rPr>
        <w:t xml:space="preserve"> – </w:t>
      </w:r>
      <w:r w:rsidRPr="003B30E6">
        <w:rPr>
          <w:rFonts w:cs="Times New Roman"/>
          <w:b/>
          <w:bCs/>
          <w:szCs w:val="24"/>
          <w:lang w:val="sr-Cyrl-RS"/>
        </w:rPr>
        <w:t>46,7%</w:t>
      </w:r>
      <w:r w:rsidRPr="003B30E6">
        <w:rPr>
          <w:rFonts w:cs="Times New Roman"/>
          <w:szCs w:val="24"/>
          <w:lang w:val="sr-Cyrl-RS"/>
        </w:rPr>
        <w:t xml:space="preserve">, док је </w:t>
      </w:r>
      <w:r w:rsidRPr="003B30E6">
        <w:rPr>
          <w:rFonts w:cs="Times New Roman"/>
          <w:b/>
          <w:bCs/>
          <w:szCs w:val="24"/>
          <w:lang w:val="sr-Cyrl-RS"/>
        </w:rPr>
        <w:t>најнижа</w:t>
      </w:r>
      <w:r w:rsidRPr="003B30E6">
        <w:rPr>
          <w:rFonts w:cs="Times New Roman"/>
          <w:szCs w:val="24"/>
          <w:lang w:val="sr-Cyrl-RS"/>
        </w:rPr>
        <w:t xml:space="preserve"> стопа ризика од сиромаштва код </w:t>
      </w:r>
      <w:r w:rsidRPr="003B30E6">
        <w:rPr>
          <w:rFonts w:cs="Times New Roman"/>
          <w:b/>
          <w:bCs/>
          <w:szCs w:val="24"/>
          <w:lang w:val="sr-Cyrl-RS"/>
        </w:rPr>
        <w:t>запослених</w:t>
      </w:r>
      <w:r w:rsidRPr="003B30E6">
        <w:rPr>
          <w:rFonts w:cs="Times New Roman"/>
          <w:szCs w:val="24"/>
          <w:lang w:val="sr-Cyrl-RS"/>
        </w:rPr>
        <w:t xml:space="preserve"> код послодавца – </w:t>
      </w:r>
      <w:r w:rsidRPr="003B30E6">
        <w:rPr>
          <w:rFonts w:cs="Times New Roman"/>
          <w:b/>
          <w:bCs/>
          <w:szCs w:val="24"/>
          <w:lang w:val="sr-Cyrl-RS"/>
        </w:rPr>
        <w:t>6,2%</w:t>
      </w:r>
      <w:r w:rsidRPr="003B30E6">
        <w:rPr>
          <w:rFonts w:cs="Times New Roman"/>
          <w:szCs w:val="24"/>
          <w:lang w:val="sr-Cyrl-RS"/>
        </w:rPr>
        <w:t xml:space="preserve">. Код </w:t>
      </w:r>
      <w:r w:rsidRPr="003B30E6">
        <w:rPr>
          <w:rFonts w:cs="Times New Roman"/>
          <w:b/>
          <w:bCs/>
          <w:szCs w:val="24"/>
          <w:lang w:val="sr-Cyrl-RS"/>
        </w:rPr>
        <w:t>самозапослених</w:t>
      </w:r>
      <w:r w:rsidRPr="003B30E6">
        <w:rPr>
          <w:rFonts w:cs="Times New Roman"/>
          <w:szCs w:val="24"/>
          <w:lang w:val="sr-Cyrl-RS"/>
        </w:rPr>
        <w:t xml:space="preserve"> ова стопа је износила </w:t>
      </w:r>
      <w:r w:rsidRPr="003B30E6">
        <w:rPr>
          <w:rFonts w:cs="Times New Roman"/>
          <w:b/>
          <w:bCs/>
          <w:szCs w:val="24"/>
          <w:lang w:val="sr-Cyrl-RS"/>
        </w:rPr>
        <w:t>18,8%</w:t>
      </w:r>
      <w:r w:rsidRPr="003B30E6">
        <w:rPr>
          <w:rFonts w:cs="Times New Roman"/>
          <w:szCs w:val="24"/>
          <w:lang w:val="sr-Cyrl-RS"/>
        </w:rPr>
        <w:t xml:space="preserve">, а код </w:t>
      </w:r>
      <w:r w:rsidRPr="003B30E6">
        <w:rPr>
          <w:rFonts w:cs="Times New Roman"/>
          <w:b/>
          <w:bCs/>
          <w:szCs w:val="24"/>
          <w:lang w:val="sr-Cyrl-RS"/>
        </w:rPr>
        <w:t>пензионера</w:t>
      </w:r>
      <w:r w:rsidRPr="003B30E6">
        <w:rPr>
          <w:rFonts w:cs="Times New Roman"/>
          <w:szCs w:val="24"/>
          <w:lang w:val="sr-Cyrl-RS"/>
        </w:rPr>
        <w:t xml:space="preserve"> </w:t>
      </w:r>
      <w:r w:rsidRPr="003B30E6">
        <w:rPr>
          <w:rFonts w:cs="Times New Roman"/>
          <w:b/>
          <w:bCs/>
          <w:szCs w:val="24"/>
          <w:lang w:val="sr-Cyrl-RS"/>
        </w:rPr>
        <w:t>19,4%</w:t>
      </w:r>
      <w:r w:rsidRPr="003B30E6">
        <w:rPr>
          <w:rFonts w:cs="Times New Roman"/>
          <w:szCs w:val="24"/>
          <w:lang w:val="sr-Cyrl-RS"/>
        </w:rPr>
        <w:t xml:space="preserve">. Према типу домаћинства, највишу стопу ризика од сиромаштва имала су </w:t>
      </w:r>
      <w:r w:rsidRPr="003B30E6">
        <w:rPr>
          <w:rFonts w:cs="Times New Roman"/>
          <w:b/>
          <w:szCs w:val="24"/>
          <w:lang w:val="sr-Cyrl-RS"/>
        </w:rPr>
        <w:t>лица у домаћинствима која чине две одрасле особе са троје или више издржаване деце</w:t>
      </w:r>
      <w:r w:rsidRPr="003B30E6">
        <w:rPr>
          <w:rFonts w:cs="Times New Roman"/>
          <w:szCs w:val="24"/>
          <w:lang w:val="sr-Cyrl-RS"/>
        </w:rPr>
        <w:t xml:space="preserve"> – </w:t>
      </w:r>
      <w:r w:rsidRPr="003B30E6">
        <w:rPr>
          <w:rFonts w:cs="Times New Roman"/>
          <w:b/>
          <w:bCs/>
          <w:szCs w:val="24"/>
          <w:lang w:val="sr-Cyrl-RS"/>
        </w:rPr>
        <w:t>37,2%</w:t>
      </w:r>
      <w:r w:rsidRPr="003B30E6">
        <w:rPr>
          <w:rFonts w:cs="Times New Roman"/>
          <w:szCs w:val="24"/>
          <w:lang w:val="sr-Cyrl-RS"/>
        </w:rPr>
        <w:t xml:space="preserve">, затим лица у домаћинствима која чине </w:t>
      </w:r>
      <w:r w:rsidRPr="003B30E6">
        <w:rPr>
          <w:rFonts w:cs="Times New Roman"/>
          <w:b/>
          <w:szCs w:val="24"/>
          <w:lang w:val="sr-Cyrl-RS"/>
        </w:rPr>
        <w:t>самохрани родитељи</w:t>
      </w:r>
      <w:r w:rsidRPr="003B30E6">
        <w:rPr>
          <w:rFonts w:cs="Times New Roman"/>
          <w:szCs w:val="24"/>
          <w:lang w:val="sr-Cyrl-RS"/>
        </w:rPr>
        <w:t xml:space="preserve"> са једним дететом или више издржаване деце – </w:t>
      </w:r>
      <w:r w:rsidRPr="003B30E6">
        <w:rPr>
          <w:rFonts w:cs="Times New Roman"/>
          <w:b/>
          <w:bCs/>
          <w:szCs w:val="24"/>
          <w:lang w:val="sr-Cyrl-RS"/>
        </w:rPr>
        <w:t>31,9%</w:t>
      </w:r>
      <w:r w:rsidRPr="003B30E6">
        <w:rPr>
          <w:rFonts w:cs="Times New Roman"/>
          <w:szCs w:val="24"/>
          <w:lang w:val="sr-Cyrl-RS"/>
        </w:rPr>
        <w:t>. Ризик од сиромаштва деце највише зависи од радног статуса родитеља.</w:t>
      </w:r>
    </w:p>
    <w:p w14:paraId="14C1BA63" w14:textId="77777777" w:rsidR="00DC7F92" w:rsidRPr="008E59CA" w:rsidRDefault="00DC7F92" w:rsidP="00DC7F92">
      <w:pPr>
        <w:spacing w:after="60"/>
        <w:rPr>
          <w:rFonts w:cs="Times New Roman"/>
          <w:szCs w:val="24"/>
        </w:rPr>
      </w:pPr>
      <w:r w:rsidRPr="003B30E6">
        <w:rPr>
          <w:rFonts w:cs="Times New Roman"/>
          <w:szCs w:val="24"/>
          <w:lang w:val="sr-Cyrl-RS"/>
        </w:rPr>
        <w:t xml:space="preserve">Праг ризика од сиромаштва је износио </w:t>
      </w:r>
      <w:r w:rsidRPr="003B30E6">
        <w:rPr>
          <w:rFonts w:cs="Times New Roman"/>
          <w:b/>
          <w:bCs/>
          <w:szCs w:val="24"/>
          <w:lang w:val="sr-Cyrl-RS"/>
        </w:rPr>
        <w:t xml:space="preserve">22.000 </w:t>
      </w:r>
      <w:r>
        <w:rPr>
          <w:rFonts w:cs="Times New Roman"/>
          <w:b/>
          <w:bCs/>
          <w:szCs w:val="24"/>
          <w:lang w:val="sr-Cyrl-RS"/>
        </w:rPr>
        <w:t>динара (183 евра)</w:t>
      </w:r>
      <w:r w:rsidRPr="003B30E6">
        <w:rPr>
          <w:rFonts w:cs="Times New Roman"/>
          <w:szCs w:val="24"/>
          <w:lang w:val="sr-Cyrl-RS"/>
        </w:rPr>
        <w:t xml:space="preserve"> просечно месечно за </w:t>
      </w:r>
      <w:r w:rsidRPr="003B30E6">
        <w:rPr>
          <w:rFonts w:cs="Times New Roman"/>
          <w:b/>
          <w:bCs/>
          <w:szCs w:val="24"/>
          <w:lang w:val="sr-Cyrl-RS"/>
        </w:rPr>
        <w:t>једночлано домаћинство</w:t>
      </w:r>
      <w:r w:rsidRPr="003B30E6">
        <w:rPr>
          <w:rFonts w:cs="Times New Roman"/>
          <w:szCs w:val="24"/>
          <w:lang w:val="sr-Cyrl-RS"/>
        </w:rPr>
        <w:t xml:space="preserve">. </w:t>
      </w:r>
      <w:r w:rsidRPr="003B30E6">
        <w:rPr>
          <w:rFonts w:cs="Times New Roman"/>
          <w:b/>
          <w:szCs w:val="24"/>
          <w:lang w:val="sr-Cyrl-RS"/>
        </w:rPr>
        <w:t>Неједнакост расподеле дохотка</w:t>
      </w:r>
      <w:r w:rsidRPr="003B30E6">
        <w:rPr>
          <w:rFonts w:cs="Times New Roman"/>
          <w:szCs w:val="24"/>
          <w:lang w:val="sr-Cyrl-RS"/>
        </w:rPr>
        <w:t xml:space="preserve"> је висока, јер је показатељ квинтилног односа (</w:t>
      </w:r>
      <w:r w:rsidRPr="003B30E6">
        <w:rPr>
          <w:rFonts w:cs="Times New Roman"/>
          <w:b/>
          <w:szCs w:val="24"/>
          <w:lang w:val="sr-Cyrl-RS"/>
        </w:rPr>
        <w:t>С80/С20</w:t>
      </w:r>
      <w:r w:rsidRPr="003B30E6">
        <w:rPr>
          <w:rFonts w:cs="Times New Roman"/>
          <w:szCs w:val="24"/>
          <w:lang w:val="sr-Cyrl-RS"/>
        </w:rPr>
        <w:t xml:space="preserve">) износио </w:t>
      </w:r>
      <w:r w:rsidRPr="003B30E6">
        <w:rPr>
          <w:rFonts w:cs="Times New Roman"/>
          <w:b/>
          <w:szCs w:val="24"/>
          <w:lang w:val="sr-Cyrl-RS"/>
        </w:rPr>
        <w:t>6,1</w:t>
      </w:r>
      <w:r w:rsidRPr="003B30E6">
        <w:rPr>
          <w:rStyle w:val="FootnoteReference"/>
          <w:rFonts w:cs="Times New Roman"/>
          <w:szCs w:val="24"/>
          <w:lang w:val="sr-Cyrl-RS"/>
        </w:rPr>
        <w:footnoteReference w:id="119"/>
      </w:r>
      <w:r w:rsidRPr="003B30E6">
        <w:rPr>
          <w:rFonts w:cs="Times New Roman"/>
          <w:b/>
          <w:szCs w:val="24"/>
          <w:lang w:val="sr-Cyrl-RS"/>
        </w:rPr>
        <w:t xml:space="preserve"> </w:t>
      </w:r>
      <w:r w:rsidRPr="003B30E6">
        <w:rPr>
          <w:rFonts w:cs="Times New Roman"/>
          <w:szCs w:val="24"/>
          <w:lang w:val="sr-Cyrl-RS"/>
        </w:rPr>
        <w:t>у 2020. То значи да је најбогатијих 20% становништва имало 6,1 пута већи доходак у односу на 20% најсиромашнијих</w:t>
      </w:r>
      <w:r>
        <w:rPr>
          <w:rFonts w:cs="Times New Roman"/>
          <w:szCs w:val="24"/>
          <w:lang w:val="sr-Cyrl-RS"/>
        </w:rPr>
        <w:t>.</w:t>
      </w:r>
      <w:r w:rsidRPr="003B30E6">
        <w:rPr>
          <w:rFonts w:cs="Times New Roman"/>
          <w:szCs w:val="24"/>
          <w:lang w:val="sr-Cyrl-RS"/>
        </w:rPr>
        <w:t xml:space="preserve"> </w:t>
      </w:r>
      <w:r w:rsidRPr="003B30E6">
        <w:rPr>
          <w:rFonts w:cs="Times New Roman"/>
          <w:b/>
          <w:szCs w:val="24"/>
          <w:lang w:val="sr-Cyrl-RS"/>
        </w:rPr>
        <w:t>Ђини коефицијент</w:t>
      </w:r>
      <w:r w:rsidRPr="003B30E6">
        <w:rPr>
          <w:rFonts w:cs="Times New Roman"/>
          <w:szCs w:val="24"/>
          <w:lang w:val="sr-Cyrl-RS"/>
        </w:rPr>
        <w:t xml:space="preserve"> у Србији је износио </w:t>
      </w:r>
      <w:r w:rsidRPr="003B30E6">
        <w:rPr>
          <w:rFonts w:cs="Times New Roman"/>
          <w:b/>
          <w:bCs/>
          <w:szCs w:val="24"/>
          <w:lang w:val="sr-Cyrl-RS"/>
        </w:rPr>
        <w:t>33,3</w:t>
      </w:r>
      <w:r w:rsidRPr="003B30E6">
        <w:rPr>
          <w:rFonts w:cs="Times New Roman"/>
          <w:szCs w:val="24"/>
          <w:lang w:val="sr-Cyrl-RS"/>
        </w:rPr>
        <w:t xml:space="preserve">, што је изнад овог коефицијента у </w:t>
      </w:r>
      <w:r w:rsidRPr="003B30E6">
        <w:rPr>
          <w:rFonts w:cs="Times New Roman"/>
          <w:bCs/>
          <w:szCs w:val="24"/>
          <w:lang w:val="sr-Cyrl-RS"/>
        </w:rPr>
        <w:t>ЕУ-2</w:t>
      </w:r>
      <w:r>
        <w:rPr>
          <w:rFonts w:cs="Times New Roman"/>
          <w:bCs/>
          <w:szCs w:val="24"/>
        </w:rPr>
        <w:t>7</w:t>
      </w:r>
      <w:r w:rsidRPr="003B30E6">
        <w:rPr>
          <w:rFonts w:cs="Times New Roman"/>
          <w:szCs w:val="24"/>
          <w:lang w:val="sr-Cyrl-RS"/>
        </w:rPr>
        <w:t xml:space="preserve"> у 2019. (</w:t>
      </w:r>
      <w:r>
        <w:rPr>
          <w:rFonts w:cs="Times New Roman"/>
          <w:b/>
          <w:bCs/>
          <w:szCs w:val="24"/>
          <w:lang w:val="sr-Cyrl-RS"/>
        </w:rPr>
        <w:t>30,2</w:t>
      </w:r>
      <w:r w:rsidRPr="003B30E6">
        <w:rPr>
          <w:rFonts w:cs="Times New Roman"/>
          <w:szCs w:val="24"/>
          <w:lang w:val="sr-Cyrl-RS"/>
        </w:rPr>
        <w:t>)</w:t>
      </w:r>
      <w:r w:rsidRPr="003B30E6">
        <w:rPr>
          <w:rStyle w:val="FootnoteReference"/>
          <w:rFonts w:cs="Times New Roman"/>
          <w:szCs w:val="24"/>
          <w:lang w:val="sr-Cyrl-RS"/>
        </w:rPr>
        <w:footnoteReference w:id="120"/>
      </w:r>
      <w:r>
        <w:rPr>
          <w:rFonts w:cs="Times New Roman"/>
          <w:szCs w:val="24"/>
        </w:rPr>
        <w:t>.</w:t>
      </w:r>
    </w:p>
    <w:p w14:paraId="67183703" w14:textId="77777777" w:rsidR="00DC7F92" w:rsidRPr="00B541B2" w:rsidRDefault="00DC7F92" w:rsidP="00DC7F92">
      <w:pPr>
        <w:spacing w:after="60"/>
        <w:rPr>
          <w:rFonts w:cs="Times New Roman"/>
          <w:szCs w:val="24"/>
          <w:lang w:val="sr-Cyrl-RS"/>
        </w:rPr>
      </w:pPr>
      <w:r w:rsidRPr="002B77D3">
        <w:rPr>
          <w:rFonts w:cs="Times New Roman"/>
          <w:b/>
          <w:szCs w:val="24"/>
          <w:lang w:val="sr-Cyrl-RS"/>
        </w:rPr>
        <w:lastRenderedPageBreak/>
        <w:t xml:space="preserve">Учешће јавних расхода за социјалну помоћ и трансфере из </w:t>
      </w:r>
      <w:r w:rsidRPr="00CD161C">
        <w:rPr>
          <w:rFonts w:cs="Times New Roman"/>
          <w:b/>
          <w:szCs w:val="24"/>
          <w:lang w:val="sr-Cyrl-RS"/>
        </w:rPr>
        <w:t>буџета у БДП-у</w:t>
      </w:r>
      <w:r w:rsidRPr="002B77D3">
        <w:rPr>
          <w:rFonts w:cs="Times New Roman"/>
          <w:szCs w:val="24"/>
          <w:lang w:val="sr-Cyrl-RS"/>
        </w:rPr>
        <w:t xml:space="preserve"> Србије последњих година се постепено смањује, тако да </w:t>
      </w:r>
      <w:r w:rsidRPr="00CD161C">
        <w:rPr>
          <w:rFonts w:cs="Times New Roman"/>
          <w:szCs w:val="24"/>
          <w:lang w:val="sr-Cyrl-RS"/>
        </w:rPr>
        <w:t xml:space="preserve">износи </w:t>
      </w:r>
      <w:r w:rsidRPr="00CD161C">
        <w:rPr>
          <w:rFonts w:cs="Times New Roman"/>
          <w:b/>
          <w:szCs w:val="24"/>
          <w:lang w:val="sr-Cyrl-RS"/>
        </w:rPr>
        <w:t>14,8%</w:t>
      </w:r>
      <w:r w:rsidRPr="00CD161C">
        <w:rPr>
          <w:rStyle w:val="FootnoteReference"/>
          <w:rFonts w:cs="Times New Roman"/>
          <w:szCs w:val="24"/>
          <w:lang w:val="sr-Cyrl-RS"/>
        </w:rPr>
        <w:footnoteReference w:id="121"/>
      </w:r>
      <w:r w:rsidRPr="00CD161C">
        <w:rPr>
          <w:rFonts w:cs="Times New Roman"/>
          <w:szCs w:val="24"/>
          <w:lang w:val="sr-Cyrl-RS"/>
        </w:rPr>
        <w:t xml:space="preserve"> БДП-а у </w:t>
      </w:r>
      <w:r w:rsidRPr="002B77D3">
        <w:rPr>
          <w:rFonts w:cs="Times New Roman"/>
          <w:szCs w:val="24"/>
          <w:lang w:val="sr-Cyrl-RS"/>
        </w:rPr>
        <w:t xml:space="preserve">2020. </w:t>
      </w:r>
      <w:r>
        <w:rPr>
          <w:rFonts w:cs="Times New Roman"/>
          <w:szCs w:val="24"/>
          <w:lang w:val="sr-Cyrl-RS"/>
        </w:rPr>
        <w:t>години</w:t>
      </w:r>
      <w:r w:rsidRPr="002B77D3">
        <w:rPr>
          <w:rFonts w:cs="Times New Roman"/>
          <w:szCs w:val="24"/>
          <w:lang w:val="sr-Cyrl-RS"/>
        </w:rPr>
        <w:t xml:space="preserve">. У </w:t>
      </w:r>
      <w:r w:rsidRPr="002B77D3">
        <w:rPr>
          <w:rFonts w:cs="Times New Roman"/>
          <w:b/>
          <w:szCs w:val="24"/>
          <w:lang w:val="sr-Cyrl-RS"/>
        </w:rPr>
        <w:t>структури рас</w:t>
      </w:r>
      <w:r>
        <w:rPr>
          <w:rFonts w:cs="Times New Roman"/>
          <w:b/>
          <w:szCs w:val="24"/>
          <w:lang w:val="sr-Cyrl-RS"/>
        </w:rPr>
        <w:t>х</w:t>
      </w:r>
      <w:r w:rsidRPr="002B77D3">
        <w:rPr>
          <w:rFonts w:cs="Times New Roman"/>
          <w:b/>
          <w:szCs w:val="24"/>
          <w:lang w:val="sr-Cyrl-RS"/>
        </w:rPr>
        <w:t>ода</w:t>
      </w:r>
      <w:r w:rsidRPr="002B77D3">
        <w:rPr>
          <w:rFonts w:cs="Times New Roman"/>
          <w:szCs w:val="24"/>
          <w:lang w:val="sr-Cyrl-RS"/>
        </w:rPr>
        <w:t xml:space="preserve"> доминирају </w:t>
      </w:r>
      <w:r w:rsidRPr="002B77D3">
        <w:rPr>
          <w:rFonts w:cs="Times New Roman"/>
          <w:b/>
          <w:szCs w:val="24"/>
          <w:lang w:val="sr-Cyrl-RS"/>
        </w:rPr>
        <w:t>пензије</w:t>
      </w:r>
      <w:r w:rsidRPr="002B77D3">
        <w:rPr>
          <w:rFonts w:cs="Times New Roman"/>
          <w:szCs w:val="24"/>
          <w:lang w:val="sr-Cyrl-RS"/>
        </w:rPr>
        <w:t xml:space="preserve"> са </w:t>
      </w:r>
      <w:r w:rsidRPr="004E7F42">
        <w:rPr>
          <w:rFonts w:cs="Times New Roman"/>
          <w:b/>
          <w:szCs w:val="24"/>
          <w:lang w:val="sr-Cyrl-RS"/>
        </w:rPr>
        <w:t>72,4%</w:t>
      </w:r>
      <w:r w:rsidRPr="002B77D3">
        <w:rPr>
          <w:rFonts w:cs="Times New Roman"/>
          <w:szCs w:val="24"/>
          <w:lang w:val="sr-Cyrl-RS"/>
        </w:rPr>
        <w:t xml:space="preserve"> укупних расхода за социјалну помоћ и трансфере или </w:t>
      </w:r>
      <w:r w:rsidRPr="004E7F42">
        <w:rPr>
          <w:rFonts w:cs="Times New Roman"/>
          <w:b/>
          <w:szCs w:val="24"/>
          <w:lang w:val="sr-Cyrl-RS"/>
        </w:rPr>
        <w:t>10,7%</w:t>
      </w:r>
      <w:r w:rsidRPr="002B77D3">
        <w:rPr>
          <w:rFonts w:cs="Times New Roman"/>
          <w:szCs w:val="24"/>
          <w:lang w:val="sr-Cyrl-RS"/>
        </w:rPr>
        <w:t xml:space="preserve"> БДП-а.</w:t>
      </w:r>
      <w:r>
        <w:rPr>
          <w:rFonts w:cs="Times New Roman"/>
          <w:szCs w:val="24"/>
        </w:rPr>
        <w:t xml:space="preserve"> </w:t>
      </w:r>
      <w:r w:rsidRPr="002B77D3">
        <w:rPr>
          <w:rFonts w:cs="Times New Roman"/>
          <w:szCs w:val="24"/>
          <w:lang w:val="sr-Cyrl-RS"/>
        </w:rPr>
        <w:t xml:space="preserve">У области пензијског система, усвојена је </w:t>
      </w:r>
      <w:r w:rsidRPr="002B77D3">
        <w:rPr>
          <w:rFonts w:cs="Times New Roman"/>
          <w:b/>
          <w:szCs w:val="24"/>
          <w:lang w:val="sr-Cyrl-RS"/>
        </w:rPr>
        <w:t>швајцарска формула</w:t>
      </w:r>
      <w:r w:rsidRPr="002B77D3">
        <w:rPr>
          <w:rFonts w:cs="Times New Roman"/>
          <w:szCs w:val="24"/>
          <w:lang w:val="sr-Cyrl-RS"/>
        </w:rPr>
        <w:t xml:space="preserve"> </w:t>
      </w:r>
      <w:r w:rsidRPr="00CD161C">
        <w:rPr>
          <w:rFonts w:cs="Times New Roman"/>
          <w:b/>
          <w:szCs w:val="24"/>
          <w:lang w:val="sr-Cyrl-RS"/>
        </w:rPr>
        <w:t>за индексацију пензија</w:t>
      </w:r>
      <w:r w:rsidRPr="002B77D3">
        <w:rPr>
          <w:rFonts w:cs="Times New Roman"/>
          <w:szCs w:val="24"/>
          <w:lang w:val="sr-Cyrl-RS"/>
        </w:rPr>
        <w:t xml:space="preserve"> крајем 2019. (пензије се индексирају са комбинацијом инфлације и раста зарада како би се заштитила њихова </w:t>
      </w:r>
      <w:r w:rsidRPr="0002732C">
        <w:rPr>
          <w:rFonts w:cs="Times New Roman"/>
          <w:b/>
          <w:bCs/>
          <w:szCs w:val="24"/>
          <w:lang w:val="sr-Cyrl-RS"/>
        </w:rPr>
        <w:t xml:space="preserve">реална куповна </w:t>
      </w:r>
      <w:r w:rsidRPr="00CD161C">
        <w:rPr>
          <w:rFonts w:cs="Times New Roman"/>
          <w:b/>
          <w:bCs/>
          <w:szCs w:val="24"/>
          <w:lang w:val="sr-Cyrl-RS"/>
        </w:rPr>
        <w:t>моћ</w:t>
      </w:r>
      <w:r w:rsidRPr="00CD161C">
        <w:rPr>
          <w:rFonts w:cs="Times New Roman"/>
          <w:szCs w:val="24"/>
          <w:lang w:val="sr-Cyrl-RS"/>
        </w:rPr>
        <w:t>, односно омогућило да стандард пензионера прати привредни раст и стандард запослених).</w:t>
      </w:r>
      <w:r>
        <w:rPr>
          <w:rFonts w:cs="Times New Roman"/>
          <w:szCs w:val="24"/>
          <w:lang w:val="sr-Cyrl-RS"/>
        </w:rPr>
        <w:t xml:space="preserve"> </w:t>
      </w:r>
      <w:r w:rsidRPr="00B541B2">
        <w:rPr>
          <w:rFonts w:cs="Times New Roman"/>
          <w:szCs w:val="24"/>
          <w:lang w:val="sr-Cyrl-RS"/>
        </w:rPr>
        <w:t>Највећи изазов за пензиони систем представља лоша демографска ситуација. Да би пензиони систем по концепту интра генерацијске прерасподеле био одржив, потребан је однос од минимум 3</w:t>
      </w:r>
      <w:r>
        <w:rPr>
          <w:rFonts w:cs="Times New Roman"/>
          <w:szCs w:val="24"/>
          <w:lang w:val="sr-Cyrl-RS"/>
        </w:rPr>
        <w:t xml:space="preserve"> запослена на једног пензионера, а тренутно је у Србији тај однос 1,3 </w:t>
      </w:r>
      <w:r w:rsidRPr="00B541B2">
        <w:rPr>
          <w:rFonts w:cs="Times New Roman"/>
          <w:szCs w:val="24"/>
          <w:lang w:val="sr-Cyrl-RS"/>
        </w:rPr>
        <w:t>запослен</w:t>
      </w:r>
      <w:r>
        <w:rPr>
          <w:rFonts w:cs="Times New Roman"/>
          <w:szCs w:val="24"/>
          <w:lang w:val="sr-Cyrl-RS"/>
        </w:rPr>
        <w:t>их</w:t>
      </w:r>
      <w:r w:rsidRPr="00B541B2">
        <w:rPr>
          <w:rFonts w:cs="Times New Roman"/>
          <w:szCs w:val="24"/>
          <w:lang w:val="sr-Cyrl-RS"/>
        </w:rPr>
        <w:t xml:space="preserve"> на </w:t>
      </w:r>
      <w:r>
        <w:rPr>
          <w:rFonts w:cs="Times New Roman"/>
          <w:szCs w:val="24"/>
          <w:lang w:val="sr-Cyrl-RS"/>
        </w:rPr>
        <w:t>једног</w:t>
      </w:r>
      <w:r w:rsidRPr="00B541B2">
        <w:rPr>
          <w:rFonts w:cs="Times New Roman"/>
          <w:szCs w:val="24"/>
          <w:lang w:val="sr-Cyrl-RS"/>
        </w:rPr>
        <w:t xml:space="preserve"> пензионера</w:t>
      </w:r>
      <w:r>
        <w:rPr>
          <w:rFonts w:cs="Times New Roman"/>
          <w:szCs w:val="24"/>
          <w:lang w:val="sr-Cyrl-RS"/>
        </w:rPr>
        <w:t>.</w:t>
      </w:r>
    </w:p>
    <w:p w14:paraId="27036022" w14:textId="77777777" w:rsidR="00DC7F92" w:rsidRDefault="00DC7F92" w:rsidP="00DC7F92">
      <w:pPr>
        <w:spacing w:after="60"/>
        <w:rPr>
          <w:rFonts w:cs="Times New Roman"/>
          <w:szCs w:val="24"/>
          <w:lang w:val="sr-Cyrl-RS"/>
        </w:rPr>
      </w:pPr>
      <w:r w:rsidRPr="007A4DB0">
        <w:rPr>
          <w:rFonts w:cs="Times New Roman"/>
          <w:b/>
          <w:szCs w:val="24"/>
          <w:lang w:val="sr-Cyrl-RS"/>
        </w:rPr>
        <w:t>Расходи за социјалну помоћ</w:t>
      </w:r>
      <w:r w:rsidRPr="002B77D3">
        <w:rPr>
          <w:rFonts w:cs="Times New Roman"/>
          <w:szCs w:val="24"/>
          <w:lang w:val="sr-Cyrl-RS"/>
        </w:rPr>
        <w:t xml:space="preserve"> износе </w:t>
      </w:r>
      <w:r w:rsidRPr="00143A9C">
        <w:rPr>
          <w:rFonts w:cs="Times New Roman"/>
          <w:b/>
          <w:szCs w:val="24"/>
          <w:lang w:val="sr-Cyrl-RS"/>
        </w:rPr>
        <w:t>2,9% БДП-а</w:t>
      </w:r>
      <w:r>
        <w:rPr>
          <w:rStyle w:val="FootnoteReference"/>
          <w:rFonts w:cs="Times New Roman"/>
          <w:szCs w:val="24"/>
          <w:lang w:val="sr-Cyrl-RS"/>
        </w:rPr>
        <w:footnoteReference w:id="122"/>
      </w:r>
      <w:r w:rsidRPr="002B77D3">
        <w:rPr>
          <w:rFonts w:cs="Times New Roman"/>
          <w:szCs w:val="24"/>
          <w:lang w:val="sr-Cyrl-RS"/>
        </w:rPr>
        <w:t xml:space="preserve"> у 2020. години, што је недовољно да би се систематичније усмерили на оне кориснике којима је помоћ најпотребнија. </w:t>
      </w:r>
      <w:r w:rsidRPr="00C6701E">
        <w:rPr>
          <w:rFonts w:cs="Times New Roman"/>
          <w:szCs w:val="24"/>
          <w:lang w:val="sr-Cyrl-RS"/>
        </w:rPr>
        <w:t xml:space="preserve">Просечна минимална потрошачка корпа за трочлано домаћинство у Србији износила је 37.860,56 </w:t>
      </w:r>
      <w:r>
        <w:rPr>
          <w:rFonts w:cs="Times New Roman"/>
          <w:szCs w:val="24"/>
          <w:lang w:val="sr-Cyrl-RS"/>
        </w:rPr>
        <w:t>динара</w:t>
      </w:r>
      <w:r>
        <w:rPr>
          <w:rStyle w:val="FootnoteReference"/>
          <w:rFonts w:cs="Times New Roman"/>
          <w:szCs w:val="24"/>
          <w:lang w:val="sr-Cyrl-RS"/>
        </w:rPr>
        <w:footnoteReference w:id="123"/>
      </w:r>
      <w:r w:rsidRPr="00C6701E">
        <w:rPr>
          <w:rFonts w:cs="Times New Roman"/>
          <w:szCs w:val="24"/>
          <w:lang w:val="sr-Cyrl-RS"/>
        </w:rPr>
        <w:t xml:space="preserve"> (</w:t>
      </w:r>
      <w:r>
        <w:rPr>
          <w:rFonts w:cs="Times New Roman"/>
          <w:szCs w:val="24"/>
          <w:lang w:val="sr-Cyrl-RS"/>
        </w:rPr>
        <w:t>315 евра) у 2020. години, док је п</w:t>
      </w:r>
      <w:r w:rsidRPr="00CD28F6">
        <w:rPr>
          <w:rFonts w:cs="Times New Roman"/>
          <w:szCs w:val="24"/>
          <w:lang w:val="sr-Cyrl-RS"/>
        </w:rPr>
        <w:t xml:space="preserve">раг ризика од сиромаштва за трочлано домаћинство </w:t>
      </w:r>
      <w:r>
        <w:rPr>
          <w:rFonts w:cs="Times New Roman"/>
          <w:szCs w:val="24"/>
          <w:lang w:val="sr-Cyrl-RS"/>
        </w:rPr>
        <w:t>(</w:t>
      </w:r>
      <w:r w:rsidRPr="00CD28F6">
        <w:rPr>
          <w:rFonts w:cs="Times New Roman"/>
          <w:szCs w:val="24"/>
          <w:lang w:val="sr-Cyrl-RS"/>
        </w:rPr>
        <w:t>двоје одраслих и једн</w:t>
      </w:r>
      <w:r>
        <w:rPr>
          <w:rFonts w:cs="Times New Roman"/>
          <w:szCs w:val="24"/>
          <w:lang w:val="sr-Cyrl-RS"/>
        </w:rPr>
        <w:t>о</w:t>
      </w:r>
      <w:r w:rsidRPr="00CD28F6">
        <w:rPr>
          <w:rFonts w:cs="Times New Roman"/>
          <w:szCs w:val="24"/>
          <w:lang w:val="sr-Cyrl-RS"/>
        </w:rPr>
        <w:t xml:space="preserve"> дете старости до 14 година</w:t>
      </w:r>
      <w:r>
        <w:rPr>
          <w:rFonts w:cs="Times New Roman"/>
          <w:szCs w:val="24"/>
          <w:lang w:val="sr-Cyrl-RS"/>
        </w:rPr>
        <w:t>)</w:t>
      </w:r>
      <w:r w:rsidRPr="00CD28F6">
        <w:rPr>
          <w:rFonts w:cs="Times New Roman"/>
          <w:szCs w:val="24"/>
          <w:lang w:val="sr-Cyrl-RS"/>
        </w:rPr>
        <w:t xml:space="preserve"> износио 39.600 </w:t>
      </w:r>
      <w:r>
        <w:rPr>
          <w:rFonts w:cs="Times New Roman"/>
          <w:szCs w:val="24"/>
          <w:lang w:val="sr-Cyrl-RS"/>
        </w:rPr>
        <w:t>динара</w:t>
      </w:r>
      <w:r>
        <w:rPr>
          <w:rStyle w:val="FootnoteReference"/>
          <w:rFonts w:cs="Times New Roman"/>
          <w:szCs w:val="24"/>
          <w:lang w:val="sr-Cyrl-RS"/>
        </w:rPr>
        <w:footnoteReference w:id="124"/>
      </w:r>
      <w:r>
        <w:rPr>
          <w:rFonts w:cs="Times New Roman"/>
          <w:szCs w:val="24"/>
          <w:lang w:val="sr-Cyrl-RS"/>
        </w:rPr>
        <w:t xml:space="preserve"> (330 евра)</w:t>
      </w:r>
      <w:r w:rsidRPr="00CD28F6">
        <w:rPr>
          <w:rFonts w:cs="Times New Roman"/>
          <w:szCs w:val="24"/>
          <w:lang w:val="sr-Cyrl-RS"/>
        </w:rPr>
        <w:t>.</w:t>
      </w:r>
      <w:r w:rsidRPr="00C6701E">
        <w:rPr>
          <w:rFonts w:cs="Times New Roman"/>
          <w:szCs w:val="24"/>
          <w:lang w:val="sr-Cyrl-RS"/>
        </w:rPr>
        <w:t xml:space="preserve"> У исто време, </w:t>
      </w:r>
      <w:r w:rsidRPr="00CD161C">
        <w:rPr>
          <w:rFonts w:cs="Times New Roman"/>
          <w:b/>
          <w:szCs w:val="24"/>
          <w:lang w:val="sr-Cyrl-RS"/>
        </w:rPr>
        <w:t>износ новчане социјалне помоћи коју остварује трочлана породица</w:t>
      </w:r>
      <w:r w:rsidRPr="00C6701E">
        <w:rPr>
          <w:rFonts w:cs="Times New Roman"/>
          <w:szCs w:val="24"/>
          <w:lang w:val="sr-Cyrl-RS"/>
        </w:rPr>
        <w:t xml:space="preserve"> (</w:t>
      </w:r>
      <w:r>
        <w:rPr>
          <w:rFonts w:cs="Times New Roman"/>
          <w:szCs w:val="24"/>
          <w:lang w:val="sr-Cyrl-RS"/>
        </w:rPr>
        <w:t xml:space="preserve">носилац права, додатак за одрасло лице и додатак за дете) </w:t>
      </w:r>
      <w:r w:rsidRPr="00CD161C">
        <w:rPr>
          <w:rFonts w:cs="Times New Roman"/>
          <w:b/>
          <w:szCs w:val="24"/>
          <w:lang w:val="sr-Cyrl-RS"/>
        </w:rPr>
        <w:t xml:space="preserve">износи 15.806,00 </w:t>
      </w:r>
      <w:r>
        <w:rPr>
          <w:rFonts w:cs="Times New Roman"/>
          <w:b/>
          <w:szCs w:val="24"/>
          <w:lang w:val="sr-Cyrl-RS"/>
        </w:rPr>
        <w:t>динара</w:t>
      </w:r>
      <w:r w:rsidRPr="00CD161C">
        <w:rPr>
          <w:rFonts w:cs="Times New Roman"/>
          <w:b/>
          <w:szCs w:val="24"/>
          <w:lang w:val="sr-Cyrl-RS"/>
        </w:rPr>
        <w:t xml:space="preserve"> (132 </w:t>
      </w:r>
      <w:r>
        <w:rPr>
          <w:rFonts w:cs="Times New Roman"/>
          <w:b/>
          <w:szCs w:val="24"/>
          <w:lang w:val="sr-Cyrl-RS"/>
        </w:rPr>
        <w:t>евра</w:t>
      </w:r>
      <w:r w:rsidRPr="00CD161C">
        <w:rPr>
          <w:rFonts w:cs="Times New Roman"/>
          <w:b/>
          <w:szCs w:val="24"/>
          <w:lang w:val="sr-Cyrl-RS"/>
        </w:rPr>
        <w:t>)</w:t>
      </w:r>
      <w:r>
        <w:rPr>
          <w:rFonts w:cs="Times New Roman"/>
          <w:szCs w:val="24"/>
          <w:lang w:val="sr-Cyrl-RS"/>
        </w:rPr>
        <w:t xml:space="preserve">, што је мање од половине како просечне минималне потрошачке корпе тако и прага ризика од сиромаштва. </w:t>
      </w:r>
      <w:r w:rsidRPr="002B77D3">
        <w:rPr>
          <w:rFonts w:cs="Times New Roman"/>
          <w:szCs w:val="24"/>
          <w:lang w:val="sr-Cyrl-RS"/>
        </w:rPr>
        <w:t>Због тога је обезбеђивање адекватних финансијских и институционалних ресурса за социјалну политику</w:t>
      </w:r>
      <w:r>
        <w:rPr>
          <w:rFonts w:cs="Times New Roman"/>
          <w:szCs w:val="24"/>
          <w:lang w:val="sr-Cyrl-RS"/>
        </w:rPr>
        <w:t xml:space="preserve"> приоритет за наредни период.</w:t>
      </w:r>
    </w:p>
    <w:p w14:paraId="478BBD5C" w14:textId="77777777" w:rsidR="00DC7F92" w:rsidRDefault="00DC7F92" w:rsidP="00DC7F92">
      <w:pPr>
        <w:spacing w:after="240"/>
        <w:rPr>
          <w:rFonts w:cs="Times New Roman"/>
          <w:szCs w:val="24"/>
          <w:lang w:val="sr-Cyrl-RS"/>
        </w:rPr>
      </w:pPr>
      <w:r w:rsidRPr="002B77D3">
        <w:rPr>
          <w:rFonts w:cs="Times New Roman"/>
          <w:b/>
          <w:szCs w:val="24"/>
          <w:lang w:val="sr-Cyrl-RS"/>
        </w:rPr>
        <w:t>Побољшање адекватности социјалних давања</w:t>
      </w:r>
      <w:r w:rsidRPr="002B77D3">
        <w:rPr>
          <w:rFonts w:cs="Times New Roman"/>
          <w:szCs w:val="24"/>
          <w:lang w:val="sr-Cyrl-RS"/>
        </w:rPr>
        <w:t xml:space="preserve"> за становништво испод прага сиромаштва и прерасподела средстава између постојећих програма је изазов. Са циљем решавања ових проблема, </w:t>
      </w:r>
      <w:r w:rsidRPr="007409D5">
        <w:rPr>
          <w:rFonts w:cs="Times New Roman"/>
          <w:b/>
          <w:szCs w:val="24"/>
          <w:lang w:val="sr-Cyrl-RS"/>
        </w:rPr>
        <w:t xml:space="preserve">усвојен је </w:t>
      </w:r>
      <w:r w:rsidRPr="007409D5">
        <w:rPr>
          <w:rFonts w:cs="Times New Roman"/>
          <w:b/>
          <w:i/>
          <w:szCs w:val="24"/>
          <w:lang w:val="sr-Cyrl-RS"/>
        </w:rPr>
        <w:t>Закон о социјалној карти</w:t>
      </w:r>
      <w:r>
        <w:rPr>
          <w:rFonts w:cs="Times New Roman"/>
          <w:i/>
          <w:szCs w:val="24"/>
          <w:lang w:val="sr-Latn-RS"/>
        </w:rPr>
        <w:t xml:space="preserve"> </w:t>
      </w:r>
      <w:r w:rsidRPr="002842C8">
        <w:rPr>
          <w:rFonts w:cs="Times New Roman"/>
          <w:szCs w:val="24"/>
          <w:lang w:val="sr-Latn-RS"/>
        </w:rPr>
        <w:t>(</w:t>
      </w:r>
      <w:r>
        <w:rPr>
          <w:rFonts w:cs="Times New Roman"/>
          <w:szCs w:val="24"/>
          <w:lang w:val="sr-Cyrl-RS"/>
        </w:rPr>
        <w:t>“Службени гласник РС“, бр.</w:t>
      </w:r>
      <w:r w:rsidRPr="002842C8">
        <w:rPr>
          <w:rFonts w:cs="Times New Roman"/>
          <w:szCs w:val="24"/>
          <w:lang w:val="sr-Cyrl-RS"/>
        </w:rPr>
        <w:t xml:space="preserve"> 14/21)</w:t>
      </w:r>
      <w:r>
        <w:rPr>
          <w:rFonts w:cs="Times New Roman"/>
          <w:szCs w:val="24"/>
          <w:lang w:val="sr-Cyrl-RS"/>
        </w:rPr>
        <w:t>, чија п</w:t>
      </w:r>
      <w:r w:rsidRPr="007409D5">
        <w:rPr>
          <w:rFonts w:cs="Times New Roman"/>
          <w:b/>
          <w:szCs w:val="24"/>
          <w:lang w:val="sr-Cyrl-RS"/>
        </w:rPr>
        <w:t>римена почиње 1. марта 2022.</w:t>
      </w:r>
      <w:r w:rsidRPr="002B77D3">
        <w:rPr>
          <w:rFonts w:cs="Times New Roman"/>
          <w:szCs w:val="24"/>
          <w:lang w:val="sr-Cyrl-RS"/>
        </w:rPr>
        <w:t xml:space="preserve"> Циљ закона је праведнија расподела но</w:t>
      </w:r>
      <w:r>
        <w:rPr>
          <w:rFonts w:cs="Times New Roman"/>
          <w:szCs w:val="24"/>
          <w:lang w:val="sr-Cyrl-RS"/>
        </w:rPr>
        <w:t>вца за социјално најугроженије, као и</w:t>
      </w:r>
      <w:r w:rsidRPr="002B77D3">
        <w:rPr>
          <w:rFonts w:cs="Times New Roman"/>
          <w:szCs w:val="24"/>
          <w:lang w:val="sr-Cyrl-RS"/>
        </w:rPr>
        <w:t xml:space="preserve"> боља контрола социјалних давања. </w:t>
      </w:r>
      <w:r>
        <w:rPr>
          <w:rFonts w:cs="Times New Roman"/>
          <w:szCs w:val="24"/>
          <w:lang w:val="sr-Cyrl-RS"/>
        </w:rPr>
        <w:t>З</w:t>
      </w:r>
      <w:r w:rsidRPr="00CC07EF">
        <w:rPr>
          <w:rFonts w:cs="Times New Roman"/>
          <w:szCs w:val="24"/>
          <w:lang w:val="sr-Cyrl-RS"/>
        </w:rPr>
        <w:t>авршено</w:t>
      </w:r>
      <w:r>
        <w:rPr>
          <w:rFonts w:cs="Times New Roman"/>
          <w:szCs w:val="24"/>
          <w:lang w:val="sr-Cyrl-RS"/>
        </w:rPr>
        <w:t xml:space="preserve"> је</w:t>
      </w:r>
      <w:r w:rsidRPr="00CC07EF">
        <w:rPr>
          <w:rFonts w:cs="Times New Roman"/>
          <w:szCs w:val="24"/>
          <w:lang w:val="sr-Cyrl-RS"/>
        </w:rPr>
        <w:t xml:space="preserve"> повезивање интерних исплатних база података на нивоу </w:t>
      </w:r>
      <w:r>
        <w:rPr>
          <w:rFonts w:cs="Times New Roman"/>
          <w:szCs w:val="24"/>
          <w:lang w:val="sr-Cyrl-RS"/>
        </w:rPr>
        <w:t>ресорног министарства</w:t>
      </w:r>
      <w:r w:rsidRPr="00CC07EF">
        <w:rPr>
          <w:rFonts w:cs="Times New Roman"/>
          <w:szCs w:val="24"/>
          <w:lang w:val="sr-Cyrl-RS"/>
        </w:rPr>
        <w:t xml:space="preserve"> (базе социјалне, дечје и борачко-инвалидске заштите)</w:t>
      </w:r>
      <w:r>
        <w:rPr>
          <w:rFonts w:cs="Times New Roman"/>
          <w:szCs w:val="24"/>
          <w:lang w:val="sr-Cyrl-RS"/>
        </w:rPr>
        <w:t xml:space="preserve">. </w:t>
      </w:r>
      <w:r w:rsidRPr="002842C8">
        <w:rPr>
          <w:rFonts w:cs="Times New Roman"/>
          <w:szCs w:val="24"/>
          <w:lang w:val="sr-Cyrl-RS"/>
        </w:rPr>
        <w:t xml:space="preserve">Регистар </w:t>
      </w:r>
      <w:r>
        <w:rPr>
          <w:rFonts w:cs="Times New Roman"/>
          <w:szCs w:val="24"/>
          <w:lang w:val="sr-Cyrl-RS"/>
        </w:rPr>
        <w:t>С</w:t>
      </w:r>
      <w:r w:rsidRPr="002842C8">
        <w:rPr>
          <w:rFonts w:cs="Times New Roman"/>
          <w:szCs w:val="24"/>
          <w:lang w:val="sr-Cyrl-RS"/>
        </w:rPr>
        <w:t>оцијалн</w:t>
      </w:r>
      <w:r>
        <w:rPr>
          <w:rFonts w:cs="Times New Roman"/>
          <w:szCs w:val="24"/>
          <w:lang w:val="sr-Cyrl-RS"/>
        </w:rPr>
        <w:t>а</w:t>
      </w:r>
      <w:r w:rsidRPr="002842C8">
        <w:rPr>
          <w:rFonts w:cs="Times New Roman"/>
          <w:szCs w:val="24"/>
          <w:lang w:val="sr-Cyrl-RS"/>
        </w:rPr>
        <w:t xml:space="preserve"> карт</w:t>
      </w:r>
      <w:r>
        <w:rPr>
          <w:rFonts w:cs="Times New Roman"/>
          <w:szCs w:val="24"/>
          <w:lang w:val="sr-Cyrl-RS"/>
        </w:rPr>
        <w:t>а</w:t>
      </w:r>
      <w:r w:rsidRPr="002842C8">
        <w:rPr>
          <w:rFonts w:cs="Times New Roman"/>
          <w:szCs w:val="24"/>
          <w:lang w:val="sr-Cyrl-RS"/>
        </w:rPr>
        <w:t xml:space="preserve"> би требало најкасније до јануара 2022. да се повеже са осталим регистрима при министарствима, као и </w:t>
      </w:r>
      <w:r>
        <w:rPr>
          <w:rFonts w:cs="Times New Roman"/>
          <w:szCs w:val="24"/>
          <w:lang w:val="sr-Cyrl-RS"/>
        </w:rPr>
        <w:t>ЦРОСО-ом</w:t>
      </w:r>
      <w:r w:rsidRPr="002842C8">
        <w:rPr>
          <w:rFonts w:cs="Times New Roman"/>
          <w:szCs w:val="24"/>
          <w:lang w:val="sr-Cyrl-RS"/>
        </w:rPr>
        <w:t>.</w:t>
      </w:r>
      <w:r>
        <w:rPr>
          <w:rFonts w:cs="Times New Roman"/>
          <w:szCs w:val="24"/>
          <w:lang w:val="sr-Cyrl-RS"/>
        </w:rPr>
        <w:t xml:space="preserve"> Умрежавањем </w:t>
      </w:r>
      <w:r w:rsidRPr="002B77D3">
        <w:rPr>
          <w:rFonts w:cs="Times New Roman"/>
          <w:szCs w:val="24"/>
          <w:lang w:val="sr-Cyrl-RS"/>
        </w:rPr>
        <w:t>баз</w:t>
      </w:r>
      <w:r>
        <w:rPr>
          <w:rFonts w:cs="Times New Roman"/>
          <w:szCs w:val="24"/>
          <w:lang w:val="sr-Cyrl-RS"/>
        </w:rPr>
        <w:t>а</w:t>
      </w:r>
      <w:r w:rsidRPr="002B77D3">
        <w:rPr>
          <w:rFonts w:cs="Times New Roman"/>
          <w:szCs w:val="24"/>
          <w:lang w:val="sr-Cyrl-RS"/>
        </w:rPr>
        <w:t xml:space="preserve"> података знатно се поједностављују процедуре за кориснике и побољшава доступност услуга.</w:t>
      </w:r>
    </w:p>
    <w:p w14:paraId="56EC576D" w14:textId="77777777" w:rsidR="00DC7F92"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44" w:name="_Toc89375546"/>
      <w:r w:rsidRPr="00715C7C">
        <w:rPr>
          <w:rFonts w:eastAsiaTheme="majorEastAsia" w:cstheme="majorBidi"/>
          <w:b/>
          <w:lang w:val="sr-Cyrl-RS"/>
        </w:rPr>
        <w:t>5.2.13. Област СИСТЕМ ЗДРАВСТВЕНЕ ЗАШТИТЕ</w:t>
      </w:r>
      <w:bookmarkEnd w:id="44"/>
    </w:p>
    <w:p w14:paraId="43E2C4BE" w14:textId="77777777" w:rsidR="00DC7F92" w:rsidRDefault="00DC7F92" w:rsidP="00DC7F92">
      <w:pPr>
        <w:spacing w:before="120"/>
        <w:rPr>
          <w:rFonts w:cs="Times New Roman"/>
          <w:szCs w:val="24"/>
          <w:lang w:val="sr-Cyrl-RS"/>
        </w:rPr>
      </w:pPr>
      <w:r w:rsidRPr="00C32D10">
        <w:rPr>
          <w:rFonts w:cs="Times New Roman"/>
          <w:b/>
          <w:noProof/>
          <w:szCs w:val="24"/>
          <w:lang w:val="sr-Cyrl-RS"/>
        </w:rPr>
        <w:t>а) Анализа главних препрека</w:t>
      </w:r>
    </w:p>
    <w:p w14:paraId="6DA28630" w14:textId="77777777" w:rsidR="00DC7F92" w:rsidRPr="004A5FF3" w:rsidRDefault="00DC7F92" w:rsidP="00DC7F92">
      <w:pPr>
        <w:spacing w:after="60"/>
        <w:rPr>
          <w:rFonts w:cs="Times New Roman"/>
          <w:szCs w:val="24"/>
        </w:rPr>
      </w:pPr>
      <w:r w:rsidRPr="004A5FF3">
        <w:rPr>
          <w:rFonts w:cs="Times New Roman"/>
          <w:b/>
          <w:szCs w:val="24"/>
          <w:lang w:val="sr-Cyrl-RS"/>
        </w:rPr>
        <w:t>Здравствени систем Србије рангиран је као 18. у Европи</w:t>
      </w:r>
      <w:r w:rsidRPr="004A5FF3">
        <w:rPr>
          <w:rFonts w:cs="Times New Roman"/>
          <w:szCs w:val="24"/>
          <w:lang w:val="sr-Cyrl-RS"/>
        </w:rPr>
        <w:t>, међу 35 држава, према резултатима Европског здравственог потрошачког индекса</w:t>
      </w:r>
      <w:r>
        <w:rPr>
          <w:rStyle w:val="FootnoteReference"/>
          <w:rFonts w:cs="Times New Roman"/>
          <w:szCs w:val="24"/>
          <w:lang w:val="sr-Cyrl-RS"/>
        </w:rPr>
        <w:footnoteReference w:id="125"/>
      </w:r>
      <w:r w:rsidRPr="004A5FF3">
        <w:rPr>
          <w:rFonts w:cs="Times New Roman"/>
          <w:szCs w:val="24"/>
          <w:lang w:val="sr-Cyrl-RS"/>
        </w:rPr>
        <w:t xml:space="preserve"> (</w:t>
      </w:r>
      <w:r w:rsidRPr="004A5FF3">
        <w:rPr>
          <w:rFonts w:cs="Times New Roman"/>
          <w:i/>
          <w:szCs w:val="24"/>
          <w:lang w:val="sr-Cyrl-RS"/>
        </w:rPr>
        <w:t>Euro Health Consumer Index - EHCI</w:t>
      </w:r>
      <w:r w:rsidRPr="004A5FF3">
        <w:rPr>
          <w:rFonts w:cs="Times New Roman"/>
          <w:szCs w:val="24"/>
          <w:lang w:val="sr-Cyrl-RS"/>
        </w:rPr>
        <w:t>) за 2018. годину.</w:t>
      </w:r>
      <w:r>
        <w:rPr>
          <w:rFonts w:cs="Times New Roman"/>
          <w:szCs w:val="24"/>
        </w:rPr>
        <w:t xml:space="preserve"> </w:t>
      </w:r>
      <w:r w:rsidRPr="004A5FF3">
        <w:rPr>
          <w:rFonts w:cs="Times New Roman"/>
          <w:szCs w:val="24"/>
        </w:rPr>
        <w:t xml:space="preserve">Међу најзапаженијим резултатима истакнути су наставак </w:t>
      </w:r>
      <w:r>
        <w:rPr>
          <w:rFonts w:cs="Times New Roman"/>
          <w:szCs w:val="24"/>
          <w:lang w:val="sr-Cyrl-RS"/>
        </w:rPr>
        <w:t>дигитализације</w:t>
      </w:r>
      <w:r w:rsidRPr="004A5FF3">
        <w:rPr>
          <w:rFonts w:cs="Times New Roman"/>
          <w:szCs w:val="24"/>
        </w:rPr>
        <w:t xml:space="preserve"> здравственог система, успешна имплементација електронског рецепта, предузете мере и рад на смањивању листа чекања, значајни резултати у смањеној употреби антибиотика, као и активности у области менталног здравља.</w:t>
      </w:r>
    </w:p>
    <w:p w14:paraId="0F02BF20" w14:textId="77777777" w:rsidR="00DC7F92" w:rsidRDefault="00DC7F92" w:rsidP="00DC7F92">
      <w:pPr>
        <w:spacing w:after="60"/>
        <w:rPr>
          <w:rFonts w:cs="Times New Roman"/>
          <w:szCs w:val="24"/>
          <w:lang w:val="sr-Cyrl-RS"/>
        </w:rPr>
      </w:pPr>
      <w:r w:rsidRPr="0088630B">
        <w:rPr>
          <w:rFonts w:cs="Times New Roman"/>
          <w:szCs w:val="24"/>
          <w:lang w:val="sr-Cyrl-RS"/>
        </w:rPr>
        <w:t xml:space="preserve">Здравствена заштита становништва непосредно се спроводи преко </w:t>
      </w:r>
      <w:r w:rsidRPr="00EB574B">
        <w:rPr>
          <w:rFonts w:cs="Times New Roman"/>
          <w:b/>
          <w:bCs/>
          <w:szCs w:val="24"/>
          <w:lang w:val="sr-Cyrl-RS"/>
        </w:rPr>
        <w:t>мреже здравствених установа</w:t>
      </w:r>
      <w:r w:rsidRPr="0088630B">
        <w:rPr>
          <w:rFonts w:cs="Times New Roman"/>
          <w:szCs w:val="24"/>
          <w:lang w:val="sr-Cyrl-RS"/>
        </w:rPr>
        <w:t xml:space="preserve">, </w:t>
      </w:r>
      <w:r>
        <w:rPr>
          <w:rFonts w:cs="Times New Roman"/>
          <w:szCs w:val="24"/>
          <w:lang w:val="sr-Cyrl-RS"/>
        </w:rPr>
        <w:t xml:space="preserve">којих је било </w:t>
      </w:r>
      <w:r w:rsidRPr="00EB574B">
        <w:rPr>
          <w:rFonts w:cs="Times New Roman"/>
          <w:b/>
          <w:bCs/>
          <w:szCs w:val="24"/>
          <w:lang w:val="sr-Cyrl-RS"/>
        </w:rPr>
        <w:t>350</w:t>
      </w:r>
      <w:r>
        <w:rPr>
          <w:rFonts w:cs="Times New Roman"/>
          <w:szCs w:val="24"/>
          <w:lang w:val="sr-Cyrl-RS"/>
        </w:rPr>
        <w:t xml:space="preserve"> у </w:t>
      </w:r>
      <w:r w:rsidRPr="00EB574B">
        <w:rPr>
          <w:rFonts w:cs="Times New Roman"/>
          <w:b/>
          <w:bCs/>
          <w:szCs w:val="24"/>
          <w:lang w:val="sr-Cyrl-RS"/>
        </w:rPr>
        <w:t>2019. години</w:t>
      </w:r>
      <w:r>
        <w:rPr>
          <w:rFonts w:cs="Times New Roman"/>
          <w:szCs w:val="24"/>
          <w:lang w:val="sr-Cyrl-RS"/>
        </w:rPr>
        <w:t xml:space="preserve">, док је у систему здравствене заштите било </w:t>
      </w:r>
      <w:r w:rsidRPr="00EB574B">
        <w:rPr>
          <w:rFonts w:cs="Times New Roman"/>
          <w:b/>
          <w:bCs/>
          <w:szCs w:val="24"/>
          <w:lang w:val="sr-Cyrl-RS"/>
        </w:rPr>
        <w:lastRenderedPageBreak/>
        <w:t>запослено</w:t>
      </w:r>
      <w:r>
        <w:rPr>
          <w:rFonts w:cs="Times New Roman"/>
          <w:szCs w:val="24"/>
          <w:lang w:val="sr-Cyrl-RS"/>
        </w:rPr>
        <w:t xml:space="preserve"> око </w:t>
      </w:r>
      <w:r w:rsidRPr="00EB574B">
        <w:rPr>
          <w:rFonts w:cs="Times New Roman"/>
          <w:b/>
          <w:bCs/>
          <w:szCs w:val="24"/>
          <w:lang w:val="sr-Cyrl-RS"/>
        </w:rPr>
        <w:t>100</w:t>
      </w:r>
      <w:r>
        <w:rPr>
          <w:rFonts w:cs="Times New Roman"/>
          <w:b/>
          <w:bCs/>
          <w:szCs w:val="24"/>
          <w:lang w:val="sr-Latn-RS"/>
        </w:rPr>
        <w:t xml:space="preserve">,1 </w:t>
      </w:r>
      <w:r>
        <w:rPr>
          <w:rFonts w:cs="Times New Roman"/>
          <w:b/>
          <w:bCs/>
          <w:szCs w:val="24"/>
          <w:lang w:val="sr-Cyrl-RS"/>
        </w:rPr>
        <w:t>хиљада</w:t>
      </w:r>
      <w:r w:rsidRPr="00EB574B">
        <w:rPr>
          <w:rFonts w:cs="Times New Roman"/>
          <w:b/>
          <w:bCs/>
          <w:szCs w:val="24"/>
          <w:lang w:val="sr-Cyrl-RS"/>
        </w:rPr>
        <w:t xml:space="preserve"> радника</w:t>
      </w:r>
      <w:r>
        <w:rPr>
          <w:rFonts w:cs="Times New Roman"/>
          <w:szCs w:val="24"/>
          <w:lang w:val="sr-Cyrl-RS"/>
        </w:rPr>
        <w:t xml:space="preserve">. Број лекара на 100.000 становника у Србији износио је </w:t>
      </w:r>
      <w:r w:rsidRPr="00EB574B">
        <w:rPr>
          <w:rFonts w:cs="Times New Roman"/>
          <w:b/>
          <w:bCs/>
          <w:szCs w:val="24"/>
          <w:lang w:val="sr-Cyrl-RS"/>
        </w:rPr>
        <w:t>286</w:t>
      </w:r>
      <w:r>
        <w:rPr>
          <w:rFonts w:cs="Times New Roman"/>
          <w:szCs w:val="24"/>
          <w:lang w:val="sr-Cyrl-RS"/>
        </w:rPr>
        <w:t>.</w:t>
      </w:r>
    </w:p>
    <w:p w14:paraId="776AE073" w14:textId="77777777" w:rsidR="00DC7F92" w:rsidRDefault="00DC7F92" w:rsidP="00DC7F92">
      <w:pPr>
        <w:spacing w:after="60"/>
        <w:rPr>
          <w:rFonts w:cs="Times New Roman"/>
          <w:szCs w:val="24"/>
          <w:lang w:val="sr-Cyrl-RS"/>
        </w:rPr>
      </w:pPr>
      <w:r>
        <w:rPr>
          <w:rFonts w:cs="Times New Roman"/>
          <w:szCs w:val="24"/>
          <w:lang w:val="sr-Cyrl-RS"/>
        </w:rPr>
        <w:t>Здравствену заштиту</w:t>
      </w:r>
      <w:r>
        <w:rPr>
          <w:rStyle w:val="FootnoteReference"/>
          <w:rFonts w:cs="Times New Roman"/>
          <w:szCs w:val="24"/>
          <w:lang w:val="sr-Cyrl-RS"/>
        </w:rPr>
        <w:footnoteReference w:id="126"/>
      </w:r>
      <w:r>
        <w:rPr>
          <w:rFonts w:cs="Times New Roman"/>
          <w:szCs w:val="24"/>
          <w:lang w:val="sr-Cyrl-RS"/>
        </w:rPr>
        <w:t xml:space="preserve"> на примарном нивоу обезбеђују </w:t>
      </w:r>
      <w:r w:rsidRPr="00427BBF">
        <w:rPr>
          <w:rFonts w:cs="Times New Roman"/>
          <w:b/>
          <w:bCs/>
          <w:szCs w:val="24"/>
          <w:lang w:val="sr-Cyrl-RS"/>
        </w:rPr>
        <w:t>домови здравља</w:t>
      </w:r>
      <w:r>
        <w:rPr>
          <w:rFonts w:cs="Times New Roman"/>
          <w:szCs w:val="24"/>
          <w:lang w:val="sr-Cyrl-RS"/>
        </w:rPr>
        <w:t xml:space="preserve"> (</w:t>
      </w:r>
      <w:r w:rsidRPr="00427BBF">
        <w:rPr>
          <w:rFonts w:cs="Times New Roman"/>
          <w:b/>
          <w:bCs/>
          <w:szCs w:val="24"/>
          <w:lang w:val="sr-Cyrl-RS"/>
        </w:rPr>
        <w:t>158</w:t>
      </w:r>
      <w:r>
        <w:rPr>
          <w:rFonts w:cs="Times New Roman"/>
          <w:szCs w:val="24"/>
          <w:lang w:val="sr-Cyrl-RS"/>
        </w:rPr>
        <w:t xml:space="preserve">) у државној својини, основани за територију једне или више општина, односно града. </w:t>
      </w:r>
      <w:r w:rsidRPr="00427BBF">
        <w:rPr>
          <w:rFonts w:cs="Times New Roman"/>
          <w:b/>
          <w:bCs/>
          <w:szCs w:val="24"/>
          <w:lang w:val="sr-Cyrl-RS"/>
        </w:rPr>
        <w:t>Стационарну (болничку)</w:t>
      </w:r>
      <w:r>
        <w:rPr>
          <w:rFonts w:cs="Times New Roman"/>
          <w:szCs w:val="24"/>
          <w:lang w:val="sr-Cyrl-RS"/>
        </w:rPr>
        <w:t xml:space="preserve"> здравствену заштиту пружа </w:t>
      </w:r>
      <w:r w:rsidRPr="00427BBF">
        <w:rPr>
          <w:rFonts w:cs="Times New Roman"/>
          <w:b/>
          <w:bCs/>
          <w:szCs w:val="24"/>
          <w:lang w:val="sr-Cyrl-RS"/>
        </w:rPr>
        <w:t>128</w:t>
      </w:r>
      <w:r>
        <w:rPr>
          <w:rFonts w:cs="Times New Roman"/>
          <w:szCs w:val="24"/>
          <w:lang w:val="sr-Cyrl-RS"/>
        </w:rPr>
        <w:t xml:space="preserve"> з</w:t>
      </w:r>
      <w:r w:rsidRPr="00427BBF">
        <w:rPr>
          <w:rFonts w:cs="Times New Roman"/>
          <w:b/>
          <w:bCs/>
          <w:szCs w:val="24"/>
          <w:lang w:val="sr-Cyrl-RS"/>
        </w:rPr>
        <w:t>дравствених установа</w:t>
      </w:r>
      <w:r>
        <w:rPr>
          <w:rFonts w:cs="Times New Roman"/>
          <w:szCs w:val="24"/>
          <w:lang w:val="sr-Cyrl-RS"/>
        </w:rPr>
        <w:t xml:space="preserve">. У стационарним установама ради укупно </w:t>
      </w:r>
      <w:r w:rsidRPr="00427BBF">
        <w:rPr>
          <w:rFonts w:cs="Times New Roman"/>
          <w:b/>
          <w:bCs/>
          <w:szCs w:val="24"/>
          <w:lang w:val="sr-Cyrl-RS"/>
        </w:rPr>
        <w:t>8.474 лекара</w:t>
      </w:r>
      <w:r>
        <w:rPr>
          <w:rFonts w:cs="Times New Roman"/>
          <w:szCs w:val="24"/>
          <w:lang w:val="sr-Cyrl-RS"/>
        </w:rPr>
        <w:t xml:space="preserve"> (од тога </w:t>
      </w:r>
      <w:r w:rsidRPr="00427BBF">
        <w:rPr>
          <w:rFonts w:cs="Times New Roman"/>
          <w:b/>
          <w:bCs/>
          <w:szCs w:val="24"/>
          <w:lang w:val="sr-Cyrl-RS"/>
        </w:rPr>
        <w:t>77,3% специјалиста</w:t>
      </w:r>
      <w:r>
        <w:rPr>
          <w:rFonts w:cs="Times New Roman"/>
          <w:szCs w:val="24"/>
          <w:lang w:val="sr-Cyrl-RS"/>
        </w:rPr>
        <w:t xml:space="preserve">), </w:t>
      </w:r>
      <w:r w:rsidRPr="00427BBF">
        <w:rPr>
          <w:rFonts w:cs="Times New Roman"/>
          <w:b/>
          <w:bCs/>
          <w:szCs w:val="24"/>
          <w:lang w:val="sr-Cyrl-RS"/>
        </w:rPr>
        <w:t>5.015 здравствених радника</w:t>
      </w:r>
      <w:r>
        <w:rPr>
          <w:rFonts w:cs="Times New Roman"/>
          <w:szCs w:val="24"/>
          <w:lang w:val="sr-Cyrl-RS"/>
        </w:rPr>
        <w:t xml:space="preserve"> са </w:t>
      </w:r>
      <w:r w:rsidRPr="00427BBF">
        <w:rPr>
          <w:rFonts w:cs="Times New Roman"/>
          <w:b/>
          <w:bCs/>
          <w:szCs w:val="24"/>
          <w:lang w:val="sr-Cyrl-RS"/>
        </w:rPr>
        <w:t>вишом</w:t>
      </w:r>
      <w:r>
        <w:rPr>
          <w:rFonts w:cs="Times New Roman"/>
          <w:szCs w:val="24"/>
          <w:lang w:val="sr-Cyrl-RS"/>
        </w:rPr>
        <w:t xml:space="preserve"> и </w:t>
      </w:r>
      <w:r w:rsidRPr="00427BBF">
        <w:rPr>
          <w:rFonts w:cs="Times New Roman"/>
          <w:b/>
          <w:bCs/>
          <w:szCs w:val="24"/>
          <w:lang w:val="sr-Cyrl-RS"/>
        </w:rPr>
        <w:t>21.275</w:t>
      </w:r>
      <w:r>
        <w:rPr>
          <w:rFonts w:cs="Times New Roman"/>
          <w:szCs w:val="24"/>
          <w:lang w:val="sr-Cyrl-RS"/>
        </w:rPr>
        <w:t xml:space="preserve"> са </w:t>
      </w:r>
      <w:r w:rsidRPr="00427BBF">
        <w:rPr>
          <w:rFonts w:cs="Times New Roman"/>
          <w:b/>
          <w:bCs/>
          <w:szCs w:val="24"/>
          <w:lang w:val="sr-Cyrl-RS"/>
        </w:rPr>
        <w:t>средњом</w:t>
      </w:r>
      <w:r>
        <w:rPr>
          <w:rFonts w:cs="Times New Roman"/>
          <w:szCs w:val="24"/>
          <w:lang w:val="sr-Cyrl-RS"/>
        </w:rPr>
        <w:t xml:space="preserve"> стручном спремом. </w:t>
      </w:r>
      <w:r w:rsidRPr="00427BBF">
        <w:rPr>
          <w:rFonts w:cs="Times New Roman"/>
          <w:b/>
          <w:bCs/>
          <w:szCs w:val="24"/>
          <w:lang w:val="sr-Cyrl-RS"/>
        </w:rPr>
        <w:t>Постељни фонд</w:t>
      </w:r>
      <w:r>
        <w:rPr>
          <w:rFonts w:cs="Times New Roman"/>
          <w:szCs w:val="24"/>
          <w:lang w:val="sr-Cyrl-RS"/>
        </w:rPr>
        <w:t xml:space="preserve"> у стационарним установама износ </w:t>
      </w:r>
      <w:r w:rsidRPr="00427BBF">
        <w:rPr>
          <w:rFonts w:cs="Times New Roman"/>
          <w:b/>
          <w:bCs/>
          <w:szCs w:val="24"/>
          <w:lang w:val="sr-Cyrl-RS"/>
        </w:rPr>
        <w:t>42.982 постеља</w:t>
      </w:r>
      <w:r>
        <w:rPr>
          <w:rFonts w:cs="Times New Roman"/>
          <w:szCs w:val="24"/>
          <w:lang w:val="sr-Cyrl-RS"/>
        </w:rPr>
        <w:t xml:space="preserve">, односно </w:t>
      </w:r>
      <w:r w:rsidRPr="001B1560">
        <w:rPr>
          <w:rFonts w:cs="Times New Roman"/>
          <w:b/>
          <w:bCs/>
          <w:szCs w:val="24"/>
          <w:lang w:val="sr-Cyrl-RS"/>
        </w:rPr>
        <w:t>6,2</w:t>
      </w:r>
      <w:r>
        <w:rPr>
          <w:rFonts w:cs="Times New Roman"/>
          <w:szCs w:val="24"/>
          <w:lang w:val="sr-Cyrl-RS"/>
        </w:rPr>
        <w:t xml:space="preserve"> постеље на </w:t>
      </w:r>
      <w:r w:rsidRPr="001B1560">
        <w:rPr>
          <w:rFonts w:cs="Times New Roman"/>
          <w:b/>
          <w:bCs/>
          <w:szCs w:val="24"/>
          <w:lang w:val="sr-Cyrl-RS"/>
        </w:rPr>
        <w:t>1.000 становника</w:t>
      </w:r>
      <w:r>
        <w:rPr>
          <w:rFonts w:cs="Times New Roman"/>
          <w:szCs w:val="24"/>
          <w:lang w:val="sr-Cyrl-RS"/>
        </w:rPr>
        <w:t xml:space="preserve">. У овај број су укључене и </w:t>
      </w:r>
      <w:r w:rsidRPr="0008173D">
        <w:rPr>
          <w:rFonts w:cs="Times New Roman"/>
          <w:b/>
          <w:bCs/>
          <w:szCs w:val="24"/>
          <w:lang w:val="sr-Cyrl-RS"/>
        </w:rPr>
        <w:t>дневне болнице</w:t>
      </w:r>
      <w:r>
        <w:rPr>
          <w:rFonts w:cs="Times New Roman"/>
          <w:szCs w:val="24"/>
          <w:lang w:val="sr-Cyrl-RS"/>
        </w:rPr>
        <w:t xml:space="preserve"> (</w:t>
      </w:r>
      <w:r w:rsidRPr="0008173D">
        <w:rPr>
          <w:rFonts w:cs="Times New Roman"/>
          <w:b/>
          <w:bCs/>
          <w:szCs w:val="24"/>
          <w:lang w:val="sr-Cyrl-RS"/>
        </w:rPr>
        <w:t>2.170</w:t>
      </w:r>
      <w:r>
        <w:rPr>
          <w:rFonts w:cs="Times New Roman"/>
          <w:szCs w:val="24"/>
          <w:lang w:val="sr-Cyrl-RS"/>
        </w:rPr>
        <w:t xml:space="preserve">), </w:t>
      </w:r>
      <w:r w:rsidRPr="0008173D">
        <w:rPr>
          <w:rFonts w:cs="Times New Roman"/>
          <w:b/>
          <w:bCs/>
          <w:szCs w:val="24"/>
          <w:lang w:val="sr-Cyrl-RS"/>
        </w:rPr>
        <w:t>дијализа</w:t>
      </w:r>
      <w:r>
        <w:rPr>
          <w:rFonts w:cs="Times New Roman"/>
          <w:szCs w:val="24"/>
          <w:lang w:val="sr-Cyrl-RS"/>
        </w:rPr>
        <w:t xml:space="preserve"> и </w:t>
      </w:r>
      <w:r w:rsidRPr="0008173D">
        <w:rPr>
          <w:rFonts w:cs="Times New Roman"/>
          <w:b/>
          <w:bCs/>
          <w:szCs w:val="24"/>
          <w:lang w:val="sr-Cyrl-RS"/>
        </w:rPr>
        <w:t>неонатологија</w:t>
      </w:r>
      <w:r>
        <w:rPr>
          <w:rFonts w:cs="Times New Roman"/>
          <w:szCs w:val="24"/>
          <w:lang w:val="sr-Cyrl-RS"/>
        </w:rPr>
        <w:t xml:space="preserve">. Просечна дужина лечења по једном болеснику износи </w:t>
      </w:r>
      <w:r w:rsidRPr="0008173D">
        <w:rPr>
          <w:rFonts w:cs="Times New Roman"/>
          <w:b/>
          <w:bCs/>
          <w:szCs w:val="24"/>
          <w:lang w:val="sr-Cyrl-RS"/>
        </w:rPr>
        <w:t>6,8 дана</w:t>
      </w:r>
      <w:r>
        <w:rPr>
          <w:rFonts w:cs="Times New Roman"/>
          <w:szCs w:val="24"/>
          <w:lang w:val="sr-Cyrl-RS"/>
        </w:rPr>
        <w:t xml:space="preserve">, а просечна заузетост болничких постеља </w:t>
      </w:r>
      <w:r w:rsidRPr="0008173D">
        <w:rPr>
          <w:rFonts w:cs="Times New Roman"/>
          <w:b/>
          <w:bCs/>
          <w:szCs w:val="24"/>
          <w:lang w:val="sr-Cyrl-RS"/>
        </w:rPr>
        <w:t>63,4%</w:t>
      </w:r>
      <w:r>
        <w:rPr>
          <w:rFonts w:cs="Times New Roman"/>
          <w:szCs w:val="24"/>
          <w:lang w:val="sr-Cyrl-RS"/>
        </w:rPr>
        <w:t>.</w:t>
      </w:r>
    </w:p>
    <w:p w14:paraId="5A3193F6" w14:textId="77777777" w:rsidR="00DC7F92" w:rsidRPr="0088630B" w:rsidRDefault="00DC7F92" w:rsidP="00DC7F92">
      <w:pPr>
        <w:spacing w:after="60"/>
        <w:rPr>
          <w:rFonts w:cs="Times New Roman"/>
          <w:szCs w:val="24"/>
          <w:lang w:val="sr-Cyrl-RS"/>
        </w:rPr>
      </w:pPr>
      <w:r w:rsidRPr="00BB7B92">
        <w:rPr>
          <w:szCs w:val="24"/>
          <w:lang w:val="sr-Cyrl-RS"/>
        </w:rPr>
        <w:t xml:space="preserve">Упркос </w:t>
      </w:r>
      <w:r w:rsidRPr="00455C97">
        <w:rPr>
          <w:b/>
          <w:szCs w:val="24"/>
          <w:lang w:val="sr-Cyrl-RS"/>
        </w:rPr>
        <w:t>добро постављеном институционалном оквиру јавног здравља у Србији</w:t>
      </w:r>
      <w:r w:rsidRPr="00BB7B92">
        <w:rPr>
          <w:szCs w:val="24"/>
          <w:lang w:val="sr-Cyrl-RS"/>
        </w:rPr>
        <w:t xml:space="preserve">, постоје бројне тешкоће које указују на недостатке и слабости у функционисању. </w:t>
      </w:r>
      <w:r>
        <w:rPr>
          <w:rFonts w:cs="Times New Roman"/>
          <w:b/>
          <w:bCs/>
          <w:szCs w:val="24"/>
          <w:lang w:val="sr-Cyrl-RS"/>
        </w:rPr>
        <w:t>З</w:t>
      </w:r>
      <w:r w:rsidRPr="00677D77">
        <w:rPr>
          <w:rFonts w:cs="Times New Roman"/>
          <w:b/>
          <w:bCs/>
          <w:szCs w:val="24"/>
          <w:lang w:val="sr-Cyrl-RS"/>
        </w:rPr>
        <w:t>дравствени систем</w:t>
      </w:r>
      <w:r>
        <w:rPr>
          <w:rFonts w:cs="Times New Roman"/>
          <w:szCs w:val="24"/>
          <w:lang w:val="sr-Cyrl-RS"/>
        </w:rPr>
        <w:t xml:space="preserve"> се, и у периоду који је претходио пандемији Ковид-19, суочавао са </w:t>
      </w:r>
      <w:r w:rsidRPr="00677D77">
        <w:rPr>
          <w:rFonts w:cs="Times New Roman"/>
          <w:b/>
          <w:bCs/>
          <w:szCs w:val="24"/>
          <w:lang w:val="sr-Cyrl-RS"/>
        </w:rPr>
        <w:t>озбиљним изазовима</w:t>
      </w:r>
      <w:r w:rsidRPr="00455C97">
        <w:rPr>
          <w:rFonts w:cs="Times New Roman"/>
          <w:b/>
          <w:szCs w:val="24"/>
          <w:lang w:val="sr-Cyrl-RS"/>
        </w:rPr>
        <w:t xml:space="preserve"> у погледу </w:t>
      </w:r>
      <w:r w:rsidRPr="00677D77">
        <w:rPr>
          <w:rFonts w:cs="Times New Roman"/>
          <w:b/>
          <w:bCs/>
          <w:szCs w:val="24"/>
          <w:lang w:val="sr-Cyrl-RS"/>
        </w:rPr>
        <w:t>финансирања</w:t>
      </w:r>
      <w:r>
        <w:rPr>
          <w:rFonts w:cs="Times New Roman"/>
          <w:szCs w:val="24"/>
          <w:lang w:val="sr-Cyrl-RS"/>
        </w:rPr>
        <w:t xml:space="preserve">, </w:t>
      </w:r>
      <w:r w:rsidRPr="00677D77">
        <w:rPr>
          <w:rFonts w:cs="Times New Roman"/>
          <w:b/>
          <w:bCs/>
          <w:szCs w:val="24"/>
          <w:lang w:val="sr-Cyrl-RS"/>
        </w:rPr>
        <w:t>опремљености</w:t>
      </w:r>
      <w:r>
        <w:rPr>
          <w:rFonts w:cs="Times New Roman"/>
          <w:szCs w:val="24"/>
          <w:lang w:val="sr-Cyrl-RS"/>
        </w:rPr>
        <w:t xml:space="preserve"> болница и </w:t>
      </w:r>
      <w:r w:rsidRPr="00677D77">
        <w:rPr>
          <w:rFonts w:cs="Times New Roman"/>
          <w:b/>
          <w:bCs/>
          <w:szCs w:val="24"/>
          <w:lang w:val="sr-Cyrl-RS"/>
        </w:rPr>
        <w:t>квалитета</w:t>
      </w:r>
      <w:r>
        <w:rPr>
          <w:rFonts w:cs="Times New Roman"/>
          <w:szCs w:val="24"/>
          <w:lang w:val="sr-Cyrl-RS"/>
        </w:rPr>
        <w:t xml:space="preserve"> пружених </w:t>
      </w:r>
      <w:r w:rsidRPr="00677D77">
        <w:rPr>
          <w:rFonts w:cs="Times New Roman"/>
          <w:b/>
          <w:bCs/>
          <w:szCs w:val="24"/>
          <w:lang w:val="sr-Cyrl-RS"/>
        </w:rPr>
        <w:t>услуга</w:t>
      </w:r>
      <w:r>
        <w:rPr>
          <w:rFonts w:cs="Times New Roman"/>
          <w:szCs w:val="24"/>
          <w:lang w:val="sr-Cyrl-RS"/>
        </w:rPr>
        <w:t>.</w:t>
      </w:r>
    </w:p>
    <w:p w14:paraId="3B062BB2" w14:textId="220454E8" w:rsidR="00DC7F92" w:rsidRDefault="00DC7F92" w:rsidP="00DC7F92">
      <w:pPr>
        <w:spacing w:after="60"/>
        <w:rPr>
          <w:szCs w:val="24"/>
          <w:lang w:val="sr-Cyrl-RS"/>
        </w:rPr>
      </w:pPr>
      <w:r>
        <w:rPr>
          <w:szCs w:val="24"/>
          <w:lang w:val="sr-Cyrl-RS"/>
        </w:rPr>
        <w:t xml:space="preserve">Укупна </w:t>
      </w:r>
      <w:r w:rsidRPr="0008173D">
        <w:rPr>
          <w:b/>
          <w:bCs/>
          <w:szCs w:val="24"/>
          <w:lang w:val="sr-Cyrl-RS"/>
        </w:rPr>
        <w:t>издвајања за здравство</w:t>
      </w:r>
      <w:r>
        <w:rPr>
          <w:szCs w:val="24"/>
          <w:lang w:val="sr-Cyrl-RS"/>
        </w:rPr>
        <w:t xml:space="preserve"> у Србији износила су </w:t>
      </w:r>
      <w:r w:rsidRPr="0008173D">
        <w:rPr>
          <w:b/>
          <w:bCs/>
          <w:szCs w:val="24"/>
          <w:lang w:val="sr-Cyrl-RS"/>
        </w:rPr>
        <w:t>8,5</w:t>
      </w:r>
      <w:r>
        <w:rPr>
          <w:b/>
          <w:bCs/>
          <w:szCs w:val="24"/>
          <w:lang w:val="sr-Latn-RS"/>
        </w:rPr>
        <w:t>6</w:t>
      </w:r>
      <w:r w:rsidRPr="0008173D">
        <w:rPr>
          <w:b/>
          <w:bCs/>
          <w:szCs w:val="24"/>
          <w:lang w:val="sr-Cyrl-RS"/>
        </w:rPr>
        <w:t>%</w:t>
      </w:r>
      <w:r>
        <w:rPr>
          <w:szCs w:val="24"/>
          <w:lang w:val="sr-Cyrl-RS"/>
        </w:rPr>
        <w:t xml:space="preserve"> БДП-а у </w:t>
      </w:r>
      <w:r w:rsidRPr="0008173D">
        <w:rPr>
          <w:b/>
          <w:bCs/>
          <w:szCs w:val="24"/>
          <w:lang w:val="sr-Cyrl-RS"/>
        </w:rPr>
        <w:t>2018. години</w:t>
      </w:r>
      <w:r>
        <w:rPr>
          <w:rStyle w:val="FootnoteReference"/>
          <w:szCs w:val="24"/>
          <w:lang w:val="sr-Cyrl-RS"/>
        </w:rPr>
        <w:footnoteReference w:id="127"/>
      </w:r>
      <w:r>
        <w:rPr>
          <w:szCs w:val="24"/>
          <w:lang w:val="sr-Cyrl-RS"/>
        </w:rPr>
        <w:t xml:space="preserve">, док су </w:t>
      </w:r>
      <w:r w:rsidRPr="0008173D">
        <w:rPr>
          <w:b/>
          <w:bCs/>
          <w:szCs w:val="24"/>
          <w:lang w:val="sr-Cyrl-RS"/>
        </w:rPr>
        <w:t>издвајања по глави становника</w:t>
      </w:r>
      <w:r>
        <w:rPr>
          <w:szCs w:val="24"/>
          <w:lang w:val="sr-Cyrl-RS"/>
        </w:rPr>
        <w:t xml:space="preserve"> износила </w:t>
      </w:r>
      <w:r w:rsidRPr="0008173D">
        <w:rPr>
          <w:b/>
          <w:bCs/>
          <w:szCs w:val="24"/>
          <w:lang w:val="sr-Cyrl-RS"/>
        </w:rPr>
        <w:t>6</w:t>
      </w:r>
      <w:r>
        <w:rPr>
          <w:b/>
          <w:bCs/>
          <w:szCs w:val="24"/>
          <w:lang w:val="sr-Cyrl-RS"/>
        </w:rPr>
        <w:t>00</w:t>
      </w:r>
      <w:r w:rsidRPr="0008173D">
        <w:rPr>
          <w:b/>
          <w:bCs/>
          <w:szCs w:val="24"/>
          <w:lang w:val="sr-Cyrl-RS"/>
        </w:rPr>
        <w:t xml:space="preserve"> УСД</w:t>
      </w:r>
      <w:r>
        <w:rPr>
          <w:szCs w:val="24"/>
          <w:lang w:val="sr-Cyrl-RS"/>
        </w:rPr>
        <w:t xml:space="preserve">. Доминантан финансијер здравства је држава која издваја </w:t>
      </w:r>
      <w:r w:rsidRPr="0008173D">
        <w:rPr>
          <w:b/>
          <w:bCs/>
          <w:szCs w:val="24"/>
          <w:lang w:val="sr-Cyrl-RS"/>
        </w:rPr>
        <w:t>60% укупних средстава</w:t>
      </w:r>
      <w:r>
        <w:rPr>
          <w:szCs w:val="24"/>
          <w:lang w:val="sr-Cyrl-RS"/>
        </w:rPr>
        <w:t xml:space="preserve">, док учешће приватног сектора износи </w:t>
      </w:r>
      <w:r w:rsidRPr="0008173D">
        <w:rPr>
          <w:b/>
          <w:bCs/>
          <w:szCs w:val="24"/>
          <w:lang w:val="sr-Cyrl-RS"/>
        </w:rPr>
        <w:t>40</w:t>
      </w:r>
      <w:r w:rsidRPr="00597425">
        <w:rPr>
          <w:b/>
          <w:bCs/>
          <w:szCs w:val="24"/>
          <w:lang w:val="sr-Cyrl-RS"/>
        </w:rPr>
        <w:t>%.</w:t>
      </w:r>
      <w:r w:rsidR="00597425" w:rsidRPr="00597425">
        <w:rPr>
          <w:bCs/>
          <w:szCs w:val="24"/>
          <w:lang w:val="sr-Cyrl-RS"/>
        </w:rPr>
        <w:t xml:space="preserve"> </w:t>
      </w:r>
      <w:r w:rsidR="00630038" w:rsidRPr="005028F9">
        <w:rPr>
          <w:bCs/>
          <w:szCs w:val="24"/>
          <w:lang w:val="sr-Cyrl-RS"/>
        </w:rPr>
        <w:t>У буџету за за 2022. годину у односу на 2020. годину издвајања за здравство су повећана за 11%.</w:t>
      </w:r>
    </w:p>
    <w:p w14:paraId="76C711A5" w14:textId="77777777" w:rsidR="00DC7F92" w:rsidRPr="00E77CED" w:rsidRDefault="00DC7F92" w:rsidP="00DC7F92">
      <w:pPr>
        <w:spacing w:after="60"/>
        <w:rPr>
          <w:szCs w:val="24"/>
          <w:lang w:val="sr-Latn-RS"/>
        </w:rPr>
      </w:pPr>
      <w:r>
        <w:rPr>
          <w:b/>
          <w:szCs w:val="24"/>
          <w:lang w:val="sr-Cyrl-RS"/>
        </w:rPr>
        <w:t>Унапређује се</w:t>
      </w:r>
      <w:r w:rsidRPr="005B6018">
        <w:rPr>
          <w:b/>
          <w:szCs w:val="24"/>
          <w:lang w:val="sr-Cyrl-RS"/>
        </w:rPr>
        <w:t xml:space="preserve"> инфраструктура у здравств</w:t>
      </w:r>
      <w:r>
        <w:rPr>
          <w:b/>
          <w:szCs w:val="24"/>
          <w:lang w:val="sr-Cyrl-RS"/>
        </w:rPr>
        <w:t xml:space="preserve">у. </w:t>
      </w:r>
      <w:r w:rsidRPr="00646163">
        <w:rPr>
          <w:b/>
          <w:szCs w:val="24"/>
          <w:lang w:val="sr-Cyrl-RS"/>
        </w:rPr>
        <w:t>Саграђене су</w:t>
      </w:r>
      <w:r w:rsidRPr="006648BD">
        <w:rPr>
          <w:szCs w:val="24"/>
          <w:lang w:val="sr-Cyrl-RS"/>
        </w:rPr>
        <w:t xml:space="preserve"> </w:t>
      </w:r>
      <w:r>
        <w:rPr>
          <w:b/>
          <w:bCs/>
          <w:szCs w:val="24"/>
          <w:lang w:val="sr-Cyrl-RS"/>
        </w:rPr>
        <w:t>три</w:t>
      </w:r>
      <w:r w:rsidRPr="0008173D">
        <w:rPr>
          <w:b/>
          <w:bCs/>
          <w:szCs w:val="24"/>
          <w:lang w:val="sr-Cyrl-RS"/>
        </w:rPr>
        <w:t xml:space="preserve"> нове болнице</w:t>
      </w:r>
      <w:r w:rsidRPr="006648BD">
        <w:rPr>
          <w:szCs w:val="24"/>
          <w:lang w:val="sr-Cyrl-RS"/>
        </w:rPr>
        <w:t xml:space="preserve"> специфично намењене за </w:t>
      </w:r>
      <w:r w:rsidRPr="0008173D">
        <w:rPr>
          <w:b/>
          <w:bCs/>
          <w:szCs w:val="24"/>
          <w:lang w:val="sr-Cyrl-RS"/>
        </w:rPr>
        <w:t>лечење Ковида-19</w:t>
      </w:r>
      <w:r w:rsidRPr="006648BD">
        <w:rPr>
          <w:szCs w:val="24"/>
          <w:lang w:val="sr-Cyrl-RS"/>
        </w:rPr>
        <w:t xml:space="preserve"> у Батајници</w:t>
      </w:r>
      <w:r>
        <w:rPr>
          <w:szCs w:val="24"/>
          <w:lang w:val="sr-Cyrl-RS"/>
        </w:rPr>
        <w:t>,</w:t>
      </w:r>
      <w:r w:rsidRPr="006648BD">
        <w:rPr>
          <w:szCs w:val="24"/>
          <w:lang w:val="sr-Cyrl-RS"/>
        </w:rPr>
        <w:t xml:space="preserve"> Крушевцу</w:t>
      </w:r>
      <w:r>
        <w:rPr>
          <w:szCs w:val="24"/>
          <w:lang w:val="sr-Cyrl-RS"/>
        </w:rPr>
        <w:t xml:space="preserve"> и</w:t>
      </w:r>
      <w:r w:rsidRPr="00911DAC">
        <w:rPr>
          <w:szCs w:val="24"/>
          <w:lang w:val="sr-Cyrl-RS"/>
        </w:rPr>
        <w:t xml:space="preserve"> </w:t>
      </w:r>
      <w:r w:rsidRPr="006648BD">
        <w:rPr>
          <w:szCs w:val="24"/>
          <w:lang w:val="sr-Cyrl-RS"/>
        </w:rPr>
        <w:t>Новом Саду</w:t>
      </w:r>
      <w:r>
        <w:rPr>
          <w:szCs w:val="24"/>
          <w:lang w:val="sr-Cyrl-RS"/>
        </w:rPr>
        <w:t xml:space="preserve"> са</w:t>
      </w:r>
      <w:r w:rsidRPr="006648BD">
        <w:rPr>
          <w:szCs w:val="24"/>
          <w:lang w:val="sr-Cyrl-RS"/>
        </w:rPr>
        <w:t xml:space="preserve"> </w:t>
      </w:r>
      <w:r>
        <w:rPr>
          <w:szCs w:val="24"/>
          <w:lang w:val="sr-Cyrl-RS"/>
        </w:rPr>
        <w:t>к</w:t>
      </w:r>
      <w:r w:rsidRPr="006648BD">
        <w:rPr>
          <w:szCs w:val="24"/>
          <w:lang w:val="sr-Cyrl-RS"/>
        </w:rPr>
        <w:t>апацитети</w:t>
      </w:r>
      <w:r>
        <w:rPr>
          <w:szCs w:val="24"/>
          <w:lang w:val="sr-Cyrl-RS"/>
        </w:rPr>
        <w:t>ма</w:t>
      </w:r>
      <w:r w:rsidRPr="006648BD">
        <w:rPr>
          <w:szCs w:val="24"/>
          <w:lang w:val="sr-Cyrl-RS"/>
        </w:rPr>
        <w:t xml:space="preserve"> </w:t>
      </w:r>
      <w:r>
        <w:rPr>
          <w:szCs w:val="24"/>
          <w:lang w:val="sr-Cyrl-RS"/>
        </w:rPr>
        <w:t>од укупно</w:t>
      </w:r>
      <w:r w:rsidRPr="006648BD">
        <w:rPr>
          <w:szCs w:val="24"/>
          <w:lang w:val="sr-Cyrl-RS"/>
        </w:rPr>
        <w:t xml:space="preserve"> </w:t>
      </w:r>
      <w:r w:rsidRPr="00534CAF">
        <w:rPr>
          <w:szCs w:val="24"/>
          <w:lang w:val="sr-Cyrl-RS"/>
        </w:rPr>
        <w:t>2.124 кревета, од чега 570 на интензивној нези и 1.554 на полуинтензивној нези</w:t>
      </w:r>
      <w:r w:rsidRPr="006648BD">
        <w:rPr>
          <w:szCs w:val="24"/>
          <w:lang w:val="sr-Cyrl-RS"/>
        </w:rPr>
        <w:t>.</w:t>
      </w:r>
      <w:r>
        <w:rPr>
          <w:szCs w:val="24"/>
          <w:lang w:val="sr-Cyrl-RS"/>
        </w:rPr>
        <w:t xml:space="preserve"> Такође, </w:t>
      </w:r>
      <w:r w:rsidRPr="005B6018">
        <w:rPr>
          <w:szCs w:val="24"/>
          <w:lang w:val="sr-Cyrl-RS"/>
        </w:rPr>
        <w:t xml:space="preserve">доградња и реконструкција КЦ Србије у Београду и КЦ Војводина у Новом Саду </w:t>
      </w:r>
      <w:r>
        <w:rPr>
          <w:szCs w:val="24"/>
          <w:lang w:val="sr-Cyrl-RS"/>
        </w:rPr>
        <w:t xml:space="preserve">су </w:t>
      </w:r>
      <w:r w:rsidRPr="005B6018">
        <w:rPr>
          <w:szCs w:val="24"/>
          <w:lang w:val="sr-Cyrl-RS"/>
        </w:rPr>
        <w:t>у току</w:t>
      </w:r>
      <w:r>
        <w:rPr>
          <w:szCs w:val="24"/>
          <w:lang w:val="sr-Cyrl-RS"/>
        </w:rPr>
        <w:t xml:space="preserve">, као и реконструкција </w:t>
      </w:r>
      <w:r w:rsidRPr="005B6018">
        <w:rPr>
          <w:szCs w:val="24"/>
          <w:lang w:val="sr-Cyrl-RS"/>
        </w:rPr>
        <w:t>Клиник</w:t>
      </w:r>
      <w:r>
        <w:rPr>
          <w:szCs w:val="24"/>
          <w:lang w:val="sr-Cyrl-RS"/>
        </w:rPr>
        <w:t>е</w:t>
      </w:r>
      <w:r w:rsidRPr="005B6018">
        <w:rPr>
          <w:szCs w:val="24"/>
          <w:lang w:val="sr-Cyrl-RS"/>
        </w:rPr>
        <w:t xml:space="preserve"> за инфективне и тропске болести </w:t>
      </w:r>
      <w:r>
        <w:rPr>
          <w:szCs w:val="24"/>
          <w:lang w:val="sr-Cyrl-RS"/>
        </w:rPr>
        <w:t>„Проф. д</w:t>
      </w:r>
      <w:r w:rsidRPr="005B6018">
        <w:rPr>
          <w:szCs w:val="24"/>
          <w:lang w:val="sr-Cyrl-RS"/>
        </w:rPr>
        <w:t>р Коста Тодоровић</w:t>
      </w:r>
      <w:r>
        <w:rPr>
          <w:szCs w:val="24"/>
          <w:lang w:val="sr-Cyrl-RS"/>
        </w:rPr>
        <w:t>“.</w:t>
      </w:r>
    </w:p>
    <w:p w14:paraId="4DFCD9CE" w14:textId="77777777" w:rsidR="00DC7F92" w:rsidRPr="00BB7B92" w:rsidRDefault="00DC7F92" w:rsidP="00DC7F92">
      <w:pPr>
        <w:spacing w:after="60"/>
        <w:rPr>
          <w:szCs w:val="24"/>
          <w:lang w:val="sr-Cyrl-RS"/>
        </w:rPr>
      </w:pPr>
      <w:r>
        <w:rPr>
          <w:rFonts w:cs="Times New Roman"/>
          <w:b/>
          <w:bCs/>
          <w:lang w:val="sr-Cyrl-RS"/>
        </w:rPr>
        <w:t xml:space="preserve">Недовољна </w:t>
      </w:r>
      <w:r w:rsidRPr="007E7F6E">
        <w:rPr>
          <w:b/>
          <w:bCs/>
          <w:szCs w:val="24"/>
          <w:lang w:val="sr-Cyrl-RS"/>
        </w:rPr>
        <w:t>опремљеност</w:t>
      </w:r>
      <w:r w:rsidRPr="007E7F6E">
        <w:rPr>
          <w:b/>
          <w:szCs w:val="24"/>
          <w:lang w:val="sr-Cyrl-RS"/>
        </w:rPr>
        <w:t xml:space="preserve"> здравствених установа дијагностичким медицинским апаратима</w:t>
      </w:r>
      <w:r w:rsidRPr="007E7F6E">
        <w:rPr>
          <w:bCs/>
          <w:szCs w:val="24"/>
          <w:lang w:val="sr-Cyrl-RS"/>
        </w:rPr>
        <w:t xml:space="preserve"> </w:t>
      </w:r>
      <w:r>
        <w:rPr>
          <w:bCs/>
          <w:szCs w:val="24"/>
          <w:lang w:val="sr-Cyrl-RS"/>
        </w:rPr>
        <w:t>последица је ниских</w:t>
      </w:r>
      <w:r w:rsidRPr="007E7F6E">
        <w:rPr>
          <w:bCs/>
          <w:szCs w:val="24"/>
          <w:lang w:val="sr-Cyrl-RS"/>
        </w:rPr>
        <w:t xml:space="preserve"> улагања</w:t>
      </w:r>
      <w:r w:rsidRPr="00C0641B">
        <w:rPr>
          <w:szCs w:val="24"/>
          <w:lang w:val="sr-Cyrl-RS"/>
        </w:rPr>
        <w:t xml:space="preserve"> у здравство</w:t>
      </w:r>
      <w:r>
        <w:rPr>
          <w:szCs w:val="24"/>
          <w:lang w:val="sr-Cyrl-RS"/>
        </w:rPr>
        <w:t>,</w:t>
      </w:r>
      <w:r w:rsidRPr="00C0641B">
        <w:rPr>
          <w:szCs w:val="24"/>
          <w:lang w:val="sr-Cyrl-RS"/>
        </w:rPr>
        <w:t xml:space="preserve"> па тако </w:t>
      </w:r>
      <w:r w:rsidRPr="00BB7B92">
        <w:rPr>
          <w:szCs w:val="24"/>
          <w:lang w:val="sr-Cyrl-RS"/>
        </w:rPr>
        <w:t xml:space="preserve">Србија има </w:t>
      </w:r>
      <w:r w:rsidRPr="00BB7B92">
        <w:rPr>
          <w:bCs/>
          <w:szCs w:val="24"/>
          <w:lang w:val="sr-Cyrl-RS"/>
        </w:rPr>
        <w:t>27 магнетних резонанци</w:t>
      </w:r>
      <w:r w:rsidRPr="00BB7B92">
        <w:rPr>
          <w:szCs w:val="24"/>
          <w:lang w:val="sr-Cyrl-RS"/>
        </w:rPr>
        <w:t xml:space="preserve"> (</w:t>
      </w:r>
      <w:r w:rsidRPr="00BB7B92">
        <w:rPr>
          <w:bCs/>
          <w:szCs w:val="24"/>
          <w:lang w:val="sr-Cyrl-RS"/>
        </w:rPr>
        <w:t>0,4</w:t>
      </w:r>
      <w:r w:rsidRPr="00BB7B92">
        <w:rPr>
          <w:szCs w:val="24"/>
          <w:lang w:val="sr-Cyrl-RS"/>
        </w:rPr>
        <w:t xml:space="preserve"> на 100.000 становника), </w:t>
      </w:r>
      <w:r w:rsidRPr="00BB7B92">
        <w:rPr>
          <w:bCs/>
          <w:szCs w:val="24"/>
          <w:lang w:val="sr-Cyrl-RS"/>
        </w:rPr>
        <w:t>78 ЦТ скенер</w:t>
      </w:r>
      <w:r w:rsidRPr="00BB7B92">
        <w:rPr>
          <w:szCs w:val="24"/>
          <w:lang w:val="sr-Cyrl-RS"/>
        </w:rPr>
        <w:t xml:space="preserve"> (</w:t>
      </w:r>
      <w:r w:rsidRPr="00BB7B92">
        <w:rPr>
          <w:bCs/>
          <w:szCs w:val="24"/>
          <w:lang w:val="sr-Cyrl-RS"/>
        </w:rPr>
        <w:t>1,1</w:t>
      </w:r>
      <w:r w:rsidRPr="00BB7B92">
        <w:rPr>
          <w:szCs w:val="24"/>
          <w:lang w:val="sr-Cyrl-RS"/>
        </w:rPr>
        <w:t xml:space="preserve"> на 100.000 становника), </w:t>
      </w:r>
      <w:r w:rsidRPr="00BB7B92">
        <w:rPr>
          <w:bCs/>
          <w:szCs w:val="24"/>
          <w:lang w:val="sr-Cyrl-RS"/>
        </w:rPr>
        <w:t>20 гама камер</w:t>
      </w:r>
      <w:r w:rsidRPr="00BB7B92">
        <w:rPr>
          <w:bCs/>
          <w:szCs w:val="24"/>
          <w:lang w:val="sr-Latn-RS"/>
        </w:rPr>
        <w:t>a</w:t>
      </w:r>
      <w:r w:rsidRPr="00BB7B92">
        <w:rPr>
          <w:szCs w:val="24"/>
          <w:lang w:val="sr-Cyrl-RS"/>
        </w:rPr>
        <w:t xml:space="preserve"> (</w:t>
      </w:r>
      <w:r w:rsidRPr="00BB7B92">
        <w:rPr>
          <w:bCs/>
          <w:szCs w:val="24"/>
          <w:lang w:val="sr-Cyrl-RS"/>
        </w:rPr>
        <w:t>0,3</w:t>
      </w:r>
      <w:r w:rsidRPr="00BB7B92">
        <w:rPr>
          <w:szCs w:val="24"/>
          <w:lang w:val="sr-Cyrl-RS"/>
        </w:rPr>
        <w:t xml:space="preserve"> на 100.000 становника), 24 јединица за ангиографију (0,34 на 100.000 становника – податак за 2016), </w:t>
      </w:r>
      <w:r w:rsidRPr="00BB7B92">
        <w:rPr>
          <w:bCs/>
          <w:szCs w:val="24"/>
          <w:lang w:val="sr-Cyrl-RS"/>
        </w:rPr>
        <w:t>30</w:t>
      </w:r>
      <w:r w:rsidRPr="00BB7B92">
        <w:rPr>
          <w:szCs w:val="24"/>
          <w:lang w:val="sr-Cyrl-RS"/>
        </w:rPr>
        <w:t xml:space="preserve"> јединица за </w:t>
      </w:r>
      <w:r w:rsidRPr="00BB7B92">
        <w:rPr>
          <w:bCs/>
          <w:szCs w:val="24"/>
          <w:lang w:val="sr-Cyrl-RS"/>
        </w:rPr>
        <w:t>радио терапију</w:t>
      </w:r>
      <w:r w:rsidRPr="00BB7B92">
        <w:rPr>
          <w:szCs w:val="24"/>
          <w:lang w:val="sr-Cyrl-RS"/>
        </w:rPr>
        <w:t xml:space="preserve"> (</w:t>
      </w:r>
      <w:r w:rsidRPr="00BB7B92">
        <w:rPr>
          <w:bCs/>
          <w:szCs w:val="24"/>
          <w:lang w:val="sr-Cyrl-RS"/>
        </w:rPr>
        <w:t>0,43</w:t>
      </w:r>
      <w:r w:rsidRPr="00BB7B92">
        <w:rPr>
          <w:szCs w:val="24"/>
          <w:lang w:val="sr-Cyrl-RS"/>
        </w:rPr>
        <w:t xml:space="preserve"> на 100.000 становника)</w:t>
      </w:r>
      <w:r w:rsidRPr="00BB7B92">
        <w:rPr>
          <w:rStyle w:val="FootnoteReference"/>
          <w:szCs w:val="24"/>
          <w:lang w:val="sr-Cyrl-RS"/>
        </w:rPr>
        <w:footnoteReference w:id="128"/>
      </w:r>
      <w:r w:rsidRPr="00BB7B92">
        <w:rPr>
          <w:szCs w:val="24"/>
          <w:lang w:val="sr-Cyrl-RS"/>
        </w:rPr>
        <w:t xml:space="preserve">, </w:t>
      </w:r>
      <w:r w:rsidRPr="00BB7B92">
        <w:rPr>
          <w:bCs/>
          <w:szCs w:val="24"/>
          <w:lang w:val="sr-Cyrl-RS"/>
        </w:rPr>
        <w:t>126 мамографа</w:t>
      </w:r>
      <w:r w:rsidRPr="00BB7B92">
        <w:rPr>
          <w:szCs w:val="24"/>
          <w:lang w:val="sr-Cyrl-RS"/>
        </w:rPr>
        <w:t xml:space="preserve"> (1,8 на 100.000 становника) и </w:t>
      </w:r>
      <w:r w:rsidRPr="00BB7B92">
        <w:rPr>
          <w:bCs/>
          <w:szCs w:val="24"/>
          <w:lang w:val="sr-Cyrl-RS"/>
        </w:rPr>
        <w:t>2 ПЕТ скенера</w:t>
      </w:r>
      <w:r w:rsidRPr="00BB7B92">
        <w:rPr>
          <w:rStyle w:val="FootnoteReference"/>
          <w:szCs w:val="24"/>
          <w:lang w:val="sr-Cyrl-RS"/>
        </w:rPr>
        <w:footnoteReference w:id="129"/>
      </w:r>
      <w:r w:rsidRPr="00BB7B92">
        <w:rPr>
          <w:szCs w:val="24"/>
          <w:lang w:val="sr-Cyrl-RS"/>
        </w:rPr>
        <w:t>.</w:t>
      </w:r>
    </w:p>
    <w:p w14:paraId="783C9F34" w14:textId="77777777" w:rsidR="00DC7F92" w:rsidRDefault="00DC7F92" w:rsidP="00DC7F92">
      <w:pPr>
        <w:spacing w:after="60"/>
        <w:rPr>
          <w:szCs w:val="24"/>
          <w:lang w:val="sr-Cyrl-RS"/>
        </w:rPr>
      </w:pPr>
      <w:r w:rsidRPr="004C022A">
        <w:rPr>
          <w:szCs w:val="24"/>
          <w:lang w:val="sr-Cyrl-RS"/>
        </w:rPr>
        <w:t xml:space="preserve">Изазов са којим се здравствени систем у Србији суочава </w:t>
      </w:r>
      <w:r>
        <w:rPr>
          <w:szCs w:val="24"/>
          <w:lang w:val="sr-Cyrl-RS"/>
        </w:rPr>
        <w:t>представља и</w:t>
      </w:r>
      <w:r w:rsidRPr="004C022A">
        <w:rPr>
          <w:szCs w:val="24"/>
          <w:lang w:val="sr-Cyrl-RS"/>
        </w:rPr>
        <w:t xml:space="preserve"> </w:t>
      </w:r>
      <w:r w:rsidRPr="000631DE">
        <w:rPr>
          <w:b/>
          <w:bCs/>
          <w:szCs w:val="24"/>
          <w:lang w:val="sr-Cyrl-RS"/>
        </w:rPr>
        <w:t xml:space="preserve">одлив </w:t>
      </w:r>
      <w:r>
        <w:rPr>
          <w:b/>
          <w:bCs/>
          <w:szCs w:val="24"/>
          <w:lang w:val="sr-Cyrl-RS"/>
        </w:rPr>
        <w:t xml:space="preserve">медицинског </w:t>
      </w:r>
      <w:r w:rsidRPr="000631DE">
        <w:rPr>
          <w:b/>
          <w:bCs/>
          <w:szCs w:val="24"/>
          <w:lang w:val="sr-Cyrl-RS"/>
        </w:rPr>
        <w:t>кадра</w:t>
      </w:r>
      <w:r>
        <w:rPr>
          <w:b/>
          <w:bCs/>
          <w:szCs w:val="24"/>
          <w:lang w:val="sr-Cyrl-RS"/>
        </w:rPr>
        <w:t xml:space="preserve"> у иностранство</w:t>
      </w:r>
      <w:r>
        <w:rPr>
          <w:rStyle w:val="FootnoteReference"/>
          <w:b/>
          <w:bCs/>
          <w:szCs w:val="24"/>
          <w:lang w:val="sr-Cyrl-RS"/>
        </w:rPr>
        <w:footnoteReference w:id="130"/>
      </w:r>
      <w:r w:rsidRPr="000631DE">
        <w:rPr>
          <w:b/>
          <w:bCs/>
          <w:szCs w:val="24"/>
          <w:lang w:val="sr-Cyrl-RS"/>
        </w:rPr>
        <w:t xml:space="preserve"> </w:t>
      </w:r>
      <w:r w:rsidRPr="00453BC4">
        <w:rPr>
          <w:bCs/>
          <w:szCs w:val="24"/>
          <w:lang w:val="sr-Cyrl-RS"/>
        </w:rPr>
        <w:t>и</w:t>
      </w:r>
      <w:r w:rsidRPr="000631DE">
        <w:rPr>
          <w:b/>
          <w:bCs/>
          <w:szCs w:val="24"/>
          <w:lang w:val="sr-Cyrl-RS"/>
        </w:rPr>
        <w:t xml:space="preserve"> недостатак радне снаге</w:t>
      </w:r>
      <w:r>
        <w:rPr>
          <w:b/>
          <w:bCs/>
          <w:szCs w:val="24"/>
          <w:lang w:val="sr-Cyrl-RS"/>
        </w:rPr>
        <w:t xml:space="preserve"> услед природног одлива лекара тј одласка лекара у пензију</w:t>
      </w:r>
      <w:r>
        <w:rPr>
          <w:szCs w:val="24"/>
          <w:lang w:val="sr-Cyrl-RS"/>
        </w:rPr>
        <w:t>.</w:t>
      </w:r>
    </w:p>
    <w:p w14:paraId="48B49942" w14:textId="77777777" w:rsidR="00DC7F92" w:rsidRDefault="00DC7F92" w:rsidP="00DC7F92">
      <w:pPr>
        <w:spacing w:after="60"/>
        <w:rPr>
          <w:szCs w:val="24"/>
          <w:lang w:val="sr-Cyrl-RS"/>
        </w:rPr>
      </w:pPr>
      <w:r>
        <w:rPr>
          <w:szCs w:val="24"/>
          <w:lang w:val="sr-Cyrl-RS"/>
        </w:rPr>
        <w:t xml:space="preserve">Недовољна улагања и опремљеност здравствених установа и мањак медицинског кадра негативно се одражавају на </w:t>
      </w:r>
      <w:r w:rsidRPr="000631DE">
        <w:rPr>
          <w:b/>
          <w:bCs/>
          <w:szCs w:val="24"/>
          <w:lang w:val="sr-Cyrl-RS"/>
        </w:rPr>
        <w:t>листе чекања</w:t>
      </w:r>
      <w:r>
        <w:rPr>
          <w:szCs w:val="24"/>
          <w:lang w:val="sr-Cyrl-RS"/>
        </w:rPr>
        <w:t xml:space="preserve">. </w:t>
      </w:r>
      <w:r w:rsidRPr="000631DE">
        <w:rPr>
          <w:b/>
          <w:bCs/>
          <w:szCs w:val="24"/>
          <w:lang w:val="sr-Cyrl-RS"/>
        </w:rPr>
        <w:t>Јединствена листа чекања</w:t>
      </w:r>
      <w:r>
        <w:rPr>
          <w:szCs w:val="24"/>
          <w:lang w:val="sr-Cyrl-RS"/>
        </w:rPr>
        <w:t xml:space="preserve"> се за 26 здравстевних услуга ажурира на дневној бази и објављује на сајту РФЗО</w:t>
      </w:r>
      <w:r>
        <w:rPr>
          <w:rStyle w:val="FootnoteReference"/>
          <w:szCs w:val="24"/>
          <w:lang w:val="sr-Cyrl-RS"/>
        </w:rPr>
        <w:footnoteReference w:id="131"/>
      </w:r>
      <w:r>
        <w:rPr>
          <w:szCs w:val="24"/>
          <w:lang w:val="sr-Latn-RS"/>
        </w:rPr>
        <w:t>,</w:t>
      </w:r>
      <w:r>
        <w:rPr>
          <w:szCs w:val="24"/>
          <w:lang w:val="sr-Cyrl-RS"/>
        </w:rPr>
        <w:t xml:space="preserve"> а укупан број лица на овој листи износио је </w:t>
      </w:r>
      <w:r w:rsidRPr="000631DE">
        <w:rPr>
          <w:b/>
          <w:bCs/>
          <w:szCs w:val="24"/>
          <w:lang w:val="sr-Cyrl-RS"/>
        </w:rPr>
        <w:t>52 хиљад</w:t>
      </w:r>
      <w:r w:rsidRPr="000631DE">
        <w:rPr>
          <w:b/>
          <w:bCs/>
          <w:szCs w:val="24"/>
          <w:lang w:val="sr-Latn-RS"/>
        </w:rPr>
        <w:t>e</w:t>
      </w:r>
      <w:r>
        <w:rPr>
          <w:szCs w:val="24"/>
          <w:lang w:val="sr-Cyrl-RS"/>
        </w:rPr>
        <w:t xml:space="preserve"> почетком </w:t>
      </w:r>
      <w:r w:rsidRPr="000631DE">
        <w:rPr>
          <w:b/>
          <w:bCs/>
          <w:szCs w:val="24"/>
          <w:lang w:val="sr-Cyrl-RS"/>
        </w:rPr>
        <w:t>августа 2021</w:t>
      </w:r>
      <w:r>
        <w:rPr>
          <w:szCs w:val="24"/>
          <w:lang w:val="sr-Cyrl-RS"/>
        </w:rPr>
        <w:t>. године.</w:t>
      </w:r>
    </w:p>
    <w:p w14:paraId="53684D1F" w14:textId="77777777" w:rsidR="00DC7F92" w:rsidRPr="00375925" w:rsidRDefault="00DC7F92" w:rsidP="00DC7F92">
      <w:pPr>
        <w:spacing w:after="60"/>
        <w:rPr>
          <w:szCs w:val="24"/>
          <w:lang w:val="sr-Cyrl-RS"/>
        </w:rPr>
      </w:pPr>
      <w:r w:rsidRPr="00EF7E22">
        <w:rPr>
          <w:szCs w:val="24"/>
          <w:lang w:val="sr-Cyrl-RS"/>
        </w:rPr>
        <w:lastRenderedPageBreak/>
        <w:t xml:space="preserve">Процес дигитализације уопште, а пре свега </w:t>
      </w:r>
      <w:r w:rsidRPr="00EF7E22">
        <w:rPr>
          <w:b/>
          <w:szCs w:val="24"/>
          <w:lang w:val="sr-Cyrl-RS"/>
        </w:rPr>
        <w:t>дигитализација у јавној управи, побољшава квалитет живота грађана Србије</w:t>
      </w:r>
      <w:r w:rsidRPr="00EF7E22">
        <w:rPr>
          <w:szCs w:val="24"/>
          <w:lang w:val="sr-Cyrl-RS"/>
        </w:rPr>
        <w:t>, што је од посебног значаја сада у условима пандемије.</w:t>
      </w:r>
      <w:r>
        <w:rPr>
          <w:szCs w:val="24"/>
        </w:rPr>
        <w:t xml:space="preserve"> </w:t>
      </w:r>
      <w:r w:rsidRPr="00782DEF">
        <w:rPr>
          <w:b/>
          <w:szCs w:val="24"/>
          <w:lang w:val="sr-Cyrl-RS"/>
        </w:rPr>
        <w:t>Коришћење информационих технологија у здравству</w:t>
      </w:r>
      <w:r>
        <w:rPr>
          <w:szCs w:val="24"/>
          <w:lang w:val="sr-Cyrl-RS"/>
        </w:rPr>
        <w:t xml:space="preserve"> доноси </w:t>
      </w:r>
      <w:r w:rsidRPr="00375925">
        <w:rPr>
          <w:szCs w:val="24"/>
          <w:lang w:val="sr-Cyrl-RS"/>
        </w:rPr>
        <w:t>већу транспарентност и ефикасност здравств</w:t>
      </w:r>
      <w:r>
        <w:rPr>
          <w:szCs w:val="24"/>
          <w:lang w:val="sr-Cyrl-RS"/>
        </w:rPr>
        <w:t>еног система. Успостављање централног</w:t>
      </w:r>
      <w:r w:rsidRPr="00375925">
        <w:rPr>
          <w:szCs w:val="24"/>
          <w:lang w:val="sr-Cyrl-RS"/>
        </w:rPr>
        <w:t xml:space="preserve"> систем</w:t>
      </w:r>
      <w:r>
        <w:rPr>
          <w:szCs w:val="24"/>
          <w:lang w:val="sr-Cyrl-RS"/>
        </w:rPr>
        <w:t>а</w:t>
      </w:r>
      <w:r w:rsidRPr="00375925">
        <w:rPr>
          <w:szCs w:val="24"/>
          <w:lang w:val="sr-Cyrl-RS"/>
        </w:rPr>
        <w:t xml:space="preserve"> </w:t>
      </w:r>
      <w:r w:rsidRPr="00782DEF">
        <w:rPr>
          <w:b/>
          <w:szCs w:val="24"/>
          <w:lang w:val="sr-Cyrl-RS"/>
        </w:rPr>
        <w:t>електронског здравственог картона</w:t>
      </w:r>
      <w:r>
        <w:rPr>
          <w:szCs w:val="24"/>
          <w:lang w:val="sr-Cyrl-RS"/>
        </w:rPr>
        <w:t xml:space="preserve"> омогућиће</w:t>
      </w:r>
      <w:r w:rsidRPr="00782DEF">
        <w:rPr>
          <w:szCs w:val="24"/>
          <w:lang w:val="sr-Cyrl-RS"/>
        </w:rPr>
        <w:t xml:space="preserve"> да сви подаци о и за пацијента буду у електронској форми</w:t>
      </w:r>
      <w:r>
        <w:rPr>
          <w:szCs w:val="24"/>
          <w:lang w:val="sr-Cyrl-RS"/>
        </w:rPr>
        <w:t xml:space="preserve">, и на тај начин постану </w:t>
      </w:r>
      <w:r w:rsidRPr="00375925">
        <w:rPr>
          <w:szCs w:val="24"/>
          <w:lang w:val="sr-Cyrl-RS"/>
        </w:rPr>
        <w:t>доступни</w:t>
      </w:r>
      <w:r>
        <w:rPr>
          <w:szCs w:val="24"/>
          <w:lang w:val="sr-Cyrl-RS"/>
        </w:rPr>
        <w:t xml:space="preserve"> како запосленима у</w:t>
      </w:r>
      <w:r w:rsidRPr="00375925">
        <w:rPr>
          <w:szCs w:val="24"/>
          <w:lang w:val="sr-Cyrl-RS"/>
        </w:rPr>
        <w:t xml:space="preserve"> здравствено</w:t>
      </w:r>
      <w:r>
        <w:rPr>
          <w:szCs w:val="24"/>
          <w:lang w:val="sr-Cyrl-RS"/>
        </w:rPr>
        <w:t>м</w:t>
      </w:r>
      <w:r w:rsidRPr="00375925">
        <w:rPr>
          <w:szCs w:val="24"/>
          <w:lang w:val="sr-Cyrl-RS"/>
        </w:rPr>
        <w:t xml:space="preserve"> сектор</w:t>
      </w:r>
      <w:r>
        <w:rPr>
          <w:szCs w:val="24"/>
          <w:lang w:val="sr-Cyrl-RS"/>
        </w:rPr>
        <w:t>у, тако и самим</w:t>
      </w:r>
      <w:r w:rsidRPr="00375925">
        <w:rPr>
          <w:szCs w:val="24"/>
          <w:lang w:val="sr-Cyrl-RS"/>
        </w:rPr>
        <w:t xml:space="preserve"> пацијентима</w:t>
      </w:r>
      <w:r>
        <w:rPr>
          <w:szCs w:val="24"/>
          <w:lang w:val="sr-Cyrl-RS"/>
        </w:rPr>
        <w:t>.</w:t>
      </w:r>
      <w:r>
        <w:rPr>
          <w:szCs w:val="24"/>
        </w:rPr>
        <w:t xml:space="preserve"> </w:t>
      </w:r>
      <w:r>
        <w:rPr>
          <w:szCs w:val="24"/>
          <w:lang w:val="sr-Cyrl-RS"/>
        </w:rPr>
        <w:t>До сада је</w:t>
      </w:r>
      <w:r>
        <w:rPr>
          <w:szCs w:val="24"/>
        </w:rPr>
        <w:t xml:space="preserve"> </w:t>
      </w:r>
      <w:r w:rsidRPr="00534CAF">
        <w:rPr>
          <w:szCs w:val="24"/>
        </w:rPr>
        <w:t xml:space="preserve">на е-Картон </w:t>
      </w:r>
      <w:r>
        <w:rPr>
          <w:szCs w:val="24"/>
          <w:lang w:val="sr-Cyrl-RS"/>
        </w:rPr>
        <w:t>п</w:t>
      </w:r>
      <w:r>
        <w:rPr>
          <w:szCs w:val="24"/>
        </w:rPr>
        <w:t>овезана</w:t>
      </w:r>
      <w:r w:rsidRPr="00534CAF">
        <w:rPr>
          <w:szCs w:val="24"/>
        </w:rPr>
        <w:t xml:space="preserve"> 151 установа</w:t>
      </w:r>
      <w:r>
        <w:rPr>
          <w:szCs w:val="24"/>
          <w:lang w:val="sr-Cyrl-RS"/>
        </w:rPr>
        <w:t xml:space="preserve"> (од планираних 220) </w:t>
      </w:r>
      <w:r w:rsidRPr="00534CAF">
        <w:rPr>
          <w:szCs w:val="24"/>
        </w:rPr>
        <w:t>.</w:t>
      </w:r>
      <w:r>
        <w:rPr>
          <w:szCs w:val="24"/>
          <w:lang w:val="sr-Cyrl-RS"/>
        </w:rPr>
        <w:t xml:space="preserve"> Даљи развој иде у правцу </w:t>
      </w:r>
      <w:r w:rsidRPr="00694FF8">
        <w:rPr>
          <w:szCs w:val="24"/>
          <w:lang w:val="sr-Cyrl-RS"/>
        </w:rPr>
        <w:t>успостављањ</w:t>
      </w:r>
      <w:r>
        <w:rPr>
          <w:szCs w:val="24"/>
          <w:lang w:val="sr-Cyrl-RS"/>
        </w:rPr>
        <w:t>а</w:t>
      </w:r>
      <w:r w:rsidRPr="00694FF8">
        <w:rPr>
          <w:szCs w:val="24"/>
          <w:lang w:val="sr-Cyrl-RS"/>
        </w:rPr>
        <w:t xml:space="preserve"> централног система за прикупљање података из свих лабораторијских система и њихова дистрибуција. Такође, план</w:t>
      </w:r>
      <w:r>
        <w:rPr>
          <w:szCs w:val="24"/>
          <w:lang w:val="sr-Cyrl-RS"/>
        </w:rPr>
        <w:t>ира</w:t>
      </w:r>
      <w:r w:rsidRPr="00694FF8">
        <w:rPr>
          <w:szCs w:val="24"/>
          <w:lang w:val="sr-Cyrl-RS"/>
        </w:rPr>
        <w:t xml:space="preserve"> </w:t>
      </w:r>
      <w:r>
        <w:rPr>
          <w:szCs w:val="24"/>
          <w:lang w:val="sr-Cyrl-RS"/>
        </w:rPr>
        <w:t>се</w:t>
      </w:r>
      <w:r w:rsidRPr="00694FF8">
        <w:rPr>
          <w:szCs w:val="24"/>
          <w:lang w:val="sr-Cyrl-RS"/>
        </w:rPr>
        <w:t xml:space="preserve"> и проширење имплементације еРецепта, као и увођење система провере интеракције лекова и система подршке доношењу клиничких одлука.</w:t>
      </w:r>
    </w:p>
    <w:p w14:paraId="6363776D" w14:textId="77777777" w:rsidR="00DC7F92" w:rsidRDefault="00DC7F92" w:rsidP="00DC7F92">
      <w:pPr>
        <w:spacing w:after="60"/>
        <w:rPr>
          <w:szCs w:val="24"/>
          <w:lang w:val="sr-Cyrl-RS"/>
        </w:rPr>
      </w:pPr>
      <w:r>
        <w:rPr>
          <w:szCs w:val="24"/>
          <w:lang w:val="sr-Cyrl-RS"/>
        </w:rPr>
        <w:t>Пандемија вируса</w:t>
      </w:r>
      <w:r w:rsidRPr="00861033">
        <w:rPr>
          <w:szCs w:val="24"/>
          <w:lang w:val="sr-Cyrl-RS"/>
        </w:rPr>
        <w:t xml:space="preserve"> Ковид-19</w:t>
      </w:r>
      <w:r>
        <w:rPr>
          <w:szCs w:val="24"/>
          <w:lang w:val="sr-Cyrl-RS"/>
        </w:rPr>
        <w:t xml:space="preserve"> покренула је </w:t>
      </w:r>
      <w:r w:rsidRPr="00033633">
        <w:rPr>
          <w:szCs w:val="24"/>
          <w:lang w:val="sr-Cyrl-RS"/>
        </w:rPr>
        <w:t>активност</w:t>
      </w:r>
      <w:r>
        <w:rPr>
          <w:szCs w:val="24"/>
          <w:lang w:val="sr-Cyrl-RS"/>
        </w:rPr>
        <w:t>и</w:t>
      </w:r>
      <w:r w:rsidRPr="00033633">
        <w:rPr>
          <w:szCs w:val="24"/>
          <w:lang w:val="sr-Cyrl-RS"/>
        </w:rPr>
        <w:t xml:space="preserve"> стручњака широм света н</w:t>
      </w:r>
      <w:r>
        <w:rPr>
          <w:szCs w:val="24"/>
          <w:lang w:val="sr-Cyrl-RS"/>
        </w:rPr>
        <w:t>а</w:t>
      </w:r>
      <w:r w:rsidRPr="00033633">
        <w:rPr>
          <w:szCs w:val="24"/>
          <w:lang w:val="sr-Cyrl-RS"/>
        </w:rPr>
        <w:t xml:space="preserve"> развоју вакцине</w:t>
      </w:r>
      <w:r>
        <w:rPr>
          <w:szCs w:val="24"/>
          <w:lang w:val="sr-Cyrl-RS"/>
        </w:rPr>
        <w:t xml:space="preserve">. </w:t>
      </w:r>
      <w:r w:rsidRPr="00033633">
        <w:rPr>
          <w:b/>
          <w:szCs w:val="24"/>
          <w:lang w:val="sr-Cyrl-RS"/>
        </w:rPr>
        <w:t>Прве вакцине против корона вируса добиле су употребну дозволу</w:t>
      </w:r>
      <w:r>
        <w:rPr>
          <w:szCs w:val="24"/>
          <w:lang w:val="sr-Cyrl-RS"/>
        </w:rPr>
        <w:t xml:space="preserve"> (Светске здравствене организације и </w:t>
      </w:r>
      <w:r w:rsidRPr="005B2743">
        <w:rPr>
          <w:szCs w:val="24"/>
          <w:lang w:val="sr-Cyrl-RS"/>
        </w:rPr>
        <w:t>здравствених власти</w:t>
      </w:r>
      <w:r>
        <w:rPr>
          <w:szCs w:val="24"/>
          <w:lang w:val="sr-Cyrl-RS"/>
        </w:rPr>
        <w:t xml:space="preserve"> конкретних држава) </w:t>
      </w:r>
      <w:r w:rsidRPr="00033633">
        <w:rPr>
          <w:b/>
          <w:szCs w:val="24"/>
          <w:lang w:val="sr-Cyrl-RS"/>
        </w:rPr>
        <w:t>крајем 2020. године</w:t>
      </w:r>
      <w:r>
        <w:rPr>
          <w:szCs w:val="24"/>
          <w:lang w:val="sr-Cyrl-RS"/>
        </w:rPr>
        <w:t>.</w:t>
      </w:r>
    </w:p>
    <w:p w14:paraId="79E97047" w14:textId="77777777" w:rsidR="00DC7F92" w:rsidRDefault="00DC7F92" w:rsidP="00DC7F92">
      <w:pPr>
        <w:spacing w:after="60"/>
        <w:rPr>
          <w:szCs w:val="24"/>
          <w:lang w:val="sr-Cyrl-RS"/>
        </w:rPr>
      </w:pPr>
      <w:r>
        <w:rPr>
          <w:b/>
          <w:bCs/>
          <w:szCs w:val="24"/>
          <w:lang w:val="sr-Cyrl-RS"/>
        </w:rPr>
        <w:t>М</w:t>
      </w:r>
      <w:r w:rsidRPr="009E3633">
        <w:rPr>
          <w:b/>
          <w:bCs/>
          <w:szCs w:val="24"/>
          <w:lang w:val="sr-Cyrl-RS"/>
        </w:rPr>
        <w:t>асовна вакцинација</w:t>
      </w:r>
      <w:r w:rsidRPr="0088630B">
        <w:rPr>
          <w:szCs w:val="24"/>
          <w:lang w:val="sr-Cyrl-RS"/>
        </w:rPr>
        <w:t xml:space="preserve"> становништва</w:t>
      </w:r>
      <w:r>
        <w:rPr>
          <w:szCs w:val="24"/>
          <w:lang w:val="sr-Cyrl-RS"/>
        </w:rPr>
        <w:t xml:space="preserve"> у Србији</w:t>
      </w:r>
      <w:r w:rsidRPr="00861033">
        <w:rPr>
          <w:szCs w:val="24"/>
          <w:lang w:val="sr-Cyrl-RS"/>
        </w:rPr>
        <w:t xml:space="preserve"> </w:t>
      </w:r>
      <w:r w:rsidRPr="0088630B">
        <w:rPr>
          <w:szCs w:val="24"/>
          <w:lang w:val="sr-Cyrl-RS"/>
        </w:rPr>
        <w:t xml:space="preserve">започела је </w:t>
      </w:r>
      <w:r>
        <w:rPr>
          <w:szCs w:val="24"/>
          <w:lang w:val="sr-Cyrl-RS"/>
        </w:rPr>
        <w:t>у</w:t>
      </w:r>
      <w:r w:rsidRPr="0088630B">
        <w:rPr>
          <w:szCs w:val="24"/>
          <w:lang w:val="sr-Cyrl-RS"/>
        </w:rPr>
        <w:t xml:space="preserve"> другој половини јануара 2021. </w:t>
      </w:r>
      <w:r>
        <w:rPr>
          <w:szCs w:val="24"/>
          <w:lang w:val="sr-Cyrl-RS"/>
        </w:rPr>
        <w:t>године</w:t>
      </w:r>
      <w:r w:rsidRPr="0088630B">
        <w:rPr>
          <w:szCs w:val="24"/>
          <w:lang w:val="sr-Cyrl-RS"/>
        </w:rPr>
        <w:t xml:space="preserve">. </w:t>
      </w:r>
      <w:r>
        <w:rPr>
          <w:szCs w:val="24"/>
          <w:lang w:val="sr-Cyrl-RS"/>
        </w:rPr>
        <w:t>Обезбеђено је</w:t>
      </w:r>
      <w:r w:rsidRPr="0088630B">
        <w:rPr>
          <w:szCs w:val="24"/>
          <w:lang w:val="sr-Cyrl-RS"/>
        </w:rPr>
        <w:t xml:space="preserve"> </w:t>
      </w:r>
      <w:r>
        <w:rPr>
          <w:b/>
          <w:bCs/>
          <w:szCs w:val="24"/>
          <w:lang w:val="sr-Cyrl-RS"/>
        </w:rPr>
        <w:t>5</w:t>
      </w:r>
      <w:r w:rsidRPr="009E3633">
        <w:rPr>
          <w:b/>
          <w:bCs/>
          <w:szCs w:val="24"/>
          <w:lang w:val="sr-Cyrl-RS"/>
        </w:rPr>
        <w:t xml:space="preserve"> врст</w:t>
      </w:r>
      <w:r>
        <w:rPr>
          <w:b/>
          <w:bCs/>
          <w:szCs w:val="24"/>
          <w:lang w:val="sr-Cyrl-RS"/>
        </w:rPr>
        <w:t>а</w:t>
      </w:r>
      <w:r w:rsidRPr="009E3633">
        <w:rPr>
          <w:b/>
          <w:bCs/>
          <w:szCs w:val="24"/>
          <w:lang w:val="sr-Cyrl-RS"/>
        </w:rPr>
        <w:t xml:space="preserve"> вакцина</w:t>
      </w:r>
      <w:r w:rsidRPr="0088630B">
        <w:rPr>
          <w:szCs w:val="24"/>
          <w:lang w:val="sr-Cyrl-RS"/>
        </w:rPr>
        <w:t xml:space="preserve">: </w:t>
      </w:r>
      <w:r w:rsidRPr="009B4F19">
        <w:rPr>
          <w:szCs w:val="24"/>
          <w:lang w:val="sr-Cyrl-RS"/>
        </w:rPr>
        <w:t>Фајзер-Бионтек</w:t>
      </w:r>
      <w:r>
        <w:rPr>
          <w:szCs w:val="24"/>
          <w:lang w:val="sr-Cyrl-RS"/>
        </w:rPr>
        <w:t>, Синофарм, С</w:t>
      </w:r>
      <w:r w:rsidRPr="0088630B">
        <w:rPr>
          <w:szCs w:val="24"/>
          <w:lang w:val="sr-Cyrl-RS"/>
        </w:rPr>
        <w:t>п</w:t>
      </w:r>
      <w:r>
        <w:rPr>
          <w:szCs w:val="24"/>
          <w:lang w:val="sr-Cyrl-RS"/>
        </w:rPr>
        <w:t>у</w:t>
      </w:r>
      <w:r w:rsidRPr="0088630B">
        <w:rPr>
          <w:szCs w:val="24"/>
          <w:lang w:val="sr-Cyrl-RS"/>
        </w:rPr>
        <w:t>тњик</w:t>
      </w:r>
      <w:r>
        <w:rPr>
          <w:szCs w:val="24"/>
          <w:lang w:val="sr-Cyrl-RS"/>
        </w:rPr>
        <w:t xml:space="preserve"> </w:t>
      </w:r>
      <w:r>
        <w:rPr>
          <w:szCs w:val="24"/>
          <w:lang w:val="sr-Latn-RS"/>
        </w:rPr>
        <w:t>V</w:t>
      </w:r>
      <w:r>
        <w:rPr>
          <w:szCs w:val="24"/>
          <w:lang w:val="sr-Cyrl-RS"/>
        </w:rPr>
        <w:t>,</w:t>
      </w:r>
      <w:r w:rsidRPr="0088630B">
        <w:rPr>
          <w:szCs w:val="24"/>
          <w:lang w:val="sr-Cyrl-RS"/>
        </w:rPr>
        <w:t xml:space="preserve"> </w:t>
      </w:r>
      <w:r>
        <w:rPr>
          <w:szCs w:val="24"/>
          <w:lang w:val="sr-Cyrl-RS"/>
        </w:rPr>
        <w:t xml:space="preserve">Астра </w:t>
      </w:r>
      <w:r w:rsidRPr="0088630B">
        <w:rPr>
          <w:szCs w:val="24"/>
          <w:lang w:val="sr-Cyrl-RS"/>
        </w:rPr>
        <w:t>Зенек</w:t>
      </w:r>
      <w:r>
        <w:rPr>
          <w:szCs w:val="24"/>
          <w:lang w:val="sr-Cyrl-RS"/>
        </w:rPr>
        <w:t xml:space="preserve">а и </w:t>
      </w:r>
      <w:r w:rsidRPr="008B1498">
        <w:rPr>
          <w:szCs w:val="24"/>
          <w:lang w:val="sr-Cyrl-RS"/>
        </w:rPr>
        <w:t>Модерна</w:t>
      </w:r>
      <w:r w:rsidRPr="0088630B">
        <w:rPr>
          <w:szCs w:val="24"/>
          <w:lang w:val="sr-Cyrl-RS"/>
        </w:rPr>
        <w:t xml:space="preserve">. </w:t>
      </w:r>
      <w:r w:rsidRPr="00A21BF0">
        <w:rPr>
          <w:szCs w:val="24"/>
          <w:lang w:val="sr-Cyrl-RS"/>
        </w:rPr>
        <w:t xml:space="preserve">При доласку </w:t>
      </w:r>
      <w:r w:rsidRPr="00A21BF0">
        <w:rPr>
          <w:bCs/>
          <w:szCs w:val="24"/>
          <w:lang w:val="sr-Cyrl-RS"/>
        </w:rPr>
        <w:t>првих</w:t>
      </w:r>
      <w:r w:rsidRPr="00A21BF0">
        <w:rPr>
          <w:szCs w:val="24"/>
          <w:lang w:val="sr-Cyrl-RS"/>
        </w:rPr>
        <w:t xml:space="preserve"> контингената </w:t>
      </w:r>
      <w:r w:rsidRPr="00A21BF0">
        <w:rPr>
          <w:bCs/>
          <w:szCs w:val="24"/>
          <w:lang w:val="sr-Cyrl-RS"/>
        </w:rPr>
        <w:t xml:space="preserve">вакцина </w:t>
      </w:r>
      <w:r w:rsidRPr="00A21BF0">
        <w:rPr>
          <w:b/>
          <w:bCs/>
          <w:szCs w:val="24"/>
          <w:lang w:val="sr-Cyrl-RS"/>
        </w:rPr>
        <w:t>приоритет</w:t>
      </w:r>
      <w:r w:rsidRPr="00A21BF0">
        <w:rPr>
          <w:b/>
          <w:szCs w:val="24"/>
          <w:lang w:val="sr-Cyrl-RS"/>
        </w:rPr>
        <w:t xml:space="preserve"> за вакцинацију</w:t>
      </w:r>
      <w:r>
        <w:rPr>
          <w:szCs w:val="24"/>
          <w:lang w:val="sr-Cyrl-RS"/>
        </w:rPr>
        <w:t xml:space="preserve"> </w:t>
      </w:r>
      <w:r w:rsidRPr="0088630B">
        <w:rPr>
          <w:szCs w:val="24"/>
          <w:lang w:val="sr-Cyrl-RS"/>
        </w:rPr>
        <w:t xml:space="preserve">имали су </w:t>
      </w:r>
      <w:r w:rsidRPr="009E3633">
        <w:rPr>
          <w:b/>
          <w:bCs/>
          <w:szCs w:val="24"/>
          <w:lang w:val="sr-Cyrl-RS"/>
        </w:rPr>
        <w:t>медицинско и немедицинско особље</w:t>
      </w:r>
      <w:r w:rsidRPr="0088630B">
        <w:rPr>
          <w:szCs w:val="24"/>
          <w:lang w:val="sr-Cyrl-RS"/>
        </w:rPr>
        <w:t xml:space="preserve"> које је радило у ковид систему, </w:t>
      </w:r>
      <w:r w:rsidRPr="009E3633">
        <w:rPr>
          <w:b/>
          <w:bCs/>
          <w:szCs w:val="24"/>
          <w:lang w:val="sr-Cyrl-RS"/>
        </w:rPr>
        <w:t>полиција, војска</w:t>
      </w:r>
      <w:r>
        <w:rPr>
          <w:b/>
          <w:bCs/>
          <w:szCs w:val="24"/>
          <w:lang w:val="sr-Cyrl-RS"/>
        </w:rPr>
        <w:t>,</w:t>
      </w:r>
      <w:r w:rsidRPr="0088630B">
        <w:rPr>
          <w:szCs w:val="24"/>
          <w:lang w:val="sr-Cyrl-RS"/>
        </w:rPr>
        <w:t xml:space="preserve"> као и </w:t>
      </w:r>
      <w:r w:rsidRPr="009E3633">
        <w:rPr>
          <w:b/>
          <w:bCs/>
          <w:szCs w:val="24"/>
          <w:lang w:val="sr-Cyrl-RS"/>
        </w:rPr>
        <w:t>најстарији</w:t>
      </w:r>
      <w:r w:rsidRPr="0088630B">
        <w:rPr>
          <w:szCs w:val="24"/>
          <w:lang w:val="sr-Cyrl-RS"/>
        </w:rPr>
        <w:t xml:space="preserve"> и </w:t>
      </w:r>
      <w:r w:rsidRPr="009E3633">
        <w:rPr>
          <w:b/>
          <w:bCs/>
          <w:szCs w:val="24"/>
          <w:lang w:val="sr-Cyrl-RS"/>
        </w:rPr>
        <w:t>здравствено најугроженији</w:t>
      </w:r>
      <w:r w:rsidRPr="0088630B">
        <w:rPr>
          <w:szCs w:val="24"/>
          <w:lang w:val="sr-Cyrl-RS"/>
        </w:rPr>
        <w:t xml:space="preserve"> грађани. </w:t>
      </w:r>
      <w:r>
        <w:rPr>
          <w:szCs w:val="24"/>
          <w:lang w:val="sr-Cyrl-RS"/>
        </w:rPr>
        <w:t>У функцији</w:t>
      </w:r>
      <w:r w:rsidRPr="0088630B">
        <w:rPr>
          <w:szCs w:val="24"/>
          <w:lang w:val="sr-Cyrl-RS"/>
        </w:rPr>
        <w:t xml:space="preserve"> је систем </w:t>
      </w:r>
      <w:r w:rsidRPr="009E3633">
        <w:rPr>
          <w:b/>
          <w:bCs/>
          <w:szCs w:val="24"/>
          <w:lang w:val="sr-Cyrl-RS"/>
        </w:rPr>
        <w:t>електронског пријављивања за вакцинацију</w:t>
      </w:r>
      <w:r>
        <w:rPr>
          <w:szCs w:val="24"/>
          <w:lang w:val="sr-Cyrl-RS"/>
        </w:rPr>
        <w:t xml:space="preserve"> на порталу е</w:t>
      </w:r>
      <w:r w:rsidRPr="0088630B">
        <w:rPr>
          <w:szCs w:val="24"/>
          <w:lang w:val="sr-Cyrl-RS"/>
        </w:rPr>
        <w:t>Управа</w:t>
      </w:r>
      <w:r>
        <w:rPr>
          <w:rStyle w:val="FootnoteReference"/>
          <w:szCs w:val="24"/>
          <w:lang w:val="sr-Cyrl-RS"/>
        </w:rPr>
        <w:footnoteReference w:id="132"/>
      </w:r>
      <w:r>
        <w:rPr>
          <w:szCs w:val="24"/>
          <w:lang w:val="sr-Cyrl-RS"/>
        </w:rPr>
        <w:t>, као</w:t>
      </w:r>
      <w:r w:rsidRPr="0088630B">
        <w:rPr>
          <w:szCs w:val="24"/>
          <w:lang w:val="sr-Cyrl-RS"/>
        </w:rPr>
        <w:t xml:space="preserve"> и </w:t>
      </w:r>
      <w:r w:rsidRPr="009E3633">
        <w:rPr>
          <w:b/>
          <w:bCs/>
          <w:szCs w:val="24"/>
          <w:lang w:val="sr-Cyrl-RS"/>
        </w:rPr>
        <w:t>опција пријављивања телефонским путем</w:t>
      </w:r>
      <w:r w:rsidRPr="0088630B">
        <w:rPr>
          <w:szCs w:val="24"/>
          <w:lang w:val="sr-Cyrl-RS"/>
        </w:rPr>
        <w:t>.</w:t>
      </w:r>
      <w:r>
        <w:rPr>
          <w:szCs w:val="24"/>
          <w:lang w:val="sr-Cyrl-RS"/>
        </w:rPr>
        <w:t xml:space="preserve"> </w:t>
      </w:r>
      <w:r w:rsidRPr="0088630B">
        <w:rPr>
          <w:szCs w:val="24"/>
          <w:lang w:val="sr-Cyrl-RS"/>
        </w:rPr>
        <w:t xml:space="preserve">Вакцинација </w:t>
      </w:r>
      <w:r>
        <w:rPr>
          <w:szCs w:val="24"/>
          <w:lang w:val="sr-Cyrl-RS"/>
        </w:rPr>
        <w:t>се врши</w:t>
      </w:r>
      <w:r w:rsidRPr="0088630B">
        <w:rPr>
          <w:szCs w:val="24"/>
          <w:lang w:val="sr-Cyrl-RS"/>
        </w:rPr>
        <w:t xml:space="preserve"> у </w:t>
      </w:r>
      <w:r w:rsidRPr="00286809">
        <w:rPr>
          <w:b/>
          <w:bCs/>
          <w:szCs w:val="24"/>
          <w:lang w:val="sr-Cyrl-RS"/>
        </w:rPr>
        <w:t>домовима здравља</w:t>
      </w:r>
      <w:r w:rsidRPr="0088630B">
        <w:rPr>
          <w:szCs w:val="24"/>
          <w:lang w:val="sr-Cyrl-RS"/>
        </w:rPr>
        <w:t xml:space="preserve"> и организованим пунктовима</w:t>
      </w:r>
      <w:r>
        <w:rPr>
          <w:szCs w:val="24"/>
          <w:lang w:val="sr-Cyrl-RS"/>
        </w:rPr>
        <w:t xml:space="preserve"> у</w:t>
      </w:r>
      <w:r w:rsidRPr="0088630B">
        <w:rPr>
          <w:szCs w:val="24"/>
          <w:lang w:val="sr-Cyrl-RS"/>
        </w:rPr>
        <w:t xml:space="preserve"> </w:t>
      </w:r>
      <w:r>
        <w:rPr>
          <w:szCs w:val="24"/>
          <w:lang w:val="sr-Cyrl-RS"/>
        </w:rPr>
        <w:t>које су биле укључене</w:t>
      </w:r>
      <w:r w:rsidRPr="0088630B">
        <w:rPr>
          <w:szCs w:val="24"/>
          <w:lang w:val="sr-Cyrl-RS"/>
        </w:rPr>
        <w:t xml:space="preserve"> </w:t>
      </w:r>
      <w:r w:rsidRPr="00286809">
        <w:rPr>
          <w:b/>
          <w:bCs/>
          <w:szCs w:val="24"/>
          <w:lang w:val="sr-Cyrl-RS"/>
        </w:rPr>
        <w:t>сајамске</w:t>
      </w:r>
      <w:r w:rsidRPr="0088630B">
        <w:rPr>
          <w:szCs w:val="24"/>
          <w:lang w:val="sr-Cyrl-RS"/>
        </w:rPr>
        <w:t xml:space="preserve"> и </w:t>
      </w:r>
      <w:r w:rsidRPr="00286809">
        <w:rPr>
          <w:b/>
          <w:bCs/>
          <w:szCs w:val="24"/>
          <w:lang w:val="sr-Cyrl-RS"/>
        </w:rPr>
        <w:t>спортске хале</w:t>
      </w:r>
      <w:r>
        <w:rPr>
          <w:szCs w:val="24"/>
          <w:lang w:val="sr-Cyrl-RS"/>
        </w:rPr>
        <w:t>, док је то било неопходно</w:t>
      </w:r>
      <w:r w:rsidRPr="0088630B">
        <w:rPr>
          <w:szCs w:val="24"/>
          <w:lang w:val="sr-Cyrl-RS"/>
        </w:rPr>
        <w:t xml:space="preserve">. Након </w:t>
      </w:r>
      <w:r w:rsidRPr="00286809">
        <w:rPr>
          <w:b/>
          <w:bCs/>
          <w:szCs w:val="24"/>
          <w:lang w:val="sr-Cyrl-RS"/>
        </w:rPr>
        <w:t>одличног одзива</w:t>
      </w:r>
      <w:r w:rsidRPr="0088630B">
        <w:rPr>
          <w:szCs w:val="24"/>
          <w:lang w:val="sr-Cyrl-RS"/>
        </w:rPr>
        <w:t xml:space="preserve"> становништва на почетку масовне вакцинације, интересовање, а самим тим и брзина вакцинације</w:t>
      </w:r>
      <w:r>
        <w:rPr>
          <w:szCs w:val="24"/>
          <w:lang w:val="sr-Cyrl-RS"/>
        </w:rPr>
        <w:t>,</w:t>
      </w:r>
      <w:r w:rsidRPr="0088630B">
        <w:rPr>
          <w:szCs w:val="24"/>
          <w:lang w:val="sr-Cyrl-RS"/>
        </w:rPr>
        <w:t xml:space="preserve"> је почела да опада</w:t>
      </w:r>
      <w:r>
        <w:rPr>
          <w:rStyle w:val="FootnoteReference"/>
          <w:szCs w:val="24"/>
          <w:lang w:val="sr-Cyrl-RS"/>
        </w:rPr>
        <w:footnoteReference w:id="133"/>
      </w:r>
      <w:r w:rsidRPr="0088630B">
        <w:rPr>
          <w:szCs w:val="24"/>
          <w:lang w:val="sr-Cyrl-RS"/>
        </w:rPr>
        <w:t>.</w:t>
      </w:r>
      <w:r w:rsidRPr="00B07C1B">
        <w:rPr>
          <w:szCs w:val="24"/>
          <w:lang w:val="sr-Cyrl-RS"/>
        </w:rPr>
        <w:t xml:space="preserve"> </w:t>
      </w:r>
      <w:r>
        <w:rPr>
          <w:szCs w:val="24"/>
          <w:lang w:val="sr-Cyrl-RS"/>
        </w:rPr>
        <w:t xml:space="preserve">С обзиром на повољнију епидемиолошку ситуацију, од средине јуна 2021. године долази до релаксације рестриктивних противепидемијских мера. Због претходно наведеног, као и појаве, новог заразнијег делта соја вируса у нашој земљи, региструје се </w:t>
      </w:r>
      <w:r w:rsidRPr="00286809">
        <w:rPr>
          <w:b/>
          <w:bCs/>
          <w:szCs w:val="24"/>
          <w:lang w:val="sr-Cyrl-RS"/>
        </w:rPr>
        <w:t>тренд пораста инциденце обољевања</w:t>
      </w:r>
      <w:r>
        <w:rPr>
          <w:szCs w:val="24"/>
          <w:lang w:val="sr-Cyrl-RS"/>
        </w:rPr>
        <w:t xml:space="preserve"> што кретање епидемије чини </w:t>
      </w:r>
      <w:r w:rsidRPr="00286809">
        <w:rPr>
          <w:b/>
          <w:bCs/>
          <w:szCs w:val="24"/>
          <w:lang w:val="sr-Cyrl-RS"/>
        </w:rPr>
        <w:t>неизвесним</w:t>
      </w:r>
      <w:r>
        <w:rPr>
          <w:szCs w:val="24"/>
          <w:lang w:val="sr-Cyrl-RS"/>
        </w:rPr>
        <w:t xml:space="preserve"> у блиској будућности.</w:t>
      </w:r>
    </w:p>
    <w:p w14:paraId="0B855247" w14:textId="77777777" w:rsidR="00DC7F92" w:rsidRPr="00BA64D6" w:rsidRDefault="00DC7F92" w:rsidP="00DC7F92">
      <w:pPr>
        <w:spacing w:after="60"/>
        <w:rPr>
          <w:szCs w:val="24"/>
          <w:lang w:val="sr-Cyrl-RS"/>
        </w:rPr>
      </w:pPr>
      <w:r w:rsidRPr="001C79DE">
        <w:rPr>
          <w:b/>
          <w:szCs w:val="24"/>
          <w:lang w:val="sr-Cyrl-RS"/>
        </w:rPr>
        <w:t>Производња руске вакцине</w:t>
      </w:r>
      <w:r w:rsidRPr="00BA64D6">
        <w:rPr>
          <w:szCs w:val="24"/>
          <w:lang w:val="sr-Cyrl-RS"/>
        </w:rPr>
        <w:t xml:space="preserve"> Спутњик V у Србији почела је у јулу 2021. године, у Институту за вирусологију, вакцине и серуме „Торлак“. Квалитет произведених вакцина потврђен је од стране руског института „Гамалеја“, где је и развијена ова вакцина. </w:t>
      </w:r>
      <w:r>
        <w:rPr>
          <w:szCs w:val="24"/>
          <w:lang w:val="sr-Cyrl-RS"/>
        </w:rPr>
        <w:t>П</w:t>
      </w:r>
      <w:r w:rsidRPr="00BA64D6">
        <w:rPr>
          <w:szCs w:val="24"/>
          <w:lang w:val="sr-Cyrl-RS"/>
        </w:rPr>
        <w:t>роизведено је 1,5 мил</w:t>
      </w:r>
      <w:r>
        <w:rPr>
          <w:szCs w:val="24"/>
          <w:lang w:val="sr-Cyrl-RS"/>
        </w:rPr>
        <w:t>иона</w:t>
      </w:r>
      <w:r w:rsidRPr="00BA64D6">
        <w:rPr>
          <w:szCs w:val="24"/>
          <w:lang w:val="sr-Cyrl-RS"/>
        </w:rPr>
        <w:t xml:space="preserve"> доза (од предвиђ</w:t>
      </w:r>
      <w:r>
        <w:rPr>
          <w:szCs w:val="24"/>
          <w:lang w:val="sr-Cyrl-RS"/>
        </w:rPr>
        <w:t>ених 4 милиона до краја године)</w:t>
      </w:r>
      <w:r w:rsidRPr="00BA64D6">
        <w:rPr>
          <w:szCs w:val="24"/>
          <w:lang w:val="sr-Cyrl-RS"/>
        </w:rPr>
        <w:t xml:space="preserve"> </w:t>
      </w:r>
      <w:r>
        <w:rPr>
          <w:szCs w:val="24"/>
          <w:lang w:val="sr-Cyrl-RS"/>
        </w:rPr>
        <w:t>д</w:t>
      </w:r>
      <w:r w:rsidRPr="00BA64D6">
        <w:rPr>
          <w:szCs w:val="24"/>
          <w:lang w:val="sr-Cyrl-RS"/>
        </w:rPr>
        <w:t>о почетка октобра 2021. године</w:t>
      </w:r>
      <w:r>
        <w:rPr>
          <w:szCs w:val="24"/>
          <w:lang w:val="sr-Cyrl-RS"/>
        </w:rPr>
        <w:t>,</w:t>
      </w:r>
      <w:r w:rsidRPr="00BA64D6">
        <w:rPr>
          <w:szCs w:val="24"/>
          <w:lang w:val="sr-Cyrl-RS"/>
        </w:rPr>
        <w:t xml:space="preserve"> при чему се вакцина производи с</w:t>
      </w:r>
      <w:r>
        <w:rPr>
          <w:szCs w:val="24"/>
          <w:lang w:val="sr-Cyrl-RS"/>
        </w:rPr>
        <w:t>пајањем две увезене компоненте.</w:t>
      </w:r>
    </w:p>
    <w:p w14:paraId="14B21249" w14:textId="77777777" w:rsidR="00DC7F92" w:rsidRDefault="00DC7F92" w:rsidP="00DC7F92">
      <w:pPr>
        <w:spacing w:after="60"/>
        <w:rPr>
          <w:szCs w:val="24"/>
          <w:lang w:val="sr-Cyrl-RS"/>
        </w:rPr>
      </w:pPr>
      <w:r>
        <w:rPr>
          <w:b/>
          <w:szCs w:val="24"/>
          <w:lang w:val="sr-Cyrl-RS"/>
        </w:rPr>
        <w:t>Планирана је и</w:t>
      </w:r>
      <w:r w:rsidRPr="001C79DE">
        <w:rPr>
          <w:b/>
          <w:szCs w:val="24"/>
          <w:lang w:val="sr-Cyrl-RS"/>
        </w:rPr>
        <w:t xml:space="preserve"> производњ</w:t>
      </w:r>
      <w:r>
        <w:rPr>
          <w:b/>
          <w:szCs w:val="24"/>
          <w:lang w:val="sr-Cyrl-RS"/>
        </w:rPr>
        <w:t>а</w:t>
      </w:r>
      <w:r w:rsidRPr="001C79DE">
        <w:rPr>
          <w:b/>
          <w:szCs w:val="24"/>
          <w:lang w:val="sr-Cyrl-RS"/>
        </w:rPr>
        <w:t xml:space="preserve"> кинеске вакцине</w:t>
      </w:r>
      <w:r w:rsidRPr="00BA64D6">
        <w:rPr>
          <w:szCs w:val="24"/>
          <w:lang w:val="sr-Cyrl-RS"/>
        </w:rPr>
        <w:t xml:space="preserve"> Синофарм</w:t>
      </w:r>
      <w:r w:rsidRPr="001C79DE">
        <w:rPr>
          <w:szCs w:val="24"/>
          <w:lang w:val="sr-Cyrl-RS"/>
        </w:rPr>
        <w:t xml:space="preserve">. </w:t>
      </w:r>
      <w:r w:rsidRPr="00BA64D6">
        <w:rPr>
          <w:szCs w:val="24"/>
          <w:lang w:val="sr-Cyrl-RS"/>
        </w:rPr>
        <w:t>Процес пуњења првобитно ће се одвијати у фабрици „Хемофарм“ у Вршцу, до завршетка градње и почетка рада посебне фабрике за ту сврху у Земуну, крајем марта 2022. године. Планом је предвиђено пуњење 30 мил</w:t>
      </w:r>
      <w:r>
        <w:rPr>
          <w:szCs w:val="24"/>
          <w:lang w:val="sr-Cyrl-RS"/>
        </w:rPr>
        <w:t>иона</w:t>
      </w:r>
      <w:r w:rsidRPr="00BA64D6">
        <w:rPr>
          <w:szCs w:val="24"/>
          <w:lang w:val="sr-Cyrl-RS"/>
        </w:rPr>
        <w:t xml:space="preserve"> вакцина годишње, а почетком 2023. године се очекује отварање погона за производњу активне супстанце за вакцину</w:t>
      </w:r>
    </w:p>
    <w:p w14:paraId="0E743F9B" w14:textId="77777777" w:rsidR="00DC7F92" w:rsidRDefault="00DC7F92" w:rsidP="00DC7F92">
      <w:pPr>
        <w:spacing w:after="60"/>
        <w:rPr>
          <w:szCs w:val="24"/>
          <w:lang w:val="sr-Cyrl-RS"/>
        </w:rPr>
      </w:pPr>
      <w:r w:rsidRPr="001C79DE">
        <w:rPr>
          <w:b/>
          <w:szCs w:val="24"/>
          <w:lang w:val="sr-Cyrl-RS"/>
        </w:rPr>
        <w:t>Недовољно интересовање грађана за имунизацију угрожава достизање колективног имунитета</w:t>
      </w:r>
      <w:r w:rsidRPr="001C79DE">
        <w:rPr>
          <w:szCs w:val="24"/>
          <w:lang w:val="sr-Cyrl-RS"/>
        </w:rPr>
        <w:t xml:space="preserve">. </w:t>
      </w:r>
      <w:r w:rsidRPr="001C79DE">
        <w:rPr>
          <w:b/>
          <w:bCs/>
          <w:szCs w:val="24"/>
          <w:lang w:val="sr-Cyrl-RS"/>
        </w:rPr>
        <w:t xml:space="preserve">Барем </w:t>
      </w:r>
      <w:r w:rsidRPr="00BA64D6">
        <w:rPr>
          <w:b/>
          <w:bCs/>
          <w:szCs w:val="24"/>
          <w:lang w:val="sr-Cyrl-RS"/>
        </w:rPr>
        <w:t>једну дозу</w:t>
      </w:r>
      <w:r w:rsidRPr="00BA64D6">
        <w:rPr>
          <w:szCs w:val="24"/>
          <w:lang w:val="sr-Cyrl-RS"/>
        </w:rPr>
        <w:t xml:space="preserve"> вакцине примило је </w:t>
      </w:r>
      <w:r>
        <w:rPr>
          <w:b/>
          <w:bCs/>
          <w:szCs w:val="24"/>
          <w:lang w:val="sr-Latn-RS"/>
        </w:rPr>
        <w:t>47,2</w:t>
      </w:r>
      <w:r w:rsidRPr="00BA64D6">
        <w:rPr>
          <w:b/>
          <w:bCs/>
          <w:szCs w:val="24"/>
          <w:lang w:val="sr-Cyrl-RS"/>
        </w:rPr>
        <w:t>%</w:t>
      </w:r>
      <w:r w:rsidRPr="00BA64D6">
        <w:rPr>
          <w:szCs w:val="24"/>
          <w:lang w:val="sr-Cyrl-RS"/>
        </w:rPr>
        <w:t xml:space="preserve"> целокупног становништва Србије, док је </w:t>
      </w:r>
      <w:r>
        <w:rPr>
          <w:b/>
          <w:bCs/>
          <w:szCs w:val="24"/>
        </w:rPr>
        <w:t>45</w:t>
      </w:r>
      <w:r w:rsidRPr="00BA64D6">
        <w:rPr>
          <w:b/>
          <w:bCs/>
          <w:szCs w:val="24"/>
          <w:lang w:val="sr-Cyrl-RS"/>
        </w:rPr>
        <w:t>%</w:t>
      </w:r>
      <w:r w:rsidRPr="00BA64D6">
        <w:rPr>
          <w:szCs w:val="24"/>
          <w:lang w:val="sr-Cyrl-RS"/>
        </w:rPr>
        <w:t xml:space="preserve"> целокупног становништва вакцинисано </w:t>
      </w:r>
      <w:r w:rsidRPr="00BA64D6">
        <w:rPr>
          <w:b/>
          <w:bCs/>
          <w:szCs w:val="24"/>
          <w:lang w:val="sr-Cyrl-RS"/>
        </w:rPr>
        <w:t>са обе дозе</w:t>
      </w:r>
      <w:r w:rsidRPr="00BA64D6">
        <w:rPr>
          <w:szCs w:val="24"/>
          <w:lang w:val="sr-Cyrl-RS"/>
        </w:rPr>
        <w:t xml:space="preserve"> вакцине</w:t>
      </w:r>
      <w:r w:rsidRPr="00BA64D6">
        <w:rPr>
          <w:rStyle w:val="FootnoteReference"/>
          <w:szCs w:val="24"/>
          <w:lang w:val="sr-Cyrl-RS"/>
        </w:rPr>
        <w:footnoteReference w:id="134"/>
      </w:r>
      <w:r w:rsidRPr="00BA64D6">
        <w:rPr>
          <w:szCs w:val="24"/>
          <w:lang w:val="sr-Cyrl-RS"/>
        </w:rPr>
        <w:t xml:space="preserve"> на дан </w:t>
      </w:r>
      <w:r>
        <w:rPr>
          <w:szCs w:val="24"/>
        </w:rPr>
        <w:t>22,11,</w:t>
      </w:r>
      <w:r w:rsidRPr="00BA64D6">
        <w:rPr>
          <w:szCs w:val="24"/>
          <w:lang w:val="sr-Cyrl-RS"/>
        </w:rPr>
        <w:t xml:space="preserve">2021. године (вакцинисано око </w:t>
      </w:r>
      <w:r>
        <w:rPr>
          <w:szCs w:val="24"/>
        </w:rPr>
        <w:t>3,1</w:t>
      </w:r>
      <w:r w:rsidRPr="00BA64D6">
        <w:rPr>
          <w:szCs w:val="24"/>
          <w:lang w:val="sr-Cyrl-RS"/>
        </w:rPr>
        <w:t xml:space="preserve"> мил</w:t>
      </w:r>
      <w:r>
        <w:rPr>
          <w:szCs w:val="24"/>
          <w:lang w:val="sr-Cyrl-RS"/>
        </w:rPr>
        <w:t>ион</w:t>
      </w:r>
      <w:r w:rsidRPr="00BA64D6">
        <w:rPr>
          <w:szCs w:val="24"/>
          <w:lang w:val="sr-Cyrl-RS"/>
        </w:rPr>
        <w:t xml:space="preserve"> </w:t>
      </w:r>
      <w:r>
        <w:rPr>
          <w:szCs w:val="24"/>
          <w:lang w:val="sr-Cyrl-RS"/>
        </w:rPr>
        <w:t>с</w:t>
      </w:r>
      <w:r w:rsidRPr="00BA64D6">
        <w:rPr>
          <w:szCs w:val="24"/>
          <w:lang w:val="sr-Cyrl-RS"/>
        </w:rPr>
        <w:t xml:space="preserve">тановника са обе дозе односно </w:t>
      </w:r>
      <w:r>
        <w:rPr>
          <w:szCs w:val="24"/>
        </w:rPr>
        <w:t>3,2</w:t>
      </w:r>
      <w:r w:rsidRPr="00BA64D6">
        <w:rPr>
          <w:szCs w:val="24"/>
          <w:lang w:val="sr-Cyrl-RS"/>
        </w:rPr>
        <w:t xml:space="preserve"> мил</w:t>
      </w:r>
      <w:r>
        <w:rPr>
          <w:szCs w:val="24"/>
          <w:lang w:val="sr-Cyrl-RS"/>
        </w:rPr>
        <w:t>иона</w:t>
      </w:r>
      <w:r w:rsidRPr="00BA64D6">
        <w:rPr>
          <w:szCs w:val="24"/>
          <w:lang w:val="sr-Cyrl-RS"/>
        </w:rPr>
        <w:t xml:space="preserve"> барем једном дозом). </w:t>
      </w:r>
      <w:r w:rsidRPr="00861033">
        <w:rPr>
          <w:b/>
          <w:szCs w:val="24"/>
          <w:lang w:val="sr-Cyrl-RS"/>
        </w:rPr>
        <w:t>Вакцинација трећом дозом вакцине</w:t>
      </w:r>
      <w:r w:rsidRPr="00877E10">
        <w:rPr>
          <w:szCs w:val="24"/>
          <w:lang w:val="sr-Cyrl-RS"/>
        </w:rPr>
        <w:t xml:space="preserve"> </w:t>
      </w:r>
      <w:r w:rsidRPr="00877E10">
        <w:rPr>
          <w:szCs w:val="24"/>
          <w:lang w:val="sr-Cyrl-RS"/>
        </w:rPr>
        <w:lastRenderedPageBreak/>
        <w:t>против корона</w:t>
      </w:r>
      <w:r>
        <w:rPr>
          <w:szCs w:val="24"/>
          <w:lang w:val="sr-Cyrl-RS"/>
        </w:rPr>
        <w:t xml:space="preserve"> </w:t>
      </w:r>
      <w:r w:rsidRPr="00877E10">
        <w:rPr>
          <w:szCs w:val="24"/>
          <w:lang w:val="sr-Cyrl-RS"/>
        </w:rPr>
        <w:t>вируса</w:t>
      </w:r>
      <w:r>
        <w:rPr>
          <w:szCs w:val="24"/>
          <w:lang w:val="sr-Cyrl-RS"/>
        </w:rPr>
        <w:t xml:space="preserve"> отпочела је у августу 2021. године, а примају је </w:t>
      </w:r>
      <w:r w:rsidRPr="00877E10">
        <w:rPr>
          <w:szCs w:val="24"/>
          <w:lang w:val="sr-Cyrl-RS"/>
        </w:rPr>
        <w:t>пацијенти којима је истекло шест месеци од ревакцинације и пацијенти у приоритетним групама</w:t>
      </w:r>
      <w:r>
        <w:rPr>
          <w:szCs w:val="24"/>
          <w:lang w:val="sr-Cyrl-RS"/>
        </w:rPr>
        <w:t>.</w:t>
      </w:r>
    </w:p>
    <w:p w14:paraId="1CB8E2EB" w14:textId="06AAF830" w:rsidR="00DC7F92" w:rsidRDefault="00DC7F92" w:rsidP="00DC7F92">
      <w:pPr>
        <w:spacing w:after="60"/>
        <w:rPr>
          <w:szCs w:val="24"/>
          <w:lang w:val="sr-Cyrl-RS"/>
        </w:rPr>
      </w:pPr>
      <w:r>
        <w:rPr>
          <w:b/>
          <w:szCs w:val="24"/>
          <w:lang w:val="sr-Cyrl-RS"/>
        </w:rPr>
        <w:t>Д</w:t>
      </w:r>
      <w:r w:rsidRPr="00BD08D9">
        <w:rPr>
          <w:b/>
          <w:szCs w:val="24"/>
          <w:lang w:val="sr-Cyrl-RS"/>
        </w:rPr>
        <w:t>игитални зелени сертификат</w:t>
      </w:r>
      <w:r w:rsidRPr="00BD08D9">
        <w:rPr>
          <w:szCs w:val="24"/>
          <w:lang w:val="sr-Cyrl-RS"/>
        </w:rPr>
        <w:t xml:space="preserve"> </w:t>
      </w:r>
      <w:r>
        <w:rPr>
          <w:szCs w:val="24"/>
          <w:lang w:val="sr-Cyrl-RS"/>
        </w:rPr>
        <w:t>доступан је г</w:t>
      </w:r>
      <w:r w:rsidRPr="00BD08D9">
        <w:rPr>
          <w:szCs w:val="24"/>
          <w:lang w:val="sr-Cyrl-RS"/>
        </w:rPr>
        <w:t>рађани</w:t>
      </w:r>
      <w:r>
        <w:rPr>
          <w:szCs w:val="24"/>
          <w:lang w:val="sr-Cyrl-RS"/>
        </w:rPr>
        <w:t>ма</w:t>
      </w:r>
      <w:r w:rsidRPr="00BD08D9">
        <w:rPr>
          <w:szCs w:val="24"/>
          <w:lang w:val="sr-Cyrl-RS"/>
        </w:rPr>
        <w:t xml:space="preserve"> Србије </w:t>
      </w:r>
      <w:r>
        <w:rPr>
          <w:szCs w:val="24"/>
          <w:lang w:val="sr-Cyrl-RS"/>
        </w:rPr>
        <w:t>на порталу еУправе</w:t>
      </w:r>
      <w:r>
        <w:rPr>
          <w:rStyle w:val="FootnoteReference"/>
          <w:szCs w:val="24"/>
          <w:lang w:val="sr-Cyrl-RS"/>
        </w:rPr>
        <w:footnoteReference w:id="135"/>
      </w:r>
      <w:r>
        <w:rPr>
          <w:szCs w:val="24"/>
          <w:lang w:val="sr-Cyrl-RS"/>
        </w:rPr>
        <w:t xml:space="preserve"> од маја 2021. године. С</w:t>
      </w:r>
      <w:r w:rsidRPr="00BD08D9">
        <w:rPr>
          <w:szCs w:val="24"/>
          <w:lang w:val="sr-Cyrl-RS"/>
        </w:rPr>
        <w:t xml:space="preserve">ертификат представља обједињену потврду којом се доказује да ли сте примили вакцину против </w:t>
      </w:r>
      <w:r>
        <w:rPr>
          <w:szCs w:val="24"/>
          <w:lang w:val="sr-Cyrl-RS"/>
        </w:rPr>
        <w:t>Ковид</w:t>
      </w:r>
      <w:r w:rsidRPr="00BD08D9">
        <w:rPr>
          <w:szCs w:val="24"/>
          <w:lang w:val="sr-Cyrl-RS"/>
        </w:rPr>
        <w:t xml:space="preserve">-19, да ли имате резултате тестирања на заразну болест </w:t>
      </w:r>
      <w:r w:rsidR="0063502F">
        <w:rPr>
          <w:szCs w:val="24"/>
          <w:lang w:val="sr-Cyrl-RS"/>
        </w:rPr>
        <w:t>Ковид-19</w:t>
      </w:r>
      <w:r w:rsidRPr="00BD08D9">
        <w:rPr>
          <w:szCs w:val="24"/>
          <w:lang w:val="sr-Cyrl-RS"/>
        </w:rPr>
        <w:t xml:space="preserve"> или сте се опоравили од болести </w:t>
      </w:r>
      <w:r>
        <w:rPr>
          <w:szCs w:val="24"/>
          <w:lang w:val="sr-Cyrl-RS"/>
        </w:rPr>
        <w:t xml:space="preserve">Ковид-19, </w:t>
      </w:r>
      <w:r w:rsidRPr="00861033">
        <w:rPr>
          <w:szCs w:val="24"/>
          <w:lang w:val="sr-Cyrl-RS"/>
        </w:rPr>
        <w:t>како би се олакшало безбедно слободно кретање</w:t>
      </w:r>
      <w:r>
        <w:rPr>
          <w:szCs w:val="24"/>
          <w:lang w:val="sr-Cyrl-RS"/>
        </w:rPr>
        <w:t xml:space="preserve"> ван граница земље. ЕУ Дигитални зелени сертификат,</w:t>
      </w:r>
      <w:r w:rsidRPr="00A3521E">
        <w:rPr>
          <w:szCs w:val="24"/>
          <w:lang w:val="sr-Cyrl-RS"/>
        </w:rPr>
        <w:t xml:space="preserve"> намењен грађанима приликом путовања у неку од земаља Европске уније, као и у земље изван ЕУ које користе стандард сертификата EU Digital </w:t>
      </w:r>
      <w:r w:rsidR="0063502F">
        <w:rPr>
          <w:szCs w:val="24"/>
          <w:lang w:val="sr-Cyrl-RS"/>
        </w:rPr>
        <w:t>Ковид</w:t>
      </w:r>
      <w:r w:rsidRPr="00A3521E">
        <w:rPr>
          <w:szCs w:val="24"/>
          <w:lang w:val="sr-Cyrl-RS"/>
        </w:rPr>
        <w:t xml:space="preserve"> Certificate</w:t>
      </w:r>
      <w:r>
        <w:rPr>
          <w:szCs w:val="24"/>
          <w:lang w:val="sr-Cyrl-RS"/>
        </w:rPr>
        <w:t>, доступан је од 19. новембра 2021.</w:t>
      </w:r>
    </w:p>
    <w:p w14:paraId="7BE62164" w14:textId="77777777"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469BF93B" w14:textId="77777777" w:rsidR="00DC7F92" w:rsidRPr="00000B5A" w:rsidRDefault="00DC7F92" w:rsidP="00DC7F92">
      <w:pPr>
        <w:widowControl w:val="0"/>
        <w:spacing w:before="120"/>
        <w:rPr>
          <w:rFonts w:cs="Times New Roman"/>
          <w:b/>
          <w:szCs w:val="24"/>
          <w:lang w:val="sr-Cyrl-RS" w:eastAsia="sr-Cyrl-CS" w:bidi="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21</w:t>
      </w:r>
      <w:r w:rsidRPr="00CF374E">
        <w:rPr>
          <w:rFonts w:cs="Times New Roman"/>
          <w:b/>
          <w:szCs w:val="24"/>
          <w:lang w:val="sr-Cyrl-RS"/>
        </w:rPr>
        <w:t>:</w:t>
      </w:r>
      <w:r>
        <w:rPr>
          <w:rFonts w:cs="Times New Roman"/>
          <w:b/>
          <w:szCs w:val="24"/>
          <w:lang w:val="sr-Cyrl-RS"/>
        </w:rPr>
        <w:t xml:space="preserve"> </w:t>
      </w:r>
      <w:r w:rsidRPr="00BC56B7">
        <w:rPr>
          <w:rFonts w:cs="Times New Roman"/>
          <w:szCs w:val="24"/>
          <w:lang w:val="sr-Cyrl-RS"/>
        </w:rPr>
        <w:t xml:space="preserve">УНАПРЕЂЕЊЕ ЕФИКАСНОСТИ ЗДРАВСТВЕНОГ СИСТЕМА КРОЗ ДИГИТАЛИЗАЦИЈУ </w:t>
      </w:r>
      <w:r>
        <w:rPr>
          <w:rFonts w:cs="Times New Roman"/>
          <w:szCs w:val="24"/>
          <w:lang w:val="sr-Cyrl-RS"/>
        </w:rPr>
        <w:t>ПРОЦЕСА</w:t>
      </w:r>
    </w:p>
    <w:p w14:paraId="68B528AB"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08E618F7" w14:textId="77777777" w:rsidR="00DC7F92" w:rsidRPr="00703648" w:rsidRDefault="00DC7F92" w:rsidP="00703648">
      <w:pPr>
        <w:spacing w:after="60"/>
        <w:rPr>
          <w:rFonts w:eastAsia="Times New Roman" w:cs="Times New Roman"/>
          <w:szCs w:val="24"/>
          <w:lang w:val="sr-Cyrl-RS"/>
        </w:rPr>
      </w:pPr>
      <w:r w:rsidRPr="00703648">
        <w:rPr>
          <w:rFonts w:eastAsia="Times New Roman" w:cs="Times New Roman"/>
          <w:szCs w:val="24"/>
          <w:lang w:val="sr-Cyrl-RS"/>
        </w:rPr>
        <w:t xml:space="preserve">Дигитализација доприноси ефикасности здравственог система, вишем квалитету дијагностике и лечења и омогућава ауторизовани приступ информацијама кључним за доношење клиничких одлука. Електронским медицинским досијеом успоставиће се механизам ауторизованог приступа медицинским подацима пацијента, којим ће пацијентима бити омогућен електронски приступ сопственим здравственим информацијама и активно учествовање у процесу дијагностике и лечења. Јединственим електронским здравственим картоном стандардизоваће се основни извод медицинских података из медицинског досијеа, како би се омогућила једноставнија размена података о стању пацијента унутар здравственог система, као и могућност прекограничне сарадње. </w:t>
      </w:r>
    </w:p>
    <w:p w14:paraId="7E588455" w14:textId="2741BF5A" w:rsidR="00DC7F92" w:rsidRPr="00A6164C" w:rsidRDefault="00DC7F92" w:rsidP="00703648">
      <w:pPr>
        <w:pStyle w:val="CommentText"/>
        <w:rPr>
          <w:rFonts w:eastAsia="Times New Roman" w:cs="Times New Roman"/>
          <w:szCs w:val="24"/>
          <w:lang w:val="sr-Cyrl-RS"/>
        </w:rPr>
      </w:pPr>
      <w:r w:rsidRPr="00703648">
        <w:rPr>
          <w:rFonts w:eastAsia="Times New Roman" w:cs="Times New Roman"/>
          <w:sz w:val="24"/>
          <w:szCs w:val="24"/>
          <w:lang w:val="sr-Cyrl-RS"/>
        </w:rPr>
        <w:t xml:space="preserve">Након увођења електронског упута, планирано је успостављање централног система за прикупљање података из свих лабораторијских система и њихова дистрибуција. Пројекат еБоловање је започет и очекује се пуна имплементација у </w:t>
      </w:r>
      <w:r w:rsidRPr="00703648">
        <w:rPr>
          <w:rFonts w:eastAsia="Times New Roman" w:cs="Times New Roman"/>
          <w:sz w:val="24"/>
          <w:szCs w:val="24"/>
        </w:rPr>
        <w:t>Q1</w:t>
      </w:r>
      <w:r w:rsidRPr="00703648">
        <w:rPr>
          <w:rFonts w:eastAsia="Times New Roman" w:cs="Times New Roman"/>
          <w:sz w:val="24"/>
          <w:szCs w:val="24"/>
          <w:lang w:val="sr-Cyrl-RS"/>
        </w:rPr>
        <w:t xml:space="preserve"> 2022. Такође, у плану је и проширење имплементације еРецепта, као и увођење система провере интеракције лекова и система подршке доношењу клиничких одлука. Поред наведеног, разматрају се могућности примене вештачке интелигенције над одређеним процесима искључиво у области радиологије где би се применом овакве технологије постигла боља искоришћеност ресурса јер би одређене дијагностике прво читање или маркирање одређених аномалија радила вештачка интелигенција.</w:t>
      </w:r>
      <w:r w:rsidR="00196B02" w:rsidRPr="00196B02">
        <w:rPr>
          <w:rFonts w:eastAsia="Times New Roman" w:cs="Times New Roman"/>
          <w:sz w:val="24"/>
          <w:szCs w:val="24"/>
          <w:lang w:val="sr-Cyrl-RS"/>
        </w:rPr>
        <w:t xml:space="preserve"> Спровођење ове реформе доприноси остварењу </w:t>
      </w:r>
      <w:r w:rsidR="00196B02" w:rsidRPr="00196B02">
        <w:rPr>
          <w:rFonts w:eastAsia="Times New Roman" w:cs="Times New Roman"/>
          <w:b/>
          <w:sz w:val="24"/>
          <w:szCs w:val="24"/>
          <w:lang w:val="sr-Cyrl-RS"/>
        </w:rPr>
        <w:t xml:space="preserve">ЦОР </w:t>
      </w:r>
      <w:r w:rsidR="00196B02" w:rsidRPr="00196B02">
        <w:rPr>
          <w:rFonts w:cs="Times New Roman"/>
          <w:b/>
          <w:sz w:val="24"/>
          <w:szCs w:val="24"/>
          <w:lang w:val="sr-Cyrl-RS"/>
        </w:rPr>
        <w:t xml:space="preserve">3 </w:t>
      </w:r>
      <w:r w:rsidR="00196B02" w:rsidRPr="00196B02">
        <w:rPr>
          <w:rFonts w:cs="Times New Roman"/>
          <w:sz w:val="24"/>
          <w:szCs w:val="24"/>
          <w:lang w:val="sr-Cyrl-RS"/>
        </w:rPr>
        <w:t xml:space="preserve">које се односи на добро здравље, тј. </w:t>
      </w:r>
      <w:r w:rsidR="00196B02" w:rsidRPr="00196B02">
        <w:rPr>
          <w:rFonts w:cs="Times New Roman"/>
          <w:b/>
          <w:sz w:val="24"/>
          <w:szCs w:val="24"/>
          <w:lang w:val="sr-Cyrl-RS"/>
        </w:rPr>
        <w:t>ЦОР 3.8</w:t>
      </w:r>
      <w:r w:rsidR="00196B02" w:rsidRPr="00196B02">
        <w:rPr>
          <w:rFonts w:cs="Times New Roman"/>
          <w:sz w:val="24"/>
          <w:szCs w:val="24"/>
          <w:lang w:val="sr-Cyrl-RS"/>
        </w:rPr>
        <w:t>. који детаљније дефинише у</w:t>
      </w:r>
      <w:r w:rsidR="00196B02" w:rsidRPr="00196B02">
        <w:rPr>
          <w:rFonts w:cs="Times New Roman"/>
          <w:sz w:val="24"/>
          <w:szCs w:val="24"/>
        </w:rPr>
        <w:t>ниверзалан обухват здравственом заштитом.</w:t>
      </w:r>
    </w:p>
    <w:p w14:paraId="24D9B175"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48472412"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E79A3A7" w14:textId="77777777"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2B8828D1" w14:textId="77777777" w:rsidR="00DC7F92" w:rsidRPr="00A6164C" w:rsidRDefault="00DC7F92" w:rsidP="002B64C7">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192AA07" w14:textId="77777777"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29188B1" w14:textId="77777777" w:rsidR="00DC7F92" w:rsidRPr="00204626" w:rsidRDefault="00DC7F92" w:rsidP="002B64C7">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4359FFA" w14:textId="77777777"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6462B412"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C3F8FE4" w14:textId="77777777" w:rsidR="00DC7F92" w:rsidRPr="00A6164C" w:rsidRDefault="00DC7F92" w:rsidP="002B64C7">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5D80175C" w14:textId="77777777" w:rsidR="00DC7F92" w:rsidRPr="00A6164C" w:rsidRDefault="00DC7F92" w:rsidP="002B64C7">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160D163E"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F1AF8A1"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8C1037F"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FAFCBCB"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62A0E7A"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67A2F18"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86D7E37"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B8FDD4B"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92973DE"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64EDB87"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A486F49"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7E2018F"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E22B19" w14:paraId="39C572F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9A310AC"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3FC3732C"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Повезивање здравствених установа у централни систем електронског здравственог картона - институти</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48262CE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B95BCE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3A7C2CED"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48D45FA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1665940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51ECCA00"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040E4CB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33A13BA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4B7B5515"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557BDC6C"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0BC3F441"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777E0CF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02E7101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6D96AE3"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3DE686E4"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Успостављање централног лабораторијског система - еЛабораторија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4FD1BF6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A8C5CF"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B9658D"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079936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318FE0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0D65F6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B17053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D2F6F5D"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FD0039A"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A26E2F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0DEFF06"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05EA2701"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103C012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560B5DF"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lastRenderedPageBreak/>
              <w:t>3</w:t>
            </w:r>
          </w:p>
        </w:tc>
        <w:tc>
          <w:tcPr>
            <w:tcW w:w="4120" w:type="dxa"/>
            <w:tcBorders>
              <w:top w:val="nil"/>
              <w:left w:val="single" w:sz="8" w:space="0" w:color="auto"/>
              <w:bottom w:val="single" w:sz="4" w:space="0" w:color="auto"/>
              <w:right w:val="nil"/>
            </w:tcBorders>
            <w:shd w:val="clear" w:color="auto" w:fill="auto"/>
          </w:tcPr>
          <w:p w14:paraId="1A2E2E72"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Имплементација система за проверу интеракције лекова и система подршке за доношење клиничких одлука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78B878E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802CCD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E796AC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302859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2CB2940"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6FA55B7"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CB722AC"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48BA0E7B"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4CA510A"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093A3A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AF93DC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06C35FB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415C8F7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904A01C"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717F50CC"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Проширење еРецепта за специјалисте</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3C4BA143"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766A9F"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5E52317"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627FEE36"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0E28B0C"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DFD27B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3EAA2C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7B74793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E5A747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F33CD0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714D7BC7"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4492734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2D56F64B"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16F8453C"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4" w:space="0" w:color="auto"/>
            </w:tcBorders>
            <w:shd w:val="clear" w:color="auto" w:fill="auto"/>
          </w:tcPr>
          <w:p w14:paraId="4D84DE72"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Успостављање централизованог система еДосије</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7D569879"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E244AB8"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538348"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0BE0468A"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FEC665"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A0DD541"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4FBAD9CE"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4E42A0B5"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6D1C16AB"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699E92EF"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0377BB90"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23632389"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r>
      <w:tr w:rsidR="00DC7F92" w:rsidRPr="00E22B19" w14:paraId="549B6625"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7C336592" w14:textId="77777777" w:rsidR="00DC7F92" w:rsidRPr="00E22B19" w:rsidRDefault="00DC7F92" w:rsidP="002B64C7">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4" w:space="0" w:color="auto"/>
            </w:tcBorders>
            <w:shd w:val="clear" w:color="auto" w:fill="auto"/>
          </w:tcPr>
          <w:p w14:paraId="5ACC996F" w14:textId="77777777" w:rsidR="00DC7F92" w:rsidRPr="00E22B19" w:rsidRDefault="00DC7F92" w:rsidP="002B64C7">
            <w:pPr>
              <w:spacing w:after="0"/>
              <w:rPr>
                <w:rFonts w:eastAsia="Times New Roman" w:cs="Times New Roman"/>
                <w:sz w:val="20"/>
                <w:szCs w:val="20"/>
                <w:lang w:val="sr-Cyrl-RS"/>
              </w:rPr>
            </w:pPr>
            <w:r>
              <w:rPr>
                <w:rFonts w:eastAsia="Times New Roman" w:cs="Times New Roman"/>
                <w:sz w:val="20"/>
                <w:szCs w:val="20"/>
                <w:lang w:val="sr-Cyrl-RS"/>
              </w:rPr>
              <w:t>Успостављање Платформе за еБоловање – здравствени део</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762719DA"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517BAED"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0A6B0452"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469178AF"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5CFA292"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199CA271"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29109601"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7C576CBE"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40F3A0B2"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D68A740"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12E5333F"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7DEBA810" w14:textId="77777777" w:rsidR="00DC7F92" w:rsidRPr="00E22B19" w:rsidRDefault="00DC7F92" w:rsidP="002B64C7">
            <w:pPr>
              <w:spacing w:after="0"/>
              <w:jc w:val="center"/>
              <w:rPr>
                <w:sz w:val="20"/>
                <w:szCs w:val="20"/>
              </w:rPr>
            </w:pPr>
          </w:p>
        </w:tc>
      </w:tr>
    </w:tbl>
    <w:p w14:paraId="7237333C"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837BD6" w14:paraId="17AB5366"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4AB5702B"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2D9D06B3"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14:paraId="7C16DC23"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14:paraId="14082620"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837BD6" w14:paraId="56CB624A" w14:textId="77777777" w:rsidTr="00DC7F92">
        <w:trPr>
          <w:trHeight w:val="284"/>
        </w:trPr>
        <w:tc>
          <w:tcPr>
            <w:tcW w:w="4106" w:type="dxa"/>
          </w:tcPr>
          <w:p w14:paraId="22AB2542" w14:textId="77777777" w:rsidR="00DC7F92" w:rsidRPr="00837BD6" w:rsidRDefault="00DC7F92" w:rsidP="006B76C3">
            <w:pPr>
              <w:pStyle w:val="Default"/>
              <w:spacing w:before="0"/>
              <w:ind w:left="113" w:right="113"/>
              <w:rPr>
                <w:rFonts w:ascii="Times New Roman" w:hAnsi="Times New Roman" w:cs="Times New Roman"/>
                <w:sz w:val="20"/>
                <w:szCs w:val="20"/>
                <w:lang w:val="sr-Cyrl-RS"/>
              </w:rPr>
            </w:pPr>
            <w:r w:rsidRPr="00837BD6">
              <w:rPr>
                <w:rFonts w:ascii="Times New Roman" w:hAnsi="Times New Roman" w:cs="Times New Roman"/>
                <w:sz w:val="20"/>
                <w:szCs w:val="20"/>
              </w:rPr>
              <w:t xml:space="preserve">Број установа које користе електронски здравствени картон </w:t>
            </w:r>
            <w:r>
              <w:rPr>
                <w:rFonts w:ascii="Times New Roman" w:hAnsi="Times New Roman" w:cs="Times New Roman"/>
                <w:sz w:val="20"/>
                <w:szCs w:val="20"/>
                <w:lang w:val="sr-Cyrl-RS"/>
              </w:rPr>
              <w:t>(кумулатив)</w:t>
            </w:r>
          </w:p>
        </w:tc>
        <w:tc>
          <w:tcPr>
            <w:tcW w:w="1842" w:type="dxa"/>
          </w:tcPr>
          <w:p w14:paraId="1AC1071B"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0 (2019)</w:t>
            </w:r>
          </w:p>
        </w:tc>
        <w:tc>
          <w:tcPr>
            <w:tcW w:w="1843" w:type="dxa"/>
          </w:tcPr>
          <w:p w14:paraId="7A3A5E23"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225 (2021)</w:t>
            </w:r>
          </w:p>
        </w:tc>
        <w:tc>
          <w:tcPr>
            <w:tcW w:w="1843" w:type="dxa"/>
          </w:tcPr>
          <w:p w14:paraId="2C3A61EC"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250 (2022)</w:t>
            </w:r>
          </w:p>
        </w:tc>
      </w:tr>
      <w:tr w:rsidR="00DC7F92" w:rsidRPr="00837BD6" w14:paraId="2EC50FED" w14:textId="77777777" w:rsidTr="00DC7F92">
        <w:trPr>
          <w:trHeight w:val="284"/>
        </w:trPr>
        <w:tc>
          <w:tcPr>
            <w:tcW w:w="4106" w:type="dxa"/>
          </w:tcPr>
          <w:p w14:paraId="53869CA1" w14:textId="77777777" w:rsidR="00DC7F92" w:rsidRPr="00837BD6" w:rsidRDefault="00DC7F92" w:rsidP="006B76C3">
            <w:pPr>
              <w:spacing w:before="0" w:after="0"/>
              <w:ind w:left="113" w:right="113"/>
              <w:rPr>
                <w:rFonts w:cs="Times New Roman"/>
                <w:lang w:val="sr-Cyrl-RS"/>
              </w:rPr>
            </w:pPr>
            <w:r w:rsidRPr="00837BD6">
              <w:rPr>
                <w:rFonts w:cs="Times New Roman"/>
                <w:color w:val="000000"/>
                <w:sz w:val="20"/>
              </w:rPr>
              <w:t>Број лабораторија укључених у систем еЛабораторија</w:t>
            </w:r>
            <w:r>
              <w:rPr>
                <w:rFonts w:cs="Times New Roman"/>
                <w:color w:val="000000"/>
                <w:sz w:val="20"/>
                <w:lang w:val="sr-Cyrl-RS"/>
              </w:rPr>
              <w:t xml:space="preserve"> (кумулатив)</w:t>
            </w:r>
          </w:p>
        </w:tc>
        <w:tc>
          <w:tcPr>
            <w:tcW w:w="1842" w:type="dxa"/>
          </w:tcPr>
          <w:p w14:paraId="6E33ADF8"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0 (2021)</w:t>
            </w:r>
          </w:p>
        </w:tc>
        <w:tc>
          <w:tcPr>
            <w:tcW w:w="1843" w:type="dxa"/>
          </w:tcPr>
          <w:p w14:paraId="4FA5E8FF"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50 (2022)</w:t>
            </w:r>
          </w:p>
        </w:tc>
        <w:tc>
          <w:tcPr>
            <w:tcW w:w="1843" w:type="dxa"/>
          </w:tcPr>
          <w:p w14:paraId="2AE859AD"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200 (2023)</w:t>
            </w:r>
          </w:p>
        </w:tc>
      </w:tr>
    </w:tbl>
    <w:p w14:paraId="5900B4EA"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0B29493B" w14:textId="77777777" w:rsidR="00DC7F92" w:rsidRPr="00A6164C" w:rsidRDefault="00DC7F92" w:rsidP="00DC7F92">
      <w:pPr>
        <w:spacing w:after="60"/>
        <w:rPr>
          <w:rFonts w:eastAsia="Times New Roman" w:cs="Times New Roman"/>
          <w:szCs w:val="24"/>
          <w:lang w:val="sr-Cyrl-RS"/>
        </w:rPr>
      </w:pPr>
      <w:r w:rsidRPr="007353A7">
        <w:rPr>
          <w:rFonts w:eastAsia="Times New Roman" w:cs="Times New Roman"/>
          <w:szCs w:val="24"/>
          <w:lang w:val="sr-Cyrl-RS"/>
        </w:rPr>
        <w:t>Реализација ове мере утиче на ефикасност здравственог система и квалитет здравствене заштите. Нема утицаја на конкурентност привреде, али доприноси значајним уштедама које могу бити усмерене на иновативна решења.</w:t>
      </w:r>
    </w:p>
    <w:p w14:paraId="49EB1634"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5ABFA474" w14:textId="77777777" w:rsidR="00DC7F92" w:rsidRPr="00A6164C" w:rsidRDefault="00DC7F92" w:rsidP="00DC7F92">
      <w:pPr>
        <w:widowControl w:val="0"/>
        <w:spacing w:after="60"/>
        <w:rPr>
          <w:rFonts w:eastAsia="Times New Roman" w:cs="Times New Roman"/>
          <w:szCs w:val="24"/>
          <w:lang w:val="sr-Cyrl-RS"/>
        </w:rPr>
      </w:pPr>
      <w:r w:rsidRPr="007353A7">
        <w:rPr>
          <w:rFonts w:eastAsia="Times New Roman" w:cs="Times New Roman"/>
          <w:szCs w:val="24"/>
          <w:lang w:val="sr-Cyrl-RS"/>
        </w:rPr>
        <w:t xml:space="preserve">За 2022. годину су предвиђена средства у буџету </w:t>
      </w:r>
      <w:r>
        <w:rPr>
          <w:rFonts w:eastAsia="Times New Roman" w:cs="Times New Roman"/>
          <w:szCs w:val="24"/>
          <w:lang w:val="sr-Cyrl-RS"/>
        </w:rPr>
        <w:t>РС</w:t>
      </w:r>
      <w:r w:rsidRPr="007353A7">
        <w:rPr>
          <w:rFonts w:eastAsia="Times New Roman" w:cs="Times New Roman"/>
          <w:szCs w:val="24"/>
          <w:lang w:val="sr-Cyrl-RS"/>
        </w:rPr>
        <w:t xml:space="preserve"> од </w:t>
      </w:r>
      <w:r w:rsidRPr="00000B5A">
        <w:rPr>
          <w:rFonts w:eastAsia="Times New Roman" w:cs="Times New Roman"/>
          <w:szCs w:val="24"/>
          <w:lang w:val="sr-Cyrl-RS"/>
        </w:rPr>
        <w:t xml:space="preserve">2.922.850 милиона евра </w:t>
      </w:r>
      <w:r w:rsidRPr="007353A7">
        <w:rPr>
          <w:rFonts w:eastAsia="Times New Roman" w:cs="Times New Roman"/>
          <w:szCs w:val="24"/>
          <w:lang w:val="sr-Cyrl-RS"/>
        </w:rPr>
        <w:t>за реализацију претходно поменутих активности и редовно одржавање постојећих система.</w:t>
      </w:r>
    </w:p>
    <w:p w14:paraId="0514CEA3"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0A47E430" w14:textId="77777777" w:rsidR="00DC7F92" w:rsidRPr="00A6164C" w:rsidRDefault="00DC7F92" w:rsidP="00DC7F92">
      <w:pPr>
        <w:spacing w:after="60"/>
        <w:rPr>
          <w:rFonts w:eastAsia="Times New Roman" w:cs="Times New Roman"/>
          <w:szCs w:val="24"/>
          <w:lang w:val="sr-Cyrl-RS"/>
        </w:rPr>
      </w:pPr>
      <w:r w:rsidRPr="007353A7">
        <w:rPr>
          <w:rFonts w:eastAsia="Times New Roman" w:cs="Times New Roman"/>
          <w:szCs w:val="24"/>
          <w:lang w:val="sr-Cyrl-RS"/>
        </w:rPr>
        <w:t>Имплементација планираних активности ће унапредити приступ здравственој заштити примарно коришћењем електронског здравственог картона и повећањем ефикасности, које ће бити видљиво кроз укидање листа чекања. Пацијенти ће бити информисанији у вези са својим здравственим подацима, као и о сервисима које им здравствени систем омогућава и пружа.</w:t>
      </w:r>
    </w:p>
    <w:p w14:paraId="0309B5EC"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2694BFDB" w14:textId="024D743F" w:rsidR="00DC7F92" w:rsidRDefault="00DC7F92" w:rsidP="00DC7F92">
      <w:pPr>
        <w:widowControl w:val="0"/>
        <w:spacing w:after="60"/>
        <w:rPr>
          <w:rFonts w:cs="Times New Roman"/>
          <w:szCs w:val="24"/>
          <w:lang w:val="sr-Cyrl-RS" w:eastAsia="sr-Cyrl-CS" w:bidi="sr-Cyrl-CS"/>
        </w:rPr>
      </w:pPr>
      <w:r w:rsidRPr="007353A7">
        <w:rPr>
          <w:rFonts w:cs="Times New Roman"/>
          <w:szCs w:val="24"/>
          <w:lang w:val="sr-Cyrl-RS" w:eastAsia="sr-Cyrl-CS" w:bidi="sr-Cyrl-CS"/>
        </w:rPr>
        <w:t xml:space="preserve">Структурна реформа </w:t>
      </w:r>
      <w:r>
        <w:rPr>
          <w:rFonts w:cs="Times New Roman"/>
          <w:szCs w:val="24"/>
          <w:lang w:val="sr-Cyrl-RS" w:eastAsia="sr-Cyrl-CS" w:bidi="sr-Cyrl-CS"/>
        </w:rPr>
        <w:t xml:space="preserve">има позитиван </w:t>
      </w:r>
      <w:r w:rsidRPr="007353A7">
        <w:rPr>
          <w:rFonts w:cs="Times New Roman"/>
          <w:szCs w:val="24"/>
          <w:lang w:val="sr-Cyrl-RS" w:eastAsia="sr-Cyrl-CS" w:bidi="sr-Cyrl-CS"/>
        </w:rPr>
        <w:t>утицај на животну средину</w:t>
      </w:r>
      <w:r>
        <w:rPr>
          <w:rFonts w:cs="Times New Roman"/>
          <w:szCs w:val="24"/>
          <w:lang w:val="sr-Cyrl-RS" w:eastAsia="sr-Cyrl-CS" w:bidi="sr-Cyrl-CS"/>
        </w:rPr>
        <w:t xml:space="preserve">, </w:t>
      </w:r>
      <w:r w:rsidRPr="00837BD6">
        <w:rPr>
          <w:rFonts w:cs="Times New Roman"/>
          <w:szCs w:val="24"/>
          <w:lang w:val="sr-Cyrl-RS" w:eastAsia="sr-Cyrl-CS" w:bidi="sr-Cyrl-CS"/>
        </w:rPr>
        <w:t>услед преласка са па</w:t>
      </w:r>
      <w:r>
        <w:rPr>
          <w:rFonts w:cs="Times New Roman"/>
          <w:szCs w:val="24"/>
          <w:lang w:val="sr-Cyrl-RS" w:eastAsia="sr-Cyrl-CS" w:bidi="sr-Cyrl-CS"/>
        </w:rPr>
        <w:t>пирног на електронско пословање</w:t>
      </w:r>
      <w:r w:rsidRPr="007353A7">
        <w:rPr>
          <w:rFonts w:cs="Times New Roman"/>
          <w:szCs w:val="24"/>
          <w:lang w:val="sr-Cyrl-RS" w:eastAsia="sr-Cyrl-CS" w:bidi="sr-Cyrl-CS"/>
        </w:rPr>
        <w:t>.</w:t>
      </w:r>
    </w:p>
    <w:p w14:paraId="70714D74" w14:textId="77777777" w:rsidR="006B76C3" w:rsidRPr="00C14DB4" w:rsidRDefault="006B76C3" w:rsidP="00DC7F92">
      <w:pPr>
        <w:widowControl w:val="0"/>
        <w:spacing w:after="60"/>
        <w:rPr>
          <w:rFonts w:cs="Times New Roman"/>
          <w:szCs w:val="24"/>
          <w:lang w:val="sr-Cyrl-RS" w:eastAsia="sr-Cyrl-CS" w:bidi="sr-Cyrl-CS"/>
        </w:rPr>
      </w:pPr>
    </w:p>
    <w:p w14:paraId="3390F2FA"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837BD6" w14:paraId="20DC5F2C"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5AC6371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013B3D47"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58AA85D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837BD6" w14:paraId="4378A6FC" w14:textId="77777777" w:rsidTr="00DC7F92">
        <w:trPr>
          <w:trHeight w:val="429"/>
        </w:trPr>
        <w:tc>
          <w:tcPr>
            <w:tcW w:w="3329" w:type="dxa"/>
          </w:tcPr>
          <w:p w14:paraId="413BDB6C" w14:textId="77777777" w:rsidR="00DC7F92" w:rsidRPr="00837BD6" w:rsidRDefault="00DC7F92" w:rsidP="006B76C3">
            <w:pPr>
              <w:pStyle w:val="Default"/>
              <w:spacing w:before="0"/>
              <w:ind w:left="113" w:right="113"/>
              <w:rPr>
                <w:rFonts w:ascii="Times New Roman" w:hAnsi="Times New Roman" w:cs="Times New Roman"/>
                <w:sz w:val="20"/>
                <w:szCs w:val="20"/>
              </w:rPr>
            </w:pPr>
            <w:r w:rsidRPr="00837BD6">
              <w:rPr>
                <w:rFonts w:ascii="Times New Roman" w:hAnsi="Times New Roman" w:cs="Times New Roman"/>
                <w:sz w:val="20"/>
                <w:szCs w:val="20"/>
              </w:rPr>
              <w:t xml:space="preserve">Потенцијална неусаглашеност многобројних актера у процесу реализације комплексних пројеката </w:t>
            </w:r>
          </w:p>
        </w:tc>
        <w:tc>
          <w:tcPr>
            <w:tcW w:w="2200" w:type="dxa"/>
          </w:tcPr>
          <w:p w14:paraId="305DA02B" w14:textId="77777777" w:rsidR="00DC7F92" w:rsidRPr="00837BD6" w:rsidRDefault="00DC7F92" w:rsidP="006B76C3">
            <w:pPr>
              <w:spacing w:before="0" w:after="0"/>
              <w:ind w:left="113" w:right="113"/>
              <w:rPr>
                <w:rFonts w:cs="Times New Roman"/>
                <w:sz w:val="20"/>
                <w:lang w:val="sr-Cyrl-RS"/>
              </w:rPr>
            </w:pPr>
            <w:r w:rsidRPr="00837BD6">
              <w:rPr>
                <w:rFonts w:cs="Times New Roman"/>
                <w:sz w:val="20"/>
                <w:lang w:val="sr-Cyrl-RS"/>
              </w:rPr>
              <w:t xml:space="preserve">Ниска </w:t>
            </w:r>
          </w:p>
        </w:tc>
        <w:tc>
          <w:tcPr>
            <w:tcW w:w="4165" w:type="dxa"/>
          </w:tcPr>
          <w:p w14:paraId="12D6549C" w14:textId="77777777" w:rsidR="00DC7F92" w:rsidRPr="00837BD6" w:rsidRDefault="00DC7F92" w:rsidP="006B76C3">
            <w:pPr>
              <w:pStyle w:val="Default"/>
              <w:spacing w:before="0"/>
              <w:ind w:left="113" w:right="113"/>
              <w:rPr>
                <w:rFonts w:ascii="Times New Roman" w:hAnsi="Times New Roman" w:cs="Times New Roman"/>
                <w:b/>
              </w:rPr>
            </w:pPr>
            <w:r w:rsidRPr="00837BD6">
              <w:rPr>
                <w:rFonts w:ascii="Times New Roman" w:hAnsi="Times New Roman" w:cs="Times New Roman"/>
                <w:sz w:val="20"/>
                <w:szCs w:val="20"/>
              </w:rPr>
              <w:t xml:space="preserve">Креирање ефикасних механизама стратешке и тактичке координације у реализацији пројеката </w:t>
            </w:r>
          </w:p>
        </w:tc>
      </w:tr>
      <w:tr w:rsidR="00DC7F92" w:rsidRPr="00837BD6" w14:paraId="032662C9" w14:textId="77777777" w:rsidTr="00DC7F92">
        <w:trPr>
          <w:trHeight w:val="536"/>
        </w:trPr>
        <w:tc>
          <w:tcPr>
            <w:tcW w:w="3329" w:type="dxa"/>
          </w:tcPr>
          <w:p w14:paraId="06AAE1E0" w14:textId="77777777" w:rsidR="00DC7F92" w:rsidRPr="00837BD6" w:rsidRDefault="00DC7F92" w:rsidP="006B76C3">
            <w:pPr>
              <w:spacing w:before="0" w:after="0"/>
              <w:ind w:left="113" w:right="113"/>
              <w:rPr>
                <w:rFonts w:cs="Times New Roman"/>
                <w:lang w:val="sr-Cyrl-RS"/>
              </w:rPr>
            </w:pPr>
            <w:r w:rsidRPr="00837BD6">
              <w:rPr>
                <w:rFonts w:cs="Times New Roman"/>
                <w:sz w:val="20"/>
                <w:lang w:val="sr-Cyrl-RS"/>
              </w:rPr>
              <w:t>Непредвидив ток пандемије корона вируса</w:t>
            </w:r>
          </w:p>
        </w:tc>
        <w:tc>
          <w:tcPr>
            <w:tcW w:w="2200" w:type="dxa"/>
          </w:tcPr>
          <w:p w14:paraId="64A7F70F" w14:textId="77777777" w:rsidR="00DC7F92" w:rsidRPr="00837BD6" w:rsidRDefault="00DC7F92" w:rsidP="006B76C3">
            <w:pPr>
              <w:spacing w:before="0" w:after="0"/>
              <w:ind w:left="113" w:right="113"/>
              <w:rPr>
                <w:rFonts w:cs="Times New Roman"/>
                <w:sz w:val="20"/>
                <w:lang w:val="sr-Cyrl-RS"/>
              </w:rPr>
            </w:pPr>
            <w:r w:rsidRPr="00837BD6">
              <w:rPr>
                <w:rFonts w:cs="Times New Roman"/>
                <w:sz w:val="20"/>
                <w:lang w:val="sr-Cyrl-RS"/>
              </w:rPr>
              <w:t xml:space="preserve">Ниска </w:t>
            </w:r>
          </w:p>
        </w:tc>
        <w:tc>
          <w:tcPr>
            <w:tcW w:w="4165" w:type="dxa"/>
          </w:tcPr>
          <w:p w14:paraId="1ABDEC7E" w14:textId="77777777" w:rsidR="00DC7F92" w:rsidRPr="00837BD6" w:rsidRDefault="00DC7F92" w:rsidP="006B76C3">
            <w:pPr>
              <w:spacing w:before="0" w:after="0"/>
              <w:ind w:left="113" w:right="113"/>
              <w:rPr>
                <w:rFonts w:cs="Times New Roman"/>
                <w:lang w:val="sr-Cyrl-RS"/>
              </w:rPr>
            </w:pPr>
            <w:r w:rsidRPr="00837BD6">
              <w:rPr>
                <w:rFonts w:cs="Times New Roman"/>
                <w:sz w:val="20"/>
                <w:lang w:val="sr-Cyrl-RS"/>
              </w:rPr>
              <w:t>Правовремено преусмеравање ресурса у реализацију појединачних активности</w:t>
            </w:r>
          </w:p>
        </w:tc>
      </w:tr>
    </w:tbl>
    <w:p w14:paraId="7658138B" w14:textId="28F3A5F6" w:rsidR="00063909" w:rsidRPr="00196F94" w:rsidRDefault="00063909" w:rsidP="00063909">
      <w:pPr>
        <w:spacing w:after="60"/>
        <w:rPr>
          <w:lang w:val="sr-Cyrl-CS" w:eastAsia="ja-JP"/>
        </w:rPr>
      </w:pPr>
    </w:p>
    <w:sectPr w:rsidR="00063909" w:rsidRPr="00196F94" w:rsidSect="00DA1C9D">
      <w:footerReference w:type="default" r:id="rId31"/>
      <w:type w:val="continuous"/>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B942E" w14:textId="77777777" w:rsidR="00B64436" w:rsidRDefault="00B64436" w:rsidP="00797049">
      <w:pPr>
        <w:spacing w:after="0"/>
      </w:pPr>
      <w:r>
        <w:separator/>
      </w:r>
    </w:p>
  </w:endnote>
  <w:endnote w:type="continuationSeparator" w:id="0">
    <w:p w14:paraId="275F3F85" w14:textId="77777777" w:rsidR="00B64436" w:rsidRDefault="00B64436"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377920"/>
      <w:docPartObj>
        <w:docPartGallery w:val="Page Numbers (Bottom of Page)"/>
        <w:docPartUnique/>
      </w:docPartObj>
    </w:sdtPr>
    <w:sdtEndPr>
      <w:rPr>
        <w:noProof/>
      </w:rPr>
    </w:sdtEndPr>
    <w:sdtContent>
      <w:p w14:paraId="226E7708" w14:textId="7ACF56E1" w:rsidR="00B27103" w:rsidRPr="00A0299F" w:rsidRDefault="00B27103" w:rsidP="00A0299F">
        <w:pPr>
          <w:pStyle w:val="Footer"/>
          <w:jc w:val="right"/>
        </w:pPr>
        <w:r w:rsidRPr="00A0299F">
          <w:rPr>
            <w:sz w:val="16"/>
            <w:szCs w:val="16"/>
          </w:rPr>
          <w:fldChar w:fldCharType="begin"/>
        </w:r>
        <w:r w:rsidRPr="00A0299F">
          <w:rPr>
            <w:sz w:val="16"/>
            <w:szCs w:val="16"/>
          </w:rPr>
          <w:instrText xml:space="preserve"> PAGE   \* MERGEFORMAT </w:instrText>
        </w:r>
        <w:r w:rsidRPr="00A0299F">
          <w:rPr>
            <w:sz w:val="16"/>
            <w:szCs w:val="16"/>
          </w:rPr>
          <w:fldChar w:fldCharType="separate"/>
        </w:r>
        <w:r w:rsidR="005028F9">
          <w:rPr>
            <w:noProof/>
            <w:sz w:val="16"/>
            <w:szCs w:val="16"/>
          </w:rPr>
          <w:t>161</w:t>
        </w:r>
        <w:r w:rsidRPr="00A0299F">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5FB8C" w14:textId="77777777" w:rsidR="00B64436" w:rsidRDefault="00B64436" w:rsidP="00797049">
      <w:pPr>
        <w:spacing w:after="0"/>
      </w:pPr>
      <w:r>
        <w:separator/>
      </w:r>
    </w:p>
  </w:footnote>
  <w:footnote w:type="continuationSeparator" w:id="0">
    <w:p w14:paraId="09116FF3" w14:textId="77777777" w:rsidR="00B64436" w:rsidRDefault="00B64436" w:rsidP="00797049">
      <w:pPr>
        <w:spacing w:after="0"/>
      </w:pPr>
      <w:r>
        <w:continuationSeparator/>
      </w:r>
    </w:p>
  </w:footnote>
  <w:footnote w:id="1">
    <w:p w14:paraId="5954112B" w14:textId="77777777" w:rsidR="00B27103" w:rsidRPr="001D0341" w:rsidRDefault="00B27103" w:rsidP="0084640C">
      <w:pPr>
        <w:pStyle w:val="FootnoteText"/>
        <w:spacing w:after="60"/>
        <w:ind w:firstLine="0"/>
        <w:rPr>
          <w:rFonts w:ascii="Times New Roman" w:hAnsi="Times New Roman" w:cs="Times New Roman"/>
          <w:color w:val="auto"/>
          <w:sz w:val="16"/>
          <w:szCs w:val="16"/>
        </w:rPr>
      </w:pPr>
      <w:r w:rsidRPr="001D0341">
        <w:rPr>
          <w:rStyle w:val="FootnoteReference"/>
          <w:rFonts w:ascii="Times New Roman" w:hAnsi="Times New Roman" w:cs="Times New Roman"/>
          <w:color w:val="auto"/>
          <w:sz w:val="16"/>
          <w:szCs w:val="16"/>
        </w:rPr>
        <w:footnoteRef/>
      </w:r>
      <w:r w:rsidRPr="001D0341">
        <w:rPr>
          <w:rFonts w:ascii="Times New Roman" w:hAnsi="Times New Roman" w:cs="Times New Roman"/>
          <w:color w:val="auto"/>
          <w:sz w:val="16"/>
          <w:szCs w:val="16"/>
        </w:rPr>
        <w:t xml:space="preserve"> </w:t>
      </w:r>
      <w:r w:rsidRPr="001D0341">
        <w:rPr>
          <w:rFonts w:ascii="Times New Roman" w:hAnsi="Times New Roman" w:cs="Times New Roman"/>
          <w:color w:val="auto"/>
          <w:sz w:val="16"/>
          <w:szCs w:val="16"/>
          <w:lang w:val="sr-Cyrl-RS"/>
        </w:rPr>
        <w:t>Са стањем у јуну</w:t>
      </w:r>
      <w:r w:rsidRPr="001D0341">
        <w:rPr>
          <w:rFonts w:ascii="Times New Roman" w:hAnsi="Times New Roman" w:cs="Times New Roman"/>
          <w:color w:val="auto"/>
          <w:sz w:val="16"/>
          <w:szCs w:val="16"/>
        </w:rPr>
        <w:t xml:space="preserve"> 20</w:t>
      </w:r>
      <w:r w:rsidRPr="001D0341">
        <w:rPr>
          <w:rFonts w:ascii="Times New Roman" w:hAnsi="Times New Roman" w:cs="Times New Roman"/>
          <w:color w:val="auto"/>
          <w:sz w:val="16"/>
          <w:szCs w:val="16"/>
          <w:lang w:val="sr-Cyrl-RS"/>
        </w:rPr>
        <w:t>21</w:t>
      </w:r>
      <w:r w:rsidRPr="001D0341">
        <w:rPr>
          <w:rFonts w:ascii="Times New Roman" w:hAnsi="Times New Roman" w:cs="Times New Roman"/>
          <w:color w:val="auto"/>
          <w:sz w:val="16"/>
          <w:szCs w:val="16"/>
        </w:rPr>
        <w:t>.</w:t>
      </w:r>
    </w:p>
  </w:footnote>
  <w:footnote w:id="2">
    <w:p w14:paraId="092377B7" w14:textId="77777777" w:rsidR="00B27103" w:rsidRPr="001D0341" w:rsidRDefault="00B27103" w:rsidP="001D0341">
      <w:pPr>
        <w:pStyle w:val="FootnoteText"/>
        <w:spacing w:after="0"/>
        <w:ind w:firstLine="0"/>
        <w:rPr>
          <w:rStyle w:val="FootnoteReference"/>
          <w:rFonts w:ascii="Times New Roman" w:hAnsi="Times New Roman"/>
          <w:color w:val="auto"/>
          <w:sz w:val="16"/>
          <w:szCs w:val="16"/>
          <w:vertAlign w:val="baseline"/>
          <w:lang w:val="sr-Cyrl-RS"/>
        </w:rPr>
      </w:pPr>
      <w:r w:rsidRPr="001D0341">
        <w:rPr>
          <w:rStyle w:val="FootnoteReference"/>
          <w:rFonts w:ascii="Times New Roman" w:hAnsi="Times New Roman"/>
          <w:color w:val="auto"/>
          <w:sz w:val="16"/>
          <w:szCs w:val="16"/>
        </w:rPr>
        <w:footnoteRef/>
      </w:r>
      <w:r w:rsidRPr="001D0341">
        <w:rPr>
          <w:rStyle w:val="FootnoteReference"/>
          <w:rFonts w:ascii="Times New Roman" w:hAnsi="Times New Roman"/>
          <w:color w:val="auto"/>
          <w:sz w:val="16"/>
          <w:szCs w:val="16"/>
        </w:rPr>
        <w:t xml:space="preserve"> </w:t>
      </w:r>
      <w:r w:rsidRPr="001D0341">
        <w:rPr>
          <w:rStyle w:val="FootnoteReference"/>
          <w:rFonts w:ascii="Times New Roman" w:hAnsi="Times New Roman"/>
          <w:color w:val="auto"/>
          <w:sz w:val="16"/>
          <w:szCs w:val="16"/>
          <w:vertAlign w:val="baseline"/>
        </w:rPr>
        <w:t xml:space="preserve">Примена другог мораторијума </w:t>
      </w:r>
      <w:r w:rsidRPr="001D0341">
        <w:rPr>
          <w:rFonts w:ascii="Times New Roman" w:hAnsi="Times New Roman"/>
          <w:color w:val="auto"/>
          <w:sz w:val="16"/>
          <w:szCs w:val="16"/>
          <w:lang w:val="sr-Cyrl-RS"/>
        </w:rPr>
        <w:t xml:space="preserve">на отплату кредита </w:t>
      </w:r>
      <w:r w:rsidRPr="001D0341">
        <w:rPr>
          <w:rStyle w:val="FootnoteReference"/>
          <w:rFonts w:ascii="Times New Roman" w:hAnsi="Times New Roman"/>
          <w:color w:val="auto"/>
          <w:sz w:val="16"/>
          <w:szCs w:val="16"/>
          <w:vertAlign w:val="baseline"/>
        </w:rPr>
        <w:t xml:space="preserve">окончана је </w:t>
      </w:r>
      <w:r w:rsidRPr="001D0341">
        <w:rPr>
          <w:rStyle w:val="FootnoteReference"/>
          <w:rFonts w:ascii="Times New Roman" w:hAnsi="Times New Roman"/>
          <w:color w:val="auto"/>
          <w:sz w:val="16"/>
          <w:szCs w:val="16"/>
          <w:vertAlign w:val="baseline"/>
          <w:lang w:val="sr-Cyrl-RS"/>
        </w:rPr>
        <w:t>к</w:t>
      </w:r>
      <w:r w:rsidRPr="001D0341">
        <w:rPr>
          <w:rFonts w:ascii="Times New Roman" w:hAnsi="Times New Roman"/>
          <w:color w:val="auto"/>
          <w:sz w:val="16"/>
          <w:szCs w:val="16"/>
          <w:lang w:val="sr-Cyrl-RS"/>
        </w:rPr>
        <w:t>рајем</w:t>
      </w:r>
      <w:r w:rsidRPr="001D0341">
        <w:rPr>
          <w:rStyle w:val="FootnoteReference"/>
          <w:rFonts w:ascii="Times New Roman" w:hAnsi="Times New Roman"/>
          <w:color w:val="auto"/>
          <w:sz w:val="16"/>
          <w:szCs w:val="16"/>
          <w:vertAlign w:val="baseline"/>
        </w:rPr>
        <w:t xml:space="preserve"> с</w:t>
      </w:r>
      <w:r>
        <w:rPr>
          <w:rStyle w:val="FootnoteReference"/>
          <w:rFonts w:ascii="Times New Roman" w:hAnsi="Times New Roman"/>
          <w:color w:val="auto"/>
          <w:sz w:val="16"/>
          <w:szCs w:val="16"/>
          <w:vertAlign w:val="baseline"/>
          <w:lang w:val="sr-Cyrl-RS"/>
        </w:rPr>
        <w:t>еп</w:t>
      </w:r>
      <w:r w:rsidRPr="001D0341">
        <w:rPr>
          <w:rStyle w:val="FootnoteReference"/>
          <w:rFonts w:ascii="Times New Roman" w:hAnsi="Times New Roman"/>
          <w:color w:val="auto"/>
          <w:sz w:val="16"/>
          <w:szCs w:val="16"/>
          <w:vertAlign w:val="baseline"/>
        </w:rPr>
        <w:t>т</w:t>
      </w:r>
      <w:r>
        <w:rPr>
          <w:rStyle w:val="FootnoteReference"/>
          <w:rFonts w:ascii="Times New Roman" w:hAnsi="Times New Roman"/>
          <w:color w:val="auto"/>
          <w:sz w:val="16"/>
          <w:szCs w:val="16"/>
          <w:vertAlign w:val="baseline"/>
          <w:lang w:val="sr-Cyrl-RS"/>
        </w:rPr>
        <w:t>ем</w:t>
      </w:r>
      <w:r w:rsidRPr="001D0341">
        <w:rPr>
          <w:rStyle w:val="FootnoteReference"/>
          <w:rFonts w:ascii="Times New Roman" w:hAnsi="Times New Roman"/>
          <w:color w:val="auto"/>
          <w:sz w:val="16"/>
          <w:szCs w:val="16"/>
          <w:vertAlign w:val="baseline"/>
        </w:rPr>
        <w:t>б</w:t>
      </w:r>
      <w:r>
        <w:rPr>
          <w:rStyle w:val="FootnoteReference"/>
          <w:rFonts w:ascii="Times New Roman" w:hAnsi="Times New Roman"/>
          <w:color w:val="auto"/>
          <w:sz w:val="16"/>
          <w:szCs w:val="16"/>
          <w:vertAlign w:val="baseline"/>
          <w:lang w:val="sr-Cyrl-RS"/>
        </w:rPr>
        <w:t>ра</w:t>
      </w:r>
      <w:r w:rsidRPr="001D0341">
        <w:rPr>
          <w:rFonts w:ascii="Times New Roman" w:hAnsi="Times New Roman"/>
          <w:color w:val="auto"/>
          <w:sz w:val="16"/>
          <w:szCs w:val="16"/>
          <w:lang w:val="sr-Cyrl-RS"/>
        </w:rPr>
        <w:t xml:space="preserve"> 2020.</w:t>
      </w:r>
    </w:p>
  </w:footnote>
  <w:footnote w:id="3">
    <w:p w14:paraId="30B459D5" w14:textId="77777777" w:rsidR="00B27103" w:rsidRPr="008A5639" w:rsidRDefault="00B27103" w:rsidP="001D0341">
      <w:pPr>
        <w:pStyle w:val="FootnoteText"/>
        <w:spacing w:after="60"/>
        <w:ind w:firstLine="0"/>
        <w:rPr>
          <w:rFonts w:ascii="Times New Roman" w:hAnsi="Times New Roman" w:cs="Times New Roman"/>
          <w:color w:val="auto"/>
          <w:sz w:val="16"/>
          <w:szCs w:val="16"/>
          <w:lang w:val="sr-Cyrl-RS"/>
        </w:rPr>
      </w:pPr>
      <w:r w:rsidRPr="008A5639">
        <w:rPr>
          <w:rStyle w:val="FootnoteReference"/>
          <w:rFonts w:ascii="Times New Roman" w:hAnsi="Times New Roman" w:cs="Times New Roman"/>
          <w:color w:val="auto"/>
          <w:sz w:val="16"/>
          <w:szCs w:val="16"/>
          <w:lang w:val="sr-Cyrl-RS"/>
        </w:rPr>
        <w:footnoteRef/>
      </w:r>
      <w:r w:rsidRPr="008A5639">
        <w:rPr>
          <w:rStyle w:val="FootnoteReference"/>
          <w:rFonts w:ascii="Times New Roman" w:hAnsi="Times New Roman" w:cs="Times New Roman"/>
          <w:color w:val="auto"/>
          <w:sz w:val="16"/>
          <w:szCs w:val="16"/>
          <w:lang w:val="sr-Cyrl-RS"/>
        </w:rPr>
        <w:t xml:space="preserve"> </w:t>
      </w:r>
      <w:r w:rsidRPr="008A5639">
        <w:rPr>
          <w:rFonts w:ascii="Times New Roman" w:hAnsi="Times New Roman" w:cs="Times New Roman"/>
          <w:color w:val="auto"/>
          <w:sz w:val="16"/>
          <w:szCs w:val="16"/>
          <w:lang w:val="sr-Cyrl-RS"/>
        </w:rPr>
        <w:t>Обрачунато на основу података из извештаја NPL 3 које банке достављају Народној банци Србије.</w:t>
      </w:r>
    </w:p>
  </w:footnote>
  <w:footnote w:id="4">
    <w:p w14:paraId="11E71C9E" w14:textId="77777777" w:rsidR="00B27103" w:rsidRPr="008A5639" w:rsidRDefault="00B27103" w:rsidP="001D0341">
      <w:pPr>
        <w:pStyle w:val="FootnoteText"/>
        <w:spacing w:after="0"/>
        <w:ind w:firstLine="0"/>
        <w:rPr>
          <w:rFonts w:ascii="Times New Roman" w:hAnsi="Times New Roman" w:cs="Times New Roman"/>
          <w:color w:val="auto"/>
          <w:sz w:val="16"/>
          <w:szCs w:val="16"/>
          <w:lang w:val="sr-Cyrl-RS"/>
        </w:rPr>
      </w:pPr>
      <w:r w:rsidRPr="008A5639">
        <w:rPr>
          <w:rFonts w:ascii="Times New Roman" w:hAnsi="Times New Roman" w:cs="Times New Roman"/>
          <w:color w:val="auto"/>
          <w:sz w:val="16"/>
          <w:szCs w:val="16"/>
          <w:vertAlign w:val="superscript"/>
          <w:lang w:val="sr-Cyrl-RS"/>
        </w:rPr>
        <w:footnoteRef/>
      </w:r>
      <w:r w:rsidRPr="008A5639">
        <w:rPr>
          <w:rFonts w:ascii="Times New Roman" w:hAnsi="Times New Roman" w:cs="Times New Roman"/>
          <w:color w:val="auto"/>
          <w:sz w:val="16"/>
          <w:szCs w:val="16"/>
          <w:vertAlign w:val="superscript"/>
          <w:lang w:val="sr-Cyrl-RS"/>
        </w:rPr>
        <w:t xml:space="preserve"> </w:t>
      </w:r>
      <w:r w:rsidRPr="008A5639">
        <w:rPr>
          <w:rFonts w:ascii="Times New Roman" w:hAnsi="Times New Roman" w:cs="Times New Roman"/>
          <w:color w:val="auto"/>
          <w:sz w:val="16"/>
          <w:szCs w:val="16"/>
          <w:lang w:val="sr-Cyrl-RS"/>
        </w:rPr>
        <w:t>У складу са Одлуком o утврђивању листе системски значајних банака у Републици Србији и стопа заштитног слоја капитала за те банке од 10. јуна 2021. године.</w:t>
      </w:r>
    </w:p>
  </w:footnote>
  <w:footnote w:id="5">
    <w:p w14:paraId="6A41A3E0" w14:textId="77777777" w:rsidR="00B27103" w:rsidRPr="008A5639" w:rsidRDefault="00B27103" w:rsidP="00527A51">
      <w:pPr>
        <w:pStyle w:val="FootnoteText"/>
        <w:spacing w:after="0"/>
        <w:ind w:firstLine="0"/>
        <w:rPr>
          <w:rFonts w:ascii="Times New Roman" w:hAnsi="Times New Roman"/>
          <w:i/>
          <w:iCs/>
          <w:color w:val="auto"/>
          <w:sz w:val="16"/>
          <w:szCs w:val="16"/>
          <w:lang w:val="sr-Cyrl-RS"/>
        </w:rPr>
      </w:pPr>
      <w:r w:rsidRPr="008A5639">
        <w:rPr>
          <w:rStyle w:val="FootnoteReference"/>
          <w:rFonts w:ascii="Times New Roman" w:hAnsi="Times New Roman"/>
          <w:color w:val="auto"/>
          <w:sz w:val="16"/>
          <w:szCs w:val="16"/>
          <w:lang w:val="sr-Cyrl-RS"/>
        </w:rPr>
        <w:footnoteRef/>
      </w:r>
      <w:r w:rsidRPr="008A5639">
        <w:rPr>
          <w:rFonts w:ascii="Times New Roman" w:hAnsi="Times New Roman"/>
          <w:color w:val="auto"/>
          <w:sz w:val="16"/>
          <w:szCs w:val="16"/>
          <w:lang w:val="sr-Cyrl-RS"/>
        </w:rPr>
        <w:t xml:space="preserve"> Примена мера је одложена усвајањем одлука у мају и новембру 2020. године, док је последње одлагање примене мера било 10. јуна 2021. године усвајањем следећих прописа: </w:t>
      </w:r>
      <w:r w:rsidRPr="008A5639">
        <w:rPr>
          <w:rFonts w:ascii="Times New Roman" w:hAnsi="Times New Roman"/>
          <w:i/>
          <w:iCs/>
          <w:color w:val="auto"/>
          <w:sz w:val="16"/>
          <w:szCs w:val="16"/>
          <w:lang w:val="sr-Cyrl-RS"/>
        </w:rPr>
        <w:t>Одлуке о изменама Одлуке о адекватности капитала банке, Одлуке о изменама Одлуке о роковима за усклађивање унутрашњих аката банке о управљању ризицима банке и за достављање извештаја банак</w:t>
      </w:r>
      <w:r w:rsidRPr="008A5639">
        <w:rPr>
          <w:rFonts w:ascii="Times New Roman" w:hAnsi="Times New Roman"/>
          <w:color w:val="auto"/>
          <w:sz w:val="16"/>
          <w:szCs w:val="16"/>
          <w:lang w:val="sr-Cyrl-RS"/>
        </w:rPr>
        <w:t xml:space="preserve">а и </w:t>
      </w:r>
      <w:r w:rsidRPr="008A5639">
        <w:rPr>
          <w:rFonts w:ascii="Times New Roman" w:hAnsi="Times New Roman"/>
          <w:i/>
          <w:iCs/>
          <w:color w:val="auto"/>
          <w:sz w:val="16"/>
          <w:szCs w:val="16"/>
          <w:lang w:val="sr-Cyrl-RS"/>
        </w:rPr>
        <w:t>Одлуке о измени Одлуке о извештавању банака.</w:t>
      </w:r>
    </w:p>
  </w:footnote>
  <w:footnote w:id="6">
    <w:p w14:paraId="7338B757" w14:textId="77777777" w:rsidR="00B27103" w:rsidRPr="001D0341" w:rsidRDefault="00B27103" w:rsidP="001D0341">
      <w:pPr>
        <w:pStyle w:val="FootnoteText"/>
        <w:spacing w:after="0"/>
        <w:ind w:firstLine="0"/>
        <w:rPr>
          <w:rFonts w:ascii="Times New Roman" w:hAnsi="Times New Roman"/>
          <w:color w:val="auto"/>
          <w:sz w:val="16"/>
          <w:szCs w:val="16"/>
        </w:rPr>
      </w:pPr>
      <w:r w:rsidRPr="001D0341">
        <w:rPr>
          <w:rFonts w:ascii="Times New Roman" w:hAnsi="Times New Roman"/>
          <w:color w:val="auto"/>
          <w:sz w:val="16"/>
          <w:szCs w:val="16"/>
          <w:vertAlign w:val="superscript"/>
        </w:rPr>
        <w:footnoteRef/>
      </w:r>
      <w:r w:rsidRPr="001D0341">
        <w:rPr>
          <w:rFonts w:ascii="Times New Roman" w:hAnsi="Times New Roman"/>
          <w:color w:val="auto"/>
          <w:sz w:val="16"/>
          <w:szCs w:val="16"/>
          <w:vertAlign w:val="superscript"/>
        </w:rPr>
        <w:t xml:space="preserve"> </w:t>
      </w:r>
      <w:r w:rsidRPr="001D0341">
        <w:rPr>
          <w:rFonts w:ascii="Times New Roman" w:hAnsi="Times New Roman"/>
          <w:color w:val="auto"/>
          <w:sz w:val="16"/>
          <w:szCs w:val="16"/>
          <w:lang w:val="sr-Cyrl-RS"/>
        </w:rPr>
        <w:t>У</w:t>
      </w:r>
      <w:r w:rsidRPr="001D0341">
        <w:rPr>
          <w:rFonts w:ascii="Times New Roman" w:hAnsi="Times New Roman"/>
          <w:color w:val="auto"/>
          <w:sz w:val="16"/>
          <w:szCs w:val="16"/>
        </w:rPr>
        <w:t xml:space="preserve"> односу 80:20.</w:t>
      </w:r>
    </w:p>
  </w:footnote>
  <w:footnote w:id="7">
    <w:p w14:paraId="61DE852E" w14:textId="77777777" w:rsidR="00B27103" w:rsidRPr="001D0341" w:rsidRDefault="00B27103" w:rsidP="00563037">
      <w:pPr>
        <w:spacing w:after="0"/>
        <w:rPr>
          <w:rFonts w:eastAsia="Times New Roman" w:cstheme="minorHAnsi"/>
          <w:bCs/>
          <w:sz w:val="16"/>
          <w:szCs w:val="16"/>
          <w:lang w:val="sr-Cyrl-CS"/>
        </w:rPr>
      </w:pPr>
      <w:r w:rsidRPr="001D0341">
        <w:rPr>
          <w:rStyle w:val="FootnoteReference"/>
          <w:rFonts w:cstheme="minorHAnsi"/>
          <w:sz w:val="16"/>
          <w:szCs w:val="16"/>
        </w:rPr>
        <w:footnoteRef/>
      </w:r>
      <w:r w:rsidRPr="001D0341">
        <w:rPr>
          <w:rFonts w:cstheme="minorHAnsi"/>
          <w:sz w:val="16"/>
          <w:szCs w:val="16"/>
        </w:rPr>
        <w:t xml:space="preserve"> </w:t>
      </w:r>
      <w:r w:rsidRPr="001D0341">
        <w:rPr>
          <w:rFonts w:eastAsia="Times New Roman" w:cstheme="minorHAnsi"/>
          <w:bCs/>
          <w:sz w:val="16"/>
          <w:szCs w:val="16"/>
          <w:lang w:val="sr-Cyrl-CS"/>
        </w:rPr>
        <w:t>Детаљнији опис коришћене методологије и резултата могу се пронаћи у Фискалној стратегији за 2013. годину са пројекцијама за 2014. и 2015. годину или путем линка</w:t>
      </w:r>
      <w:r w:rsidRPr="001D0341">
        <w:rPr>
          <w:rFonts w:cstheme="minorHAnsi"/>
          <w:sz w:val="16"/>
          <w:szCs w:val="16"/>
          <w:lang w:val="sr-Cyrl-CS"/>
        </w:rPr>
        <w:t xml:space="preserve"> </w:t>
      </w:r>
      <w:hyperlink r:id="rId1" w:history="1">
        <w:r w:rsidRPr="001D0341">
          <w:rPr>
            <w:rStyle w:val="Hyperlink"/>
            <w:rFonts w:eastAsia="Times New Roman" w:cstheme="minorHAnsi"/>
            <w:bCs/>
            <w:color w:val="auto"/>
            <w:sz w:val="16"/>
            <w:szCs w:val="16"/>
            <w:lang w:val="sr-Cyrl-CS"/>
          </w:rPr>
          <w:t>http://www.mfin.gov.rs/pages/article.php?id=8626</w:t>
        </w:r>
      </w:hyperlink>
    </w:p>
  </w:footnote>
  <w:footnote w:id="8">
    <w:p w14:paraId="30A82A3A"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Закон о јавном дугу „Службени гласник РС”, бр. 61/05, 107/09, 78/11, 68/15, 95/18, 91/19 и 149/20.</w:t>
      </w:r>
    </w:p>
  </w:footnote>
  <w:footnote w:id="9">
    <w:p w14:paraId="3E68B7DB"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Дефиниција дуга, према критеријумима из Мастрихта, између осталог, различито третира издате гаранције, у односу на дефиницију јавног дуга према домаћем законодавству. У јавни дуг (дуг опште државе) улазе, према критеријумима из Мастрихта, само активиране гаранције. Домаће законодавство, по овом питању има конзервативнији приступ, и све издате гаранције укључује у јавни дуг.</w:t>
      </w:r>
    </w:p>
  </w:footnote>
  <w:footnote w:id="10">
    <w:p w14:paraId="52621CA8"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Отплата по основу гаранција из републичког буџета је у расходе укључена по готовинској основи. Међународни стандарди, који се заснивају на обрачунској основи, у расходе укључују цео износ преосталог дуга, у моменту активирања гаранције, док се сама отплата дуга по том основу третира као финансијска трансакција.</w:t>
      </w:r>
    </w:p>
  </w:footnote>
  <w:footnote w:id="11">
    <w:p w14:paraId="18F2398B"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Део расхода по основу отплате по гаранцијама за ЈП „Путеви Србије” не укључује се у расходе буџета, јер је ово предузеће део сектора опште државе, те су расходи који су финансирани гарантованим кредитима били део расхода опште државе у моменту трошења средстава, док се сама отплата третира као финансијска трансакција („испод црте”).</w:t>
      </w:r>
    </w:p>
  </w:footnote>
  <w:footnote w:id="12">
    <w:p w14:paraId="1F963B2D"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Народна скупштина усвојила је измене и допуне Закона о НБС и Закона о банкама, као и нови Закон о АОД, Закон о осигурању депозита, Закон о стечају и ликвидацији банака и друштава за осигурање. Са изменом сета финансијских закона, наметнуло се и усвајање допуне Закона о министарствима.</w:t>
      </w:r>
    </w:p>
  </w:footnote>
  <w:footnote w:id="13">
    <w:p w14:paraId="6168F13B"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Заштићени депоненти су: физичка лица, предузетници, микро, мала и средња правна лица, након искључења предвиђеним Законом о осигурању депозита.</w:t>
      </w:r>
    </w:p>
  </w:footnote>
  <w:footnote w:id="14">
    <w:p w14:paraId="11FB5401" w14:textId="77777777" w:rsidR="00B27103" w:rsidRPr="001D0341" w:rsidRDefault="00B27103" w:rsidP="001D0341">
      <w:pPr>
        <w:pStyle w:val="FootnoteText"/>
        <w:spacing w:after="0"/>
        <w:ind w:firstLine="0"/>
        <w:rPr>
          <w:rFonts w:ascii="Times New Roman" w:hAnsi="Times New Roman" w:cs="Times New Roman"/>
          <w:color w:val="auto"/>
          <w:sz w:val="16"/>
          <w:szCs w:val="16"/>
          <w:lang w:val="sr-Cyrl-RS"/>
        </w:rPr>
      </w:pPr>
      <w:r w:rsidRPr="001D0341">
        <w:rPr>
          <w:rStyle w:val="FootnoteReference"/>
          <w:rFonts w:ascii="Times New Roman" w:hAnsi="Times New Roman" w:cs="Times New Roman"/>
          <w:color w:val="auto"/>
          <w:sz w:val="16"/>
          <w:szCs w:val="16"/>
          <w:lang w:val="sr-Cyrl-RS"/>
        </w:rPr>
        <w:footnoteRef/>
      </w:r>
      <w:r w:rsidRPr="001D0341">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Програм економских реформи</w:t>
      </w:r>
      <w:r w:rsidRPr="001D0341">
        <w:rPr>
          <w:rFonts w:ascii="Times New Roman" w:hAnsi="Times New Roman" w:cs="Times New Roman"/>
          <w:color w:val="auto"/>
          <w:sz w:val="16"/>
          <w:szCs w:val="16"/>
          <w:lang w:val="sr-Cyrl-RS"/>
        </w:rPr>
        <w:t xml:space="preserve"> за </w:t>
      </w:r>
      <w:r>
        <w:rPr>
          <w:rFonts w:ascii="Times New Roman" w:hAnsi="Times New Roman" w:cs="Times New Roman"/>
          <w:color w:val="auto"/>
          <w:sz w:val="16"/>
          <w:szCs w:val="16"/>
          <w:lang w:val="sr-Cyrl-RS"/>
        </w:rPr>
        <w:t xml:space="preserve">период од </w:t>
      </w:r>
      <w:r w:rsidRPr="001D0341">
        <w:rPr>
          <w:rFonts w:ascii="Times New Roman" w:hAnsi="Times New Roman" w:cs="Times New Roman"/>
          <w:color w:val="auto"/>
          <w:sz w:val="16"/>
          <w:szCs w:val="16"/>
          <w:lang w:val="sr-Cyrl-RS"/>
        </w:rPr>
        <w:t>20</w:t>
      </w:r>
      <w:r w:rsidRPr="001D0341">
        <w:rPr>
          <w:rFonts w:ascii="Times New Roman" w:hAnsi="Times New Roman" w:cs="Times New Roman"/>
          <w:color w:val="auto"/>
          <w:sz w:val="16"/>
          <w:szCs w:val="16"/>
        </w:rPr>
        <w:t>21</w:t>
      </w:r>
      <w:r w:rsidRPr="001D0341">
        <w:rPr>
          <w:rFonts w:ascii="Times New Roman" w:hAnsi="Times New Roman" w:cs="Times New Roman"/>
          <w:color w:val="auto"/>
          <w:sz w:val="16"/>
          <w:szCs w:val="16"/>
          <w:lang w:val="sr-Cyrl-RS"/>
        </w:rPr>
        <w:t>.</w:t>
      </w:r>
      <w:r>
        <w:rPr>
          <w:rFonts w:ascii="Times New Roman" w:hAnsi="Times New Roman" w:cs="Times New Roman"/>
          <w:color w:val="auto"/>
          <w:sz w:val="16"/>
          <w:szCs w:val="16"/>
          <w:lang w:val="sr-Cyrl-RS"/>
        </w:rPr>
        <w:t xml:space="preserve"> до 2023. године.</w:t>
      </w:r>
    </w:p>
  </w:footnote>
  <w:footnote w:id="15">
    <w:p w14:paraId="71D26F98" w14:textId="77777777" w:rsidR="00B27103" w:rsidRPr="001D0341" w:rsidRDefault="00B27103" w:rsidP="001D0341">
      <w:pPr>
        <w:pStyle w:val="FootnoteText"/>
        <w:spacing w:after="0"/>
        <w:ind w:firstLine="0"/>
        <w:rPr>
          <w:rFonts w:ascii="Times New Roman" w:hAnsi="Times New Roman" w:cs="Times New Roman"/>
          <w:color w:val="auto"/>
          <w:sz w:val="16"/>
          <w:lang w:val="sr-Cyrl-RS"/>
        </w:rPr>
      </w:pPr>
      <w:r w:rsidRPr="001D0341">
        <w:rPr>
          <w:rStyle w:val="FootnoteReference"/>
          <w:rFonts w:ascii="Times New Roman" w:hAnsi="Times New Roman" w:cs="Times New Roman"/>
          <w:color w:val="auto"/>
          <w:sz w:val="16"/>
        </w:rPr>
        <w:footnoteRef/>
      </w:r>
      <w:r w:rsidRPr="001D0341">
        <w:rPr>
          <w:rFonts w:ascii="Times New Roman" w:hAnsi="Times New Roman" w:cs="Times New Roman"/>
          <w:color w:val="auto"/>
          <w:sz w:val="16"/>
        </w:rPr>
        <w:t xml:space="preserve"> </w:t>
      </w:r>
      <w:r w:rsidRPr="001D0341">
        <w:rPr>
          <w:rFonts w:ascii="Times New Roman" w:hAnsi="Times New Roman" w:cs="Times New Roman"/>
          <w:color w:val="auto"/>
          <w:sz w:val="16"/>
          <w:lang w:val="sr-Cyrl-RS"/>
        </w:rPr>
        <w:t>Износи су прерачунати на основу ревизије података серије БДП.</w:t>
      </w:r>
    </w:p>
  </w:footnote>
  <w:footnote w:id="16">
    <w:p w14:paraId="3E5A7162" w14:textId="3CE72336"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Pr>
          <w:rFonts w:ascii="Times New Roman" w:hAnsi="Times New Roman" w:cs="Times New Roman"/>
          <w:sz w:val="16"/>
          <w:szCs w:val="16"/>
          <w:lang w:val="sr-Latn-RS"/>
        </w:rPr>
        <w:t xml:space="preserve"> </w:t>
      </w:r>
      <w:r w:rsidRPr="00072755">
        <w:rPr>
          <w:rStyle w:val="FootnoteReference"/>
          <w:rFonts w:ascii="Times New Roman" w:hAnsi="Times New Roman" w:cs="Times New Roman"/>
          <w:sz w:val="16"/>
          <w:szCs w:val="16"/>
          <w:lang w:val="sr-Cyrl-RS"/>
        </w:rPr>
        <w:t xml:space="preserve"> </w:t>
      </w:r>
      <w:r w:rsidRPr="00072755">
        <w:rPr>
          <w:rFonts w:ascii="Times New Roman" w:hAnsi="Times New Roman" w:cs="Times New Roman"/>
          <w:sz w:val="16"/>
          <w:szCs w:val="16"/>
          <w:lang w:val="sr-Cyrl-RS"/>
        </w:rPr>
        <w:t>Извор: РЗС</w:t>
      </w:r>
      <w:r>
        <w:rPr>
          <w:rFonts w:ascii="Times New Roman" w:hAnsi="Times New Roman" w:cs="Times New Roman"/>
          <w:sz w:val="16"/>
          <w:szCs w:val="16"/>
          <w:lang w:val="sr-Cyrl-RS"/>
        </w:rPr>
        <w:t>,</w:t>
      </w:r>
      <w:r w:rsidRPr="00072755">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 xml:space="preserve">Анкета о радној снази (АРС) </w:t>
      </w:r>
      <w:r w:rsidRPr="00072755">
        <w:rPr>
          <w:rFonts w:ascii="Times New Roman" w:hAnsi="Times New Roman" w:cs="Times New Roman"/>
          <w:sz w:val="16"/>
          <w:szCs w:val="16"/>
          <w:lang w:val="sr-Cyrl-RS"/>
        </w:rPr>
        <w:t xml:space="preserve">- од 2021. године спроводи се према новој методологији, на основу и у складу са Уредбом Европског парламената и Савета. Кључна новина у новој методологији АРС је да се из контингента запослених искључују она лица која производе пољопривредну робу и услуге намењене личној потрошњи, тј. без пласмана производа на тржиште. Нова дефиниција запослености довела је до смањења броја запослених, који су се прелили највећим делом у контигент </w:t>
      </w:r>
      <w:r w:rsidRPr="00EE1EEF">
        <w:rPr>
          <w:rFonts w:ascii="Times New Roman" w:hAnsi="Times New Roman" w:cs="Times New Roman"/>
          <w:sz w:val="16"/>
          <w:szCs w:val="16"/>
          <w:lang w:val="sr-Cyrl-RS"/>
        </w:rPr>
        <w:t>становништва ван радне снаге,</w:t>
      </w:r>
      <w:r w:rsidRPr="00072755">
        <w:rPr>
          <w:rFonts w:ascii="Times New Roman" w:hAnsi="Times New Roman" w:cs="Times New Roman"/>
          <w:sz w:val="16"/>
          <w:szCs w:val="16"/>
          <w:lang w:val="sr-Cyrl-RS"/>
        </w:rPr>
        <w:t xml:space="preserve"> а мањим делом у контигент незапослених (поређење броја запослених по новој и старој методологији, </w:t>
      </w:r>
      <w:r>
        <w:rPr>
          <w:rFonts w:ascii="Times New Roman" w:hAnsi="Times New Roman" w:cs="Times New Roman"/>
          <w:sz w:val="16"/>
          <w:szCs w:val="16"/>
        </w:rPr>
        <w:t>Q4</w:t>
      </w:r>
      <w:r w:rsidRPr="00072755">
        <w:rPr>
          <w:rFonts w:ascii="Times New Roman" w:hAnsi="Times New Roman" w:cs="Times New Roman"/>
          <w:sz w:val="16"/>
          <w:szCs w:val="16"/>
          <w:lang w:val="sr-Cyrl-RS"/>
        </w:rPr>
        <w:t xml:space="preserve"> 2020. године – редовно и пилот-истраживање).</w:t>
      </w:r>
      <w:r>
        <w:rPr>
          <w:rFonts w:ascii="Times New Roman" w:hAnsi="Times New Roman" w:cs="Times New Roman"/>
          <w:sz w:val="16"/>
          <w:szCs w:val="16"/>
          <w:lang w:val="sr-Cyrl-RS"/>
        </w:rPr>
        <w:t xml:space="preserve"> </w:t>
      </w:r>
      <w:hyperlink r:id="rId2" w:history="1">
        <w:r w:rsidRPr="00B74B95">
          <w:rPr>
            <w:rStyle w:val="Hyperlink1"/>
            <w:rFonts w:ascii="Times New Roman" w:hAnsi="Times New Roman" w:cs="Times New Roman"/>
            <w:sz w:val="16"/>
            <w:szCs w:val="16"/>
            <w:lang w:val="sr-Cyrl-RS"/>
          </w:rPr>
          <w:t>https://publikacije.stat.gov.rs/G2021/Pdf/G202122002.pdf</w:t>
        </w:r>
      </w:hyperlink>
      <w:r>
        <w:rPr>
          <w:rFonts w:ascii="Times New Roman" w:hAnsi="Times New Roman" w:cs="Times New Roman"/>
          <w:sz w:val="16"/>
          <w:szCs w:val="16"/>
          <w:lang w:val="sr-Cyrl-RS"/>
        </w:rPr>
        <w:t xml:space="preserve"> </w:t>
      </w:r>
    </w:p>
  </w:footnote>
  <w:footnote w:id="17">
    <w:p w14:paraId="2EBC8848"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 xml:space="preserve">Због промене методологије, подаци из АРС </w:t>
      </w:r>
      <w:r>
        <w:rPr>
          <w:rFonts w:ascii="Times New Roman" w:hAnsi="Times New Roman" w:cs="Times New Roman"/>
          <w:sz w:val="16"/>
          <w:szCs w:val="16"/>
        </w:rPr>
        <w:t>Q1</w:t>
      </w:r>
      <w:r w:rsidRPr="00072755">
        <w:rPr>
          <w:rFonts w:ascii="Times New Roman" w:hAnsi="Times New Roman" w:cs="Times New Roman"/>
          <w:sz w:val="16"/>
          <w:szCs w:val="16"/>
          <w:lang w:val="sr-Cyrl-RS"/>
        </w:rPr>
        <w:t xml:space="preserve"> 2021. нису упоредиви са подацима пре 2021. године. Како би се обезбедила упоредивост основних показатеља за период пре 2021. </w:t>
      </w:r>
      <w:r>
        <w:rPr>
          <w:rFonts w:ascii="Times New Roman" w:hAnsi="Times New Roman" w:cs="Times New Roman"/>
          <w:sz w:val="16"/>
          <w:szCs w:val="16"/>
          <w:lang w:val="sr-Cyrl-RS"/>
        </w:rPr>
        <w:t xml:space="preserve">године </w:t>
      </w:r>
      <w:r w:rsidRPr="00072755">
        <w:rPr>
          <w:rFonts w:ascii="Times New Roman" w:hAnsi="Times New Roman" w:cs="Times New Roman"/>
          <w:sz w:val="16"/>
          <w:szCs w:val="16"/>
          <w:lang w:val="sr-Cyrl-RS"/>
        </w:rPr>
        <w:t>РЗС је извршио ревизију најважнијих индикатора. С обзиром на то да ревизија података уназад обухвата само основне индикаторе и да је скуп прикупљених података из пилот истраживања ограниченог обима, изостаје могућност дубље и прецизније структурне анализе промена на тржишту рада.</w:t>
      </w:r>
    </w:p>
  </w:footnote>
  <w:footnote w:id="18">
    <w:p w14:paraId="11C4F72B" w14:textId="77777777" w:rsidR="00B27103" w:rsidRPr="00C240AB" w:rsidRDefault="00B27103" w:rsidP="00DC7F92">
      <w:pPr>
        <w:pStyle w:val="f1"/>
        <w:rPr>
          <w:sz w:val="18"/>
          <w:szCs w:val="18"/>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Извор: </w:t>
      </w:r>
      <w:r w:rsidRPr="00072755">
        <w:rPr>
          <w:rFonts w:ascii="Times New Roman" w:hAnsi="Times New Roman" w:cs="Times New Roman"/>
          <w:sz w:val="16"/>
          <w:szCs w:val="16"/>
          <w:lang w:val="sr-Cyrl-RS"/>
        </w:rPr>
        <w:t xml:space="preserve">„Транзиција на тржиште рада младих жена и мушкараца у Србијиˮ (2016) </w:t>
      </w:r>
      <w:hyperlink r:id="rId3" w:history="1">
        <w:r w:rsidRPr="00072755">
          <w:rPr>
            <w:rStyle w:val="Hyperlink1"/>
            <w:rFonts w:ascii="Times New Roman" w:hAnsi="Times New Roman" w:cs="Times New Roman"/>
            <w:sz w:val="16"/>
            <w:szCs w:val="16"/>
          </w:rPr>
          <w:t>https://www.ilo.org/employment/areas/youth-employment/work-for-youth/publications/national-reports/WCMS_488799/lang--en/index.htm</w:t>
        </w:r>
      </w:hyperlink>
    </w:p>
  </w:footnote>
  <w:footnote w:id="19">
    <w:p w14:paraId="4C4AEB43" w14:textId="77777777" w:rsidR="00B27103" w:rsidRPr="00E64782" w:rsidRDefault="00B27103"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NEET</w:t>
      </w:r>
      <w:r w:rsidRPr="00072755">
        <w:rPr>
          <w:rFonts w:ascii="Times New Roman" w:hAnsi="Times New Roman" w:cs="Times New Roman"/>
          <w:spacing w:val="-4"/>
          <w:sz w:val="16"/>
          <w:szCs w:val="16"/>
        </w:rPr>
        <w:t xml:space="preserve"> </w:t>
      </w:r>
      <w:r w:rsidRPr="00072755">
        <w:rPr>
          <w:rFonts w:ascii="Times New Roman" w:hAnsi="Times New Roman" w:cs="Times New Roman"/>
          <w:sz w:val="16"/>
          <w:szCs w:val="16"/>
        </w:rPr>
        <w:t>-</w:t>
      </w:r>
      <w:r w:rsidRPr="00072755">
        <w:rPr>
          <w:rFonts w:ascii="Times New Roman" w:hAnsi="Times New Roman" w:cs="Times New Roman"/>
          <w:spacing w:val="-2"/>
          <w:sz w:val="16"/>
          <w:szCs w:val="16"/>
        </w:rPr>
        <w:t xml:space="preserve"> </w:t>
      </w:r>
      <w:r w:rsidRPr="00072755">
        <w:rPr>
          <w:rFonts w:ascii="Times New Roman" w:hAnsi="Times New Roman" w:cs="Times New Roman"/>
          <w:sz w:val="16"/>
          <w:szCs w:val="16"/>
        </w:rPr>
        <w:t>Youth</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not</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in</w:t>
      </w:r>
      <w:r w:rsidRPr="00072755">
        <w:rPr>
          <w:rFonts w:ascii="Times New Roman" w:hAnsi="Times New Roman" w:cs="Times New Roman"/>
          <w:spacing w:val="-4"/>
          <w:sz w:val="16"/>
          <w:szCs w:val="16"/>
        </w:rPr>
        <w:t xml:space="preserve"> </w:t>
      </w:r>
      <w:r w:rsidRPr="00072755">
        <w:rPr>
          <w:rFonts w:ascii="Times New Roman" w:hAnsi="Times New Roman" w:cs="Times New Roman"/>
          <w:sz w:val="16"/>
          <w:szCs w:val="16"/>
        </w:rPr>
        <w:t>employment,</w:t>
      </w:r>
      <w:r w:rsidRPr="00072755">
        <w:rPr>
          <w:rFonts w:ascii="Times New Roman" w:hAnsi="Times New Roman" w:cs="Times New Roman"/>
          <w:spacing w:val="-1"/>
          <w:sz w:val="16"/>
          <w:szCs w:val="16"/>
        </w:rPr>
        <w:t xml:space="preserve"> </w:t>
      </w:r>
      <w:r w:rsidRPr="00072755">
        <w:rPr>
          <w:rFonts w:ascii="Times New Roman" w:hAnsi="Times New Roman" w:cs="Times New Roman"/>
          <w:sz w:val="16"/>
          <w:szCs w:val="16"/>
        </w:rPr>
        <w:t>education</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or</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training</w:t>
      </w:r>
      <w:r>
        <w:rPr>
          <w:rFonts w:ascii="Times New Roman" w:hAnsi="Times New Roman" w:cs="Times New Roman"/>
          <w:sz w:val="16"/>
          <w:szCs w:val="16"/>
          <w:lang w:val="sr-Cyrl-RS"/>
        </w:rPr>
        <w:t xml:space="preserve"> (</w:t>
      </w:r>
      <w:r w:rsidRPr="00E64782">
        <w:rPr>
          <w:rFonts w:ascii="Times New Roman" w:hAnsi="Times New Roman" w:cs="Times New Roman"/>
          <w:sz w:val="16"/>
          <w:szCs w:val="16"/>
          <w:lang w:val="sr-Cyrl-RS"/>
        </w:rPr>
        <w:t>млади који нису запослени, нису у процесу образовања, нити су на обуци</w:t>
      </w:r>
      <w:r>
        <w:rPr>
          <w:rFonts w:ascii="Times New Roman" w:hAnsi="Times New Roman" w:cs="Times New Roman"/>
          <w:sz w:val="16"/>
          <w:szCs w:val="16"/>
          <w:lang w:val="sr-Cyrl-RS"/>
        </w:rPr>
        <w:t>)</w:t>
      </w:r>
    </w:p>
  </w:footnote>
  <w:footnote w:id="20">
    <w:p w14:paraId="71303D7B"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Програм Гаранција за младе који се спроводи у државама чланицама ЕУ, пример је интервенције у оквиру које се младима који су неактивни и незапослени приступа кроз сарадњу различитих сектора и социјалних партнера, укључујући и организације цивилног друштва, а у циљу дугорочно одрживе интеграције на тржиште рада.</w:t>
      </w:r>
    </w:p>
  </w:footnote>
  <w:footnote w:id="21">
    <w:p w14:paraId="62B39736" w14:textId="77777777" w:rsidR="00B27103" w:rsidRPr="00FF4186" w:rsidRDefault="00B27103" w:rsidP="00DC7F92">
      <w:pPr>
        <w:pStyle w:val="f1"/>
        <w:rPr>
          <w:rFonts w:ascii="Times New Roman" w:hAnsi="Times New Roman" w:cs="Times New Roman"/>
          <w:sz w:val="16"/>
          <w:szCs w:val="16"/>
          <w:lang w:val="sr-Cyrl-RS"/>
        </w:rPr>
      </w:pPr>
      <w:r w:rsidRPr="00FF4186">
        <w:rPr>
          <w:rStyle w:val="FootnoteReference"/>
          <w:rFonts w:ascii="Times New Roman" w:hAnsi="Times New Roman" w:cs="Times New Roman"/>
          <w:sz w:val="16"/>
          <w:szCs w:val="16"/>
        </w:rPr>
        <w:footnoteRef/>
      </w:r>
      <w:r w:rsidRPr="00FF4186">
        <w:rPr>
          <w:rFonts w:ascii="Times New Roman" w:hAnsi="Times New Roman" w:cs="Times New Roman"/>
          <w:sz w:val="16"/>
          <w:szCs w:val="16"/>
        </w:rPr>
        <w:t xml:space="preserve"> </w:t>
      </w:r>
      <w:r w:rsidRPr="00FF4186">
        <w:rPr>
          <w:rFonts w:ascii="Times New Roman" w:hAnsi="Times New Roman" w:cs="Times New Roman"/>
          <w:sz w:val="16"/>
          <w:szCs w:val="16"/>
          <w:lang w:val="sr-Cyrl-RS"/>
        </w:rPr>
        <w:t>Декларација је потврђена за Другом министарском састанку ЕУ – Западни Балкан, који је одржан 8. јула 2021. године у Словенији</w:t>
      </w:r>
    </w:p>
  </w:footnote>
  <w:footnote w:id="22">
    <w:p w14:paraId="1EBCD274" w14:textId="77777777" w:rsidR="00B27103" w:rsidRPr="00072755" w:rsidRDefault="00B27103"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Фебруар 2021. године („Службени гласник РСˮ, бр. 18/21 и 36/21 – исправка)</w:t>
      </w:r>
    </w:p>
  </w:footnote>
  <w:footnote w:id="23">
    <w:p w14:paraId="4CE26BD4" w14:textId="77777777" w:rsidR="00B27103" w:rsidRPr="00072755" w:rsidRDefault="00B27103"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Март</w:t>
      </w:r>
      <w:r w:rsidRPr="00072755">
        <w:rPr>
          <w:rFonts w:ascii="Times New Roman" w:hAnsi="Times New Roman" w:cs="Times New Roman"/>
          <w:sz w:val="16"/>
          <w:szCs w:val="16"/>
        </w:rPr>
        <w:t xml:space="preserve"> 2021.</w:t>
      </w:r>
      <w:r w:rsidRPr="00072755">
        <w:rPr>
          <w:rFonts w:ascii="Times New Roman" w:hAnsi="Times New Roman" w:cs="Times New Roman"/>
          <w:sz w:val="16"/>
          <w:szCs w:val="16"/>
          <w:lang w:val="sr-Cyrl-RS"/>
        </w:rPr>
        <w:t xml:space="preserve"> године („Службени гласник РСˮ, бр</w:t>
      </w:r>
      <w:r>
        <w:rPr>
          <w:rFonts w:ascii="Times New Roman" w:hAnsi="Times New Roman" w:cs="Times New Roman"/>
          <w:sz w:val="16"/>
          <w:szCs w:val="16"/>
          <w:lang w:val="sr-Latn-RS"/>
        </w:rPr>
        <w:t>.</w:t>
      </w:r>
      <w:r w:rsidRPr="00072755">
        <w:rPr>
          <w:rFonts w:ascii="Times New Roman" w:hAnsi="Times New Roman" w:cs="Times New Roman"/>
          <w:sz w:val="16"/>
          <w:szCs w:val="16"/>
          <w:lang w:val="sr-Cyrl-RS"/>
        </w:rPr>
        <w:t xml:space="preserve"> 30/21)</w:t>
      </w:r>
    </w:p>
  </w:footnote>
  <w:footnote w:id="24">
    <w:p w14:paraId="254F8CFE" w14:textId="77777777" w:rsidR="00B27103" w:rsidRPr="003F0428" w:rsidRDefault="00B27103" w:rsidP="00DC7F92">
      <w:pPr>
        <w:pStyle w:val="f1"/>
        <w:rPr>
          <w:rFonts w:ascii="Times New Roman" w:hAnsi="Times New Roman" w:cs="Times New Roman"/>
          <w:sz w:val="16"/>
          <w:szCs w:val="16"/>
          <w:lang w:val="sr-Cyrl-RS"/>
        </w:rPr>
      </w:pPr>
      <w:r w:rsidRPr="003F0428">
        <w:rPr>
          <w:rStyle w:val="FootnoteReference"/>
          <w:rFonts w:ascii="Times New Roman" w:hAnsi="Times New Roman" w:cs="Times New Roman"/>
          <w:sz w:val="16"/>
          <w:szCs w:val="16"/>
        </w:rPr>
        <w:footnoteRef/>
      </w:r>
      <w:r w:rsidRPr="003F0428">
        <w:rPr>
          <w:rFonts w:ascii="Times New Roman" w:hAnsi="Times New Roman" w:cs="Times New Roman"/>
          <w:sz w:val="16"/>
          <w:szCs w:val="16"/>
        </w:rPr>
        <w:t xml:space="preserve"> </w:t>
      </w:r>
      <w:r w:rsidRPr="003F0428">
        <w:rPr>
          <w:rFonts w:ascii="Times New Roman" w:hAnsi="Times New Roman" w:cs="Times New Roman"/>
          <w:sz w:val="16"/>
          <w:szCs w:val="16"/>
          <w:lang w:val="sr-Cyrl-RS"/>
        </w:rPr>
        <w:t>Процена је да ће од ових средстава за Програм „Моја прва плата“</w:t>
      </w:r>
      <w:r>
        <w:rPr>
          <w:rFonts w:ascii="Times New Roman" w:hAnsi="Times New Roman" w:cs="Times New Roman"/>
          <w:sz w:val="16"/>
          <w:szCs w:val="16"/>
          <w:lang w:val="sr-Cyrl-RS"/>
        </w:rPr>
        <w:t>, чије је спровођење почело у 2020. години,</w:t>
      </w:r>
      <w:r w:rsidRPr="003F0428">
        <w:rPr>
          <w:rFonts w:ascii="Times New Roman" w:hAnsi="Times New Roman" w:cs="Times New Roman"/>
          <w:sz w:val="16"/>
          <w:szCs w:val="16"/>
          <w:lang w:val="sr-Cyrl-RS"/>
        </w:rPr>
        <w:t xml:space="preserve"> бити утрошено око 1,7 </w:t>
      </w:r>
      <w:r>
        <w:rPr>
          <w:rFonts w:ascii="Times New Roman" w:hAnsi="Times New Roman" w:cs="Times New Roman"/>
          <w:sz w:val="16"/>
          <w:szCs w:val="16"/>
          <w:lang w:val="sr-Cyrl-RS"/>
        </w:rPr>
        <w:t>милијарди динара</w:t>
      </w:r>
      <w:r w:rsidRPr="003F0428">
        <w:rPr>
          <w:rFonts w:ascii="Times New Roman" w:hAnsi="Times New Roman" w:cs="Times New Roman"/>
          <w:sz w:val="16"/>
          <w:szCs w:val="16"/>
          <w:lang w:val="sr-Cyrl-RS"/>
        </w:rPr>
        <w:t xml:space="preserve"> (14,2 </w:t>
      </w:r>
      <w:r>
        <w:rPr>
          <w:rFonts w:ascii="Times New Roman" w:hAnsi="Times New Roman" w:cs="Times New Roman"/>
          <w:sz w:val="16"/>
          <w:szCs w:val="16"/>
          <w:lang w:val="sr-Cyrl-RS"/>
        </w:rPr>
        <w:t>милиона евра</w:t>
      </w:r>
      <w:r w:rsidRPr="003F0428">
        <w:rPr>
          <w:rFonts w:ascii="Times New Roman" w:hAnsi="Times New Roman" w:cs="Times New Roman"/>
          <w:sz w:val="16"/>
          <w:szCs w:val="16"/>
          <w:lang w:val="sr-Cyrl-RS"/>
        </w:rPr>
        <w:t>).</w:t>
      </w:r>
    </w:p>
  </w:footnote>
  <w:footnote w:id="25">
    <w:p w14:paraId="77E0B21B" w14:textId="77777777" w:rsidR="00B27103" w:rsidRPr="00DC7F92" w:rsidRDefault="00B27103" w:rsidP="00DC7F92">
      <w:pPr>
        <w:pStyle w:val="f1"/>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w:t>
      </w:r>
      <w:r w:rsidRPr="00DC7F92">
        <w:rPr>
          <w:rFonts w:ascii="Times New Roman" w:hAnsi="Times New Roman" w:cs="Times New Roman"/>
          <w:sz w:val="16"/>
          <w:szCs w:val="16"/>
          <w:lang w:val="sr-Cyrl-RS"/>
        </w:rPr>
        <w:t>Објављена крајем 2020. године, ажурирана у априлу 2021. године</w:t>
      </w:r>
    </w:p>
  </w:footnote>
  <w:footnote w:id="26">
    <w:p w14:paraId="021D9ABE" w14:textId="77777777" w:rsidR="00B27103" w:rsidRPr="00DC7F92" w:rsidRDefault="00B27103" w:rsidP="00DC7F92">
      <w:pPr>
        <w:pStyle w:val="FootnoteText"/>
        <w:spacing w:after="0"/>
        <w:ind w:firstLine="0"/>
        <w:rPr>
          <w:rFonts w:ascii="Times New Roman" w:hAnsi="Times New Roman" w:cs="Times New Roman"/>
          <w:sz w:val="16"/>
          <w:szCs w:val="16"/>
          <w:lang w:val="en-U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w:t>
      </w:r>
      <w:r w:rsidRPr="00DC7F92">
        <w:rPr>
          <w:rFonts w:ascii="Times New Roman" w:hAnsi="Times New Roman" w:cs="Times New Roman"/>
          <w:sz w:val="16"/>
          <w:szCs w:val="16"/>
          <w:shd w:val="clear" w:color="auto" w:fill="FFFFFF"/>
          <w:lang w:val="sr-Cyrl-RS"/>
        </w:rPr>
        <w:t>Одлук</w:t>
      </w:r>
      <w:r w:rsidRPr="00DC7F92">
        <w:rPr>
          <w:rFonts w:ascii="Times New Roman" w:hAnsi="Times New Roman" w:cs="Times New Roman"/>
          <w:sz w:val="16"/>
          <w:szCs w:val="16"/>
          <w:shd w:val="clear" w:color="auto" w:fill="FFFFFF"/>
          <w:lang w:val="en-US"/>
        </w:rPr>
        <w:t>a</w:t>
      </w:r>
      <w:r w:rsidRPr="00DC7F92">
        <w:rPr>
          <w:rFonts w:ascii="Times New Roman" w:hAnsi="Times New Roman" w:cs="Times New Roman"/>
          <w:sz w:val="16"/>
          <w:szCs w:val="16"/>
          <w:shd w:val="clear" w:color="auto" w:fill="FFFFFF"/>
          <w:lang w:val="sr-Cyrl-RS"/>
        </w:rPr>
        <w:t xml:space="preserve"> о Јединственом кодексу шифара за уношење и шифрирање података у евиденцијама у области рада</w:t>
      </w:r>
      <w:r w:rsidRPr="00DC7F92">
        <w:rPr>
          <w:rFonts w:ascii="Times New Roman" w:hAnsi="Times New Roman" w:cs="Times New Roman"/>
          <w:sz w:val="16"/>
          <w:szCs w:val="16"/>
          <w:shd w:val="clear" w:color="auto" w:fill="FFFFFF"/>
          <w:lang w:val="en-US"/>
        </w:rPr>
        <w:t xml:space="preserve"> </w:t>
      </w:r>
      <w:r w:rsidRPr="00DC7F92">
        <w:rPr>
          <w:rFonts w:ascii="Times New Roman" w:hAnsi="Times New Roman" w:cs="Times New Roman"/>
          <w:bCs w:val="0"/>
          <w:i/>
          <w:iCs/>
          <w:sz w:val="16"/>
          <w:szCs w:val="16"/>
          <w:shd w:val="clear" w:color="auto" w:fill="FFFFFF"/>
        </w:rPr>
        <w:t>(„Сл</w:t>
      </w:r>
      <w:r w:rsidRPr="00DC7F92">
        <w:rPr>
          <w:rFonts w:ascii="Times New Roman" w:hAnsi="Times New Roman" w:cs="Times New Roman"/>
          <w:bCs w:val="0"/>
          <w:i/>
          <w:iCs/>
          <w:sz w:val="16"/>
          <w:szCs w:val="16"/>
          <w:shd w:val="clear" w:color="auto" w:fill="FFFFFF"/>
          <w:lang w:val="sr-Cyrl-RS"/>
        </w:rPr>
        <w:t xml:space="preserve">ужбени </w:t>
      </w:r>
      <w:r w:rsidRPr="00DC7F92">
        <w:rPr>
          <w:rFonts w:ascii="Times New Roman" w:hAnsi="Times New Roman" w:cs="Times New Roman"/>
          <w:bCs w:val="0"/>
          <w:i/>
          <w:iCs/>
          <w:sz w:val="16"/>
          <w:szCs w:val="16"/>
          <w:shd w:val="clear" w:color="auto" w:fill="FFFFFF"/>
        </w:rPr>
        <w:t>гласник РСˮ, бр. 56/18 и 101/20)</w:t>
      </w:r>
    </w:p>
  </w:footnote>
  <w:footnote w:id="27">
    <w:p w14:paraId="44C611E9"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Ч</w:t>
      </w:r>
      <w:r w:rsidRPr="00DC7F92">
        <w:rPr>
          <w:rFonts w:ascii="Times New Roman" w:hAnsi="Times New Roman" w:cs="Times New Roman"/>
          <w:sz w:val="16"/>
          <w:szCs w:val="16"/>
          <w:shd w:val="clear" w:color="auto" w:fill="FFFFFF"/>
          <w:lang w:val="sr-Cyrl-RS"/>
        </w:rPr>
        <w:t>ине га Подрегистар националних квалификација, Подрегистар стандарда квалификација, као и Подрегистар јавно признатих организатора активности образовања одраслих са послодавцима код којих се обавља практичан рад (Подрегистар ЈПОА).</w:t>
      </w:r>
    </w:p>
  </w:footnote>
  <w:footnote w:id="28">
    <w:p w14:paraId="7DA9FBE6"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Програм је креиран са циљем оспособљавања за самосталан рад 10.000 младих са средњим и високим образовањем, до навршених 30 година живота, без радног искуства, који се налазе на евиденцији незапослених Националне службе за запошљавање.</w:t>
      </w:r>
    </w:p>
  </w:footnote>
  <w:footnote w:id="29">
    <w:p w14:paraId="7D3198BE"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 xml:space="preserve">Усвојена на седници Владе РС </w:t>
      </w:r>
      <w:r w:rsidRPr="00072755">
        <w:rPr>
          <w:rFonts w:ascii="Times New Roman" w:hAnsi="Times New Roman" w:cs="Times New Roman"/>
          <w:sz w:val="16"/>
          <w:szCs w:val="16"/>
          <w:lang w:val="sr-Cyrl-RS"/>
        </w:rPr>
        <w:t>5. августа 2021. године.</w:t>
      </w:r>
    </w:p>
  </w:footnote>
  <w:footnote w:id="30">
    <w:p w14:paraId="72BDAA54" w14:textId="77777777" w:rsidR="00B27103" w:rsidRPr="00C14697" w:rsidRDefault="00B27103" w:rsidP="00DC7F92">
      <w:pPr>
        <w:pStyle w:val="f1"/>
        <w:jc w:val="both"/>
        <w:rPr>
          <w:rFonts w:ascii="Times New Roman" w:hAnsi="Times New Roman" w:cs="Times New Roman"/>
          <w:color w:val="FF0000"/>
          <w:sz w:val="16"/>
          <w:szCs w:val="16"/>
          <w:lang w:val="sr-Cyrl-RS"/>
        </w:rPr>
      </w:pPr>
      <w:r w:rsidRPr="00833631">
        <w:rPr>
          <w:rStyle w:val="FootnoteReference"/>
          <w:rFonts w:ascii="Times New Roman" w:hAnsi="Times New Roman" w:cs="Times New Roman"/>
          <w:sz w:val="16"/>
          <w:szCs w:val="16"/>
          <w:lang w:val="sr-Cyrl-RS"/>
        </w:rPr>
        <w:footnoteRef/>
      </w:r>
      <w:r w:rsidRPr="00833631">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А</w:t>
      </w:r>
      <w:r w:rsidRPr="00833631">
        <w:rPr>
          <w:rFonts w:ascii="Times New Roman" w:hAnsi="Times New Roman" w:cs="Times New Roman"/>
          <w:sz w:val="16"/>
          <w:szCs w:val="16"/>
          <w:lang w:val="sr-Cyrl-RS"/>
        </w:rPr>
        <w:t xml:space="preserve">нгажованим лицима </w:t>
      </w:r>
      <w:r>
        <w:rPr>
          <w:rFonts w:ascii="Times New Roman" w:hAnsi="Times New Roman" w:cs="Times New Roman"/>
          <w:sz w:val="16"/>
          <w:szCs w:val="16"/>
          <w:lang w:val="sr-Cyrl-RS"/>
        </w:rPr>
        <w:t>на име новчане накнаде исплаћују се</w:t>
      </w:r>
      <w:r w:rsidRPr="00833631">
        <w:rPr>
          <w:rFonts w:ascii="Times New Roman" w:hAnsi="Times New Roman" w:cs="Times New Roman"/>
          <w:sz w:val="16"/>
          <w:szCs w:val="16"/>
          <w:lang w:val="sr-Cyrl-RS"/>
        </w:rPr>
        <w:t xml:space="preserve"> средства у месечном износу од 22.000,00 </w:t>
      </w:r>
      <w:r>
        <w:rPr>
          <w:rFonts w:ascii="Times New Roman" w:hAnsi="Times New Roman" w:cs="Times New Roman"/>
          <w:sz w:val="16"/>
          <w:szCs w:val="16"/>
          <w:lang w:val="sr-Cyrl-RS"/>
        </w:rPr>
        <w:t>динара (183 евра)</w:t>
      </w:r>
      <w:r w:rsidRPr="00833631">
        <w:rPr>
          <w:rFonts w:ascii="Times New Roman" w:hAnsi="Times New Roman" w:cs="Times New Roman"/>
          <w:sz w:val="16"/>
          <w:szCs w:val="16"/>
          <w:lang w:val="sr-Cyrl-RS"/>
        </w:rPr>
        <w:t xml:space="preserve"> за лица са средњим образовањем и 26.000,00 </w:t>
      </w:r>
      <w:r>
        <w:rPr>
          <w:rFonts w:ascii="Times New Roman" w:hAnsi="Times New Roman" w:cs="Times New Roman"/>
          <w:sz w:val="16"/>
          <w:szCs w:val="16"/>
          <w:lang w:val="sr-Cyrl-RS"/>
        </w:rPr>
        <w:t>динара (217 евра)</w:t>
      </w:r>
      <w:r w:rsidRPr="00833631">
        <w:rPr>
          <w:rFonts w:ascii="Times New Roman" w:hAnsi="Times New Roman" w:cs="Times New Roman"/>
          <w:sz w:val="16"/>
          <w:szCs w:val="16"/>
          <w:lang w:val="sr-Cyrl-RS"/>
        </w:rPr>
        <w:t xml:space="preserve"> за лица са високим образовањем.</w:t>
      </w:r>
    </w:p>
  </w:footnote>
  <w:footnote w:id="31">
    <w:p w14:paraId="713C5BB6"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Pr>
          <w:rFonts w:ascii="Times New Roman" w:hAnsi="Times New Roman" w:cs="Times New Roman"/>
          <w:sz w:val="16"/>
          <w:szCs w:val="16"/>
          <w:lang w:val="sr-Cyrl-RS"/>
        </w:rPr>
        <w:t>Усвојена на седници Владе РС</w:t>
      </w:r>
      <w:r w:rsidRPr="00072755">
        <w:rPr>
          <w:rFonts w:ascii="Times New Roman" w:hAnsi="Times New Roman" w:cs="Times New Roman"/>
          <w:sz w:val="16"/>
          <w:szCs w:val="16"/>
          <w:lang w:val="sr-Cyrl-RS"/>
        </w:rPr>
        <w:t xml:space="preserve"> 28. априла 2021. године.</w:t>
      </w:r>
    </w:p>
  </w:footnote>
  <w:footnote w:id="32">
    <w:p w14:paraId="3397576B"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Извор: Eurostat, </w:t>
      </w:r>
      <w:hyperlink r:id="rId4" w:history="1">
        <w:r w:rsidRPr="00072755">
          <w:rPr>
            <w:rStyle w:val="Hyperlink1"/>
            <w:rFonts w:ascii="Times New Roman" w:hAnsi="Times New Roman" w:cs="Times New Roman"/>
            <w:sz w:val="16"/>
            <w:szCs w:val="16"/>
            <w:lang w:val="sr-Cyrl-RS"/>
          </w:rPr>
          <w:t>https://appsso.eurostat.ec.europa.eu/nui/show.do?dataset=trng_lfse_01&amp;lang=en</w:t>
        </w:r>
      </w:hyperlink>
    </w:p>
  </w:footnote>
  <w:footnote w:id="33">
    <w:p w14:paraId="500178EA" w14:textId="77777777" w:rsidR="00B27103" w:rsidRPr="00500870" w:rsidRDefault="00B27103" w:rsidP="00DC7F92">
      <w:pPr>
        <w:pStyle w:val="f1"/>
        <w:jc w:val="both"/>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sz w:val="16"/>
          <w:szCs w:val="16"/>
          <w:lang w:val="sr-Cyrl-RS" w:eastAsia="sr-Cyrl-CS" w:bidi="sr-Cyrl-CS"/>
        </w:rPr>
        <w:t>Од укупног броја институција које су стекле статус ЈПОА, статус је добило 17 средњих школа за 51 програм, 9 установа образовања одраслих (народни, раднички, отворени универзитети) за 76 програма и 46 других организација (центри, предузећа, пословна удружења, институти, итд.) за 135 програма.</w:t>
      </w:r>
    </w:p>
  </w:footnote>
  <w:footnote w:id="34">
    <w:p w14:paraId="63888910" w14:textId="77777777" w:rsidR="00B27103" w:rsidRPr="00500870" w:rsidRDefault="00B27103" w:rsidP="00DC7F92">
      <w:pPr>
        <w:pStyle w:val="f1"/>
        <w:jc w:val="both"/>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lang w:val="sr-Cyrl-RS"/>
        </w:rPr>
        <w:footnoteRef/>
      </w:r>
      <w:r w:rsidRPr="00500870">
        <w:rPr>
          <w:rFonts w:ascii="Times New Roman" w:hAnsi="Times New Roman" w:cs="Times New Roman"/>
          <w:sz w:val="16"/>
          <w:szCs w:val="16"/>
          <w:lang w:val="sr-Cyrl-RS"/>
        </w:rPr>
        <w:t xml:space="preserve"> Извор: Извештај о реализацији годишњег плана образовања одраслих у РС у 2020. </w:t>
      </w:r>
      <w:hyperlink r:id="rId5" w:history="1">
        <w:r w:rsidRPr="00500870">
          <w:rPr>
            <w:rStyle w:val="Hyperlink1"/>
            <w:rFonts w:ascii="Times New Roman" w:hAnsi="Times New Roman" w:cs="Times New Roman"/>
            <w:sz w:val="16"/>
            <w:szCs w:val="16"/>
            <w:lang w:val="sr-Cyrl-RS"/>
          </w:rPr>
          <w:t>http://www.mpn.gov.rs/wp-content/uploads/2021/03/Izvestaj-GPOO-u-2020-god-final-2.pdf</w:t>
        </w:r>
      </w:hyperlink>
      <w:r w:rsidRPr="00500870">
        <w:rPr>
          <w:rFonts w:ascii="Times New Roman" w:hAnsi="Times New Roman" w:cs="Times New Roman"/>
          <w:sz w:val="16"/>
          <w:szCs w:val="16"/>
          <w:lang w:val="sr-Cyrl-RS"/>
        </w:rPr>
        <w:t xml:space="preserve"> </w:t>
      </w:r>
    </w:p>
  </w:footnote>
  <w:footnote w:id="35">
    <w:p w14:paraId="07FF25C6" w14:textId="3C09B3AC" w:rsidR="00B27103" w:rsidRPr="00DC17B9" w:rsidRDefault="00B27103" w:rsidP="00DC7F92">
      <w:pPr>
        <w:pStyle w:val="f1"/>
        <w:jc w:val="both"/>
        <w:rPr>
          <w:rFonts w:ascii="Times New Roman" w:hAnsi="Times New Roman" w:cs="Times New Roman"/>
          <w:sz w:val="16"/>
          <w:szCs w:val="16"/>
        </w:rPr>
      </w:pPr>
      <w:r w:rsidRPr="00F37849">
        <w:rPr>
          <w:rStyle w:val="FootnoteReference"/>
          <w:rFonts w:ascii="Times New Roman" w:hAnsi="Times New Roman" w:cs="Times New Roman"/>
          <w:sz w:val="16"/>
          <w:szCs w:val="16"/>
        </w:rPr>
        <w:footnoteRef/>
      </w:r>
      <w:r w:rsidRPr="00F37849">
        <w:rPr>
          <w:rFonts w:ascii="Times New Roman" w:hAnsi="Times New Roman" w:cs="Times New Roman"/>
          <w:sz w:val="16"/>
          <w:szCs w:val="16"/>
        </w:rPr>
        <w:t xml:space="preserve"> Извор: Бечки институт за високе економске студије</w:t>
      </w:r>
      <w:r w:rsidR="001578A1">
        <w:rPr>
          <w:rFonts w:ascii="Times New Roman" w:hAnsi="Times New Roman" w:cs="Times New Roman"/>
          <w:sz w:val="16"/>
          <w:szCs w:val="16"/>
          <w:lang w:val="sr-Cyrl-RS"/>
        </w:rPr>
        <w:t xml:space="preserve">, </w:t>
      </w:r>
      <w:r w:rsidR="001578A1" w:rsidRPr="001578A1">
        <w:rPr>
          <w:rFonts w:ascii="Times New Roman" w:hAnsi="Times New Roman" w:cs="Times New Roman"/>
          <w:sz w:val="16"/>
          <w:szCs w:val="16"/>
          <w:lang w:val="sr-Cyrl-RS"/>
        </w:rPr>
        <w:t>Регионална студија „Migration dynamics from a human capital perspective in the Western Balkans“</w:t>
      </w:r>
      <w:r w:rsidRPr="00F37849">
        <w:rPr>
          <w:rFonts w:ascii="Times New Roman" w:hAnsi="Times New Roman" w:cs="Times New Roman"/>
          <w:sz w:val="16"/>
          <w:szCs w:val="16"/>
        </w:rPr>
        <w:t xml:space="preserve"> </w:t>
      </w:r>
    </w:p>
  </w:footnote>
  <w:footnote w:id="36">
    <w:p w14:paraId="6258D32D" w14:textId="77777777" w:rsidR="00B27103" w:rsidRPr="0051458C" w:rsidRDefault="00B27103"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rPr>
        <w:footnoteRef/>
      </w:r>
      <w:r w:rsidRPr="0051458C">
        <w:rPr>
          <w:rFonts w:ascii="Times New Roman" w:hAnsi="Times New Roman" w:cs="Times New Roman"/>
          <w:sz w:val="16"/>
          <w:szCs w:val="16"/>
        </w:rPr>
        <w:t xml:space="preserve"> </w:t>
      </w:r>
      <w:hyperlink r:id="rId6" w:history="1">
        <w:r w:rsidRPr="0051458C">
          <w:rPr>
            <w:rStyle w:val="Hyperlink1"/>
            <w:rFonts w:ascii="Times New Roman" w:hAnsi="Times New Roman" w:cs="Times New Roman"/>
            <w:sz w:val="16"/>
            <w:szCs w:val="16"/>
          </w:rPr>
          <w:t>https://rsjp.gov.rs/wp-content/uploads/Final-Public-Consultation-Manual-16-07-2020-for-publication-1.pdf</w:t>
        </w:r>
      </w:hyperlink>
      <w:r w:rsidRPr="0051458C">
        <w:rPr>
          <w:rFonts w:ascii="Times New Roman" w:hAnsi="Times New Roman" w:cs="Times New Roman"/>
          <w:sz w:val="16"/>
          <w:szCs w:val="16"/>
          <w:lang w:val="sr-Cyrl-RS"/>
        </w:rPr>
        <w:t xml:space="preserve"> </w:t>
      </w:r>
    </w:p>
  </w:footnote>
  <w:footnote w:id="37">
    <w:p w14:paraId="04AA52AC" w14:textId="77777777" w:rsidR="00B27103" w:rsidRPr="00FC1274" w:rsidRDefault="00B27103" w:rsidP="00DC7F92">
      <w:pPr>
        <w:pStyle w:val="f1"/>
        <w:rPr>
          <w:rFonts w:ascii="Times New Roman" w:hAnsi="Times New Roman" w:cs="Times New Roman"/>
          <w:sz w:val="16"/>
          <w:szCs w:val="16"/>
          <w:lang w:val="sr-Cyrl-RS"/>
        </w:rPr>
      </w:pPr>
      <w:r w:rsidRPr="00FC1274">
        <w:rPr>
          <w:rStyle w:val="FootnoteReference"/>
          <w:rFonts w:ascii="Times New Roman" w:hAnsi="Times New Roman" w:cs="Times New Roman"/>
          <w:sz w:val="16"/>
          <w:szCs w:val="16"/>
          <w:lang w:val="sr-Cyrl-RS"/>
        </w:rPr>
        <w:footnoteRef/>
      </w:r>
      <w:r w:rsidRPr="00FC1274">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Процена</w:t>
      </w:r>
      <w:r w:rsidRPr="00736549">
        <w:rPr>
          <w:rFonts w:ascii="Times New Roman" w:hAnsi="Times New Roman" w:cs="Times New Roman"/>
          <w:sz w:val="16"/>
          <w:szCs w:val="16"/>
          <w:lang w:val="sr-Cyrl-RS"/>
        </w:rPr>
        <w:t xml:space="preserve"> РСЈП</w:t>
      </w:r>
      <w:r>
        <w:rPr>
          <w:rFonts w:ascii="Times New Roman" w:hAnsi="Times New Roman" w:cs="Times New Roman"/>
          <w:sz w:val="16"/>
          <w:szCs w:val="16"/>
          <w:lang w:val="sr-Cyrl-RS"/>
        </w:rPr>
        <w:t>, а коначна вредност</w:t>
      </w:r>
      <w:r w:rsidRPr="00FC1274">
        <w:rPr>
          <w:rFonts w:ascii="Times New Roman" w:hAnsi="Times New Roman" w:cs="Times New Roman"/>
          <w:sz w:val="16"/>
          <w:szCs w:val="16"/>
          <w:lang w:val="sr-Cyrl-RS"/>
        </w:rPr>
        <w:t xml:space="preserve"> биће </w:t>
      </w:r>
      <w:r>
        <w:rPr>
          <w:rFonts w:ascii="Times New Roman" w:hAnsi="Times New Roman" w:cs="Times New Roman"/>
          <w:sz w:val="16"/>
          <w:szCs w:val="16"/>
          <w:lang w:val="sr-Cyrl-RS"/>
        </w:rPr>
        <w:t>обрачуната до</w:t>
      </w:r>
      <w:r w:rsidRPr="00FC1274">
        <w:rPr>
          <w:rFonts w:ascii="Times New Roman" w:hAnsi="Times New Roman" w:cs="Times New Roman"/>
          <w:sz w:val="16"/>
          <w:szCs w:val="16"/>
          <w:lang w:val="sr-Cyrl-RS"/>
        </w:rPr>
        <w:t xml:space="preserve"> крај</w:t>
      </w:r>
      <w:r>
        <w:rPr>
          <w:rFonts w:ascii="Times New Roman" w:hAnsi="Times New Roman" w:cs="Times New Roman"/>
          <w:sz w:val="16"/>
          <w:szCs w:val="16"/>
          <w:lang w:val="sr-Cyrl-RS"/>
        </w:rPr>
        <w:t>а</w:t>
      </w:r>
      <w:r w:rsidRPr="00FC1274">
        <w:rPr>
          <w:rFonts w:ascii="Times New Roman" w:hAnsi="Times New Roman" w:cs="Times New Roman"/>
          <w:sz w:val="16"/>
          <w:szCs w:val="16"/>
          <w:lang w:val="sr-Cyrl-RS"/>
        </w:rPr>
        <w:t xml:space="preserve"> 2021. године.</w:t>
      </w:r>
    </w:p>
  </w:footnote>
  <w:footnote w:id="38">
    <w:p w14:paraId="1532447D" w14:textId="77777777" w:rsidR="00B27103" w:rsidRPr="00E41FCC" w:rsidRDefault="00B27103" w:rsidP="00DC7F92">
      <w:pPr>
        <w:pStyle w:val="f1"/>
        <w:rPr>
          <w:rFonts w:ascii="Times New Roman" w:hAnsi="Times New Roman" w:cs="Times New Roman"/>
          <w:sz w:val="16"/>
          <w:szCs w:val="16"/>
          <w:lang w:val="sr-Cyrl-RS"/>
        </w:rPr>
      </w:pPr>
      <w:r w:rsidRPr="00E41FCC">
        <w:rPr>
          <w:rStyle w:val="FootnoteReference"/>
          <w:rFonts w:ascii="Times New Roman" w:hAnsi="Times New Roman" w:cs="Times New Roman"/>
          <w:sz w:val="16"/>
          <w:szCs w:val="16"/>
          <w:lang w:val="sr-Cyrl-RS"/>
        </w:rPr>
        <w:footnoteRef/>
      </w:r>
      <w:r>
        <w:rPr>
          <w:rFonts w:ascii="Times New Roman" w:hAnsi="Times New Roman" w:cs="Times New Roman"/>
          <w:sz w:val="16"/>
          <w:szCs w:val="16"/>
          <w:lang w:val="sr-Cyrl-RS"/>
        </w:rPr>
        <w:t xml:space="preserve"> </w:t>
      </w:r>
      <w:r w:rsidRPr="00E41FCC">
        <w:rPr>
          <w:rFonts w:ascii="Times New Roman" w:hAnsi="Times New Roman" w:cs="Times New Roman"/>
          <w:sz w:val="16"/>
          <w:szCs w:val="16"/>
          <w:lang w:val="sr-Cyrl-RS"/>
        </w:rPr>
        <w:t>РЗС, Анкет</w:t>
      </w:r>
      <w:r>
        <w:rPr>
          <w:rFonts w:ascii="Times New Roman" w:hAnsi="Times New Roman" w:cs="Times New Roman"/>
          <w:sz w:val="16"/>
          <w:szCs w:val="16"/>
          <w:lang w:val="sr-Cyrl-RS"/>
        </w:rPr>
        <w:t>а о радној снази</w:t>
      </w:r>
    </w:p>
  </w:footnote>
  <w:footnote w:id="39">
    <w:p w14:paraId="447A2522" w14:textId="77777777" w:rsidR="00B27103" w:rsidRPr="00E41FCC" w:rsidRDefault="00B27103" w:rsidP="00DC7F92">
      <w:pPr>
        <w:pStyle w:val="f1"/>
        <w:jc w:val="both"/>
        <w:rPr>
          <w:rFonts w:ascii="Times New Roman" w:hAnsi="Times New Roman" w:cs="Times New Roman"/>
          <w:sz w:val="16"/>
          <w:szCs w:val="16"/>
          <w:lang w:val="sr-Cyrl-RS"/>
        </w:rPr>
      </w:pPr>
      <w:r w:rsidRPr="00E41FCC">
        <w:rPr>
          <w:rStyle w:val="FootnoteReference"/>
          <w:rFonts w:ascii="Times New Roman" w:hAnsi="Times New Roman" w:cs="Times New Roman"/>
          <w:sz w:val="16"/>
          <w:szCs w:val="16"/>
        </w:rPr>
        <w:footnoteRef/>
      </w:r>
      <w:r w:rsidRPr="00E41FCC">
        <w:rPr>
          <w:rFonts w:ascii="Times New Roman" w:hAnsi="Times New Roman" w:cs="Times New Roman"/>
          <w:sz w:val="16"/>
          <w:szCs w:val="16"/>
          <w:lang w:val="sr-Cyrl-RS"/>
        </w:rPr>
        <w:t xml:space="preserve"> Канцеларија за јавне набавке, </w:t>
      </w:r>
      <w:r>
        <w:rPr>
          <w:rFonts w:ascii="Times New Roman" w:hAnsi="Times New Roman" w:cs="Times New Roman"/>
          <w:sz w:val="16"/>
          <w:szCs w:val="16"/>
          <w:lang w:val="sr-Cyrl-RS"/>
        </w:rPr>
        <w:t>Годишњи и</w:t>
      </w:r>
      <w:r w:rsidRPr="00E41FCC">
        <w:rPr>
          <w:rFonts w:ascii="Times New Roman" w:hAnsi="Times New Roman" w:cs="Times New Roman"/>
          <w:sz w:val="16"/>
          <w:szCs w:val="16"/>
          <w:lang w:val="sr-Cyrl-RS"/>
        </w:rPr>
        <w:t>звештај</w:t>
      </w:r>
      <w:r w:rsidRPr="00E41FCC">
        <w:rPr>
          <w:rFonts w:ascii="Times New Roman" w:hAnsi="Times New Roman" w:cs="Times New Roman"/>
          <w:sz w:val="16"/>
          <w:szCs w:val="16"/>
        </w:rPr>
        <w:t xml:space="preserve"> </w:t>
      </w:r>
      <w:r w:rsidRPr="00E41FCC">
        <w:rPr>
          <w:rFonts w:ascii="Times New Roman" w:hAnsi="Times New Roman" w:cs="Times New Roman"/>
          <w:sz w:val="16"/>
          <w:szCs w:val="16"/>
          <w:lang w:val="sr-Cyrl-RS"/>
        </w:rPr>
        <w:t xml:space="preserve">о јавним набавкама у РС за 2019 </w:t>
      </w:r>
      <w:hyperlink r:id="rId7" w:history="1">
        <w:r w:rsidRPr="00E41FCC">
          <w:rPr>
            <w:rStyle w:val="Hyperlink1"/>
            <w:rFonts w:ascii="Times New Roman" w:hAnsi="Times New Roman" w:cs="Times New Roman"/>
            <w:sz w:val="16"/>
            <w:szCs w:val="16"/>
            <w:lang w:val="sr-Cyrl-RS"/>
          </w:rPr>
          <w:t>http://www.ujn.gov.rs/izvestaji/izvestaji-uprave-za-javne-nabavke/</w:t>
        </w:r>
      </w:hyperlink>
      <w:r w:rsidRPr="00E41FCC">
        <w:rPr>
          <w:rFonts w:ascii="Times New Roman" w:hAnsi="Times New Roman" w:cs="Times New Roman"/>
          <w:sz w:val="16"/>
          <w:szCs w:val="16"/>
          <w:lang w:val="sr-Cyrl-RS"/>
        </w:rPr>
        <w:t xml:space="preserve"> </w:t>
      </w:r>
    </w:p>
  </w:footnote>
  <w:footnote w:id="40">
    <w:p w14:paraId="1CEF6C42" w14:textId="77777777" w:rsidR="00B27103" w:rsidRPr="008F5F73" w:rsidRDefault="00B27103" w:rsidP="00DC7F92">
      <w:pPr>
        <w:pStyle w:val="f1"/>
        <w:rPr>
          <w:lang w:val="sr-Cyrl-RS"/>
        </w:rPr>
      </w:pPr>
      <w:r>
        <w:rPr>
          <w:rStyle w:val="FootnoteReference"/>
        </w:rPr>
        <w:footnoteRef/>
      </w:r>
      <w:r>
        <w:t xml:space="preserve"> </w:t>
      </w:r>
      <w:r w:rsidRPr="00E41FCC">
        <w:rPr>
          <w:rFonts w:ascii="Times New Roman" w:hAnsi="Times New Roman" w:cs="Times New Roman"/>
          <w:sz w:val="16"/>
          <w:szCs w:val="16"/>
          <w:lang w:val="sr-Cyrl-RS"/>
        </w:rPr>
        <w:t xml:space="preserve">Канцеларија за јавне набавке, </w:t>
      </w:r>
      <w:r>
        <w:rPr>
          <w:rFonts w:ascii="Times New Roman" w:hAnsi="Times New Roman" w:cs="Times New Roman"/>
          <w:sz w:val="16"/>
          <w:szCs w:val="16"/>
          <w:lang w:val="sr-Cyrl-RS"/>
        </w:rPr>
        <w:t>Годишњи и</w:t>
      </w:r>
      <w:r w:rsidRPr="00E41FCC">
        <w:rPr>
          <w:rFonts w:ascii="Times New Roman" w:hAnsi="Times New Roman" w:cs="Times New Roman"/>
          <w:sz w:val="16"/>
          <w:szCs w:val="16"/>
          <w:lang w:val="sr-Cyrl-RS"/>
        </w:rPr>
        <w:t>звештај</w:t>
      </w:r>
      <w:r w:rsidRPr="00E41FCC">
        <w:rPr>
          <w:rFonts w:ascii="Times New Roman" w:hAnsi="Times New Roman" w:cs="Times New Roman"/>
          <w:sz w:val="16"/>
          <w:szCs w:val="16"/>
        </w:rPr>
        <w:t xml:space="preserve"> </w:t>
      </w:r>
      <w:r w:rsidRPr="00E41FCC">
        <w:rPr>
          <w:rFonts w:ascii="Times New Roman" w:hAnsi="Times New Roman" w:cs="Times New Roman"/>
          <w:sz w:val="16"/>
          <w:szCs w:val="16"/>
          <w:lang w:val="sr-Cyrl-RS"/>
        </w:rPr>
        <w:t xml:space="preserve">о </w:t>
      </w:r>
      <w:r>
        <w:rPr>
          <w:rFonts w:ascii="Times New Roman" w:hAnsi="Times New Roman" w:cs="Times New Roman"/>
          <w:sz w:val="16"/>
          <w:szCs w:val="16"/>
          <w:lang w:val="sr-Cyrl-RS"/>
        </w:rPr>
        <w:t xml:space="preserve">јавним набавкама у РС за 2020 </w:t>
      </w:r>
      <w:r w:rsidRPr="00430F01">
        <w:rPr>
          <w:rFonts w:ascii="Times New Roman" w:hAnsi="Times New Roman" w:cs="Times New Roman"/>
          <w:sz w:val="16"/>
          <w:szCs w:val="16"/>
          <w:lang w:val="sr-Cyrl-RS"/>
        </w:rPr>
        <w:t>https://jnportal.ujn.gov.rs/annual-reports-ppo-public</w:t>
      </w:r>
    </w:p>
  </w:footnote>
  <w:footnote w:id="41">
    <w:p w14:paraId="2818F0D3"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Наиме, у складу са чланом 62. став 9. ЗЈН/2019 наручилац није дужан да Канцеларији за јавне набавке достави образложење и документацију у вези са разлозима који оправдавају примену овог поступка, у случају спровођења поступка из члана 61. став 1. тачка 2) овог закона, у циљу набавке ради обезбеђивања основних животних услова у случајевима елементарних непогода или техничко-технолошких несрећа чије последице угрожавају безбедност, здравље и животе људи, материјална добра или животну средину, у складу са прописима којима се уређују ванредне ситуације. Имајући у виду да је од почетка примене ЗЈН/2019 дошло до знатног погоршања епидемиолошке ситуације проузроковане корона вирусом, услед чега је дошло до проглашења ванредне ситуације на највећем делу територије Републике Србије, наручиоци су за набавке повезане са потребом отклањања последица епидемије спроводили ову врсту поступка примењујући основ из члана 62. став 9. ЗЈН/2019.</w:t>
      </w:r>
      <w:r w:rsidRPr="00DC7F92">
        <w:rPr>
          <w:rFonts w:ascii="Times New Roman" w:hAnsi="Times New Roman" w:cs="Times New Roman"/>
          <w:sz w:val="16"/>
          <w:szCs w:val="16"/>
          <w:lang w:val="sr-Cyrl-RS"/>
        </w:rPr>
        <w:t xml:space="preserve"> - </w:t>
      </w:r>
      <w:hyperlink r:id="rId8" w:history="1">
        <w:r w:rsidRPr="00DC7F92">
          <w:rPr>
            <w:rStyle w:val="Hyperlink1"/>
            <w:rFonts w:ascii="Times New Roman" w:hAnsi="Times New Roman" w:cs="Times New Roman"/>
            <w:sz w:val="16"/>
            <w:szCs w:val="16"/>
            <w:lang w:val="sr-Cyrl-RS"/>
          </w:rPr>
          <w:t>https://jnportal.ujn.gov.rs/annual-reports-ppo-public</w:t>
        </w:r>
      </w:hyperlink>
      <w:r w:rsidRPr="00DC7F92">
        <w:rPr>
          <w:rFonts w:ascii="Times New Roman" w:hAnsi="Times New Roman" w:cs="Times New Roman"/>
          <w:sz w:val="16"/>
          <w:szCs w:val="16"/>
          <w:lang w:val="sr-Cyrl-RS"/>
        </w:rPr>
        <w:t xml:space="preserve"> - Годишњи извештај о јавним набавкама у РС за 2020. годину</w:t>
      </w:r>
    </w:p>
  </w:footnote>
  <w:footnote w:id="42">
    <w:p w14:paraId="5FDBA81D" w14:textId="77777777" w:rsidR="00B27103" w:rsidRPr="00DC7F92" w:rsidRDefault="00B27103" w:rsidP="00DC7F92">
      <w:pPr>
        <w:pStyle w:val="FootnoteText"/>
        <w:spacing w:after="0"/>
        <w:ind w:firstLine="0"/>
        <w:rPr>
          <w:rFonts w:ascii="Times New Roman" w:hAnsi="Times New Roman" w:cs="Times New Roman"/>
          <w:sz w:val="16"/>
          <w:szCs w:val="16"/>
          <w:lang w:val="en-U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http://www.ujn.gov.rs/izvestaji/izvestaji-uprave-za-javne-nabavke/</w:t>
      </w:r>
    </w:p>
  </w:footnote>
  <w:footnote w:id="43">
    <w:p w14:paraId="08CD5C18"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Истраживање спроведено у 140 земаља света резултат је рада организација Global Land Alliance и института Overseas Development Institute, уз подршку Одељења за међународни развој Владе Уједињеног Краљевства и мреже експерата Omidyar.</w:t>
      </w:r>
    </w:p>
  </w:footnote>
  <w:footnote w:id="44">
    <w:p w14:paraId="4952CC5A" w14:textId="77777777" w:rsidR="00B27103" w:rsidRPr="0051458C" w:rsidRDefault="00B27103"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lang w:val="sr-Cyrl-RS"/>
        </w:rPr>
        <w:footnoteRef/>
      </w:r>
      <w:r w:rsidRPr="0051458C">
        <w:rPr>
          <w:rFonts w:ascii="Times New Roman" w:hAnsi="Times New Roman" w:cs="Times New Roman"/>
          <w:sz w:val="16"/>
          <w:szCs w:val="16"/>
          <w:lang w:val="sr-Cyrl-RS"/>
        </w:rPr>
        <w:t xml:space="preserve"> АЕРС, Извештај о стању у енергетском сектору Србије за 2020. годину</w:t>
      </w:r>
    </w:p>
  </w:footnote>
  <w:footnote w:id="45">
    <w:p w14:paraId="0876650D" w14:textId="77777777" w:rsidR="00B27103" w:rsidRPr="0051458C" w:rsidRDefault="00B27103"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rPr>
        <w:footnoteRef/>
      </w:r>
      <w:r w:rsidRPr="0051458C">
        <w:rPr>
          <w:rFonts w:ascii="Times New Roman" w:hAnsi="Times New Roman" w:cs="Times New Roman"/>
          <w:sz w:val="16"/>
          <w:szCs w:val="16"/>
        </w:rPr>
        <w:t xml:space="preserve"> </w:t>
      </w:r>
      <w:r w:rsidRPr="0051458C">
        <w:rPr>
          <w:rFonts w:ascii="Times New Roman" w:hAnsi="Times New Roman" w:cs="Times New Roman"/>
          <w:sz w:val="16"/>
          <w:szCs w:val="16"/>
          <w:lang w:val="sr-Cyrl-RS"/>
        </w:rPr>
        <w:t>РЗС, Саопштење, Рачун емисијa у ваздух, 2019.</w:t>
      </w:r>
    </w:p>
  </w:footnote>
  <w:footnote w:id="46">
    <w:p w14:paraId="410F5AB8" w14:textId="77777777" w:rsidR="00B27103" w:rsidRPr="0051458C" w:rsidRDefault="00B27103" w:rsidP="00DC7F92">
      <w:pPr>
        <w:pStyle w:val="f1"/>
        <w:jc w:val="both"/>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lang w:val="sr-Cyrl-RS"/>
        </w:rPr>
        <w:footnoteRef/>
      </w:r>
      <w:r w:rsidRPr="0051458C">
        <w:rPr>
          <w:rFonts w:ascii="Times New Roman" w:hAnsi="Times New Roman" w:cs="Times New Roman"/>
          <w:sz w:val="16"/>
          <w:szCs w:val="16"/>
          <w:lang w:val="sr-Cyrl-RS"/>
        </w:rPr>
        <w:t xml:space="preserve"> МРЕ, Извештај о спровођењу Националног акционог плана за коришћење обновљивих извора енергије Републике Србије за 2018. и 2019.</w:t>
      </w:r>
    </w:p>
  </w:footnote>
  <w:footnote w:id="47">
    <w:p w14:paraId="011EEFED" w14:textId="54045204" w:rsidR="00B27103" w:rsidRPr="00FC3CF1" w:rsidRDefault="00B27103" w:rsidP="00FC3CF1">
      <w:pPr>
        <w:pStyle w:val="FootnoteText"/>
        <w:ind w:firstLine="0"/>
        <w:rPr>
          <w:lang w:val="sr-Latn-RS"/>
        </w:rPr>
      </w:pPr>
      <w:r>
        <w:rPr>
          <w:rStyle w:val="FootnoteReference"/>
        </w:rPr>
        <w:footnoteRef/>
      </w:r>
      <w:r>
        <w:t xml:space="preserve"> </w:t>
      </w:r>
      <w:r w:rsidRPr="0051458C">
        <w:rPr>
          <w:rFonts w:ascii="Times New Roman" w:hAnsi="Times New Roman" w:cs="Times New Roman"/>
          <w:sz w:val="16"/>
          <w:szCs w:val="16"/>
          <w:lang w:val="sr-Cyrl-RS"/>
        </w:rPr>
        <w:t xml:space="preserve">Извештај о раду агенције за енергетику за 2020. годину, </w:t>
      </w:r>
      <w:hyperlink r:id="rId9" w:history="1">
        <w:r w:rsidRPr="00862061">
          <w:rPr>
            <w:rFonts w:ascii="Times New Roman" w:hAnsi="Times New Roman" w:cs="Times New Roman"/>
            <w:color w:val="2F5496"/>
            <w:sz w:val="16"/>
            <w:szCs w:val="16"/>
            <w:u w:val="single"/>
            <w:lang w:val="sr-Cyrl-RS"/>
          </w:rPr>
          <w:t>https://www.aers.rs/Files/Izvestaji/Godisnji/Izvestaj%20Agencije%202020.pdf</w:t>
        </w:r>
      </w:hyperlink>
    </w:p>
  </w:footnote>
  <w:footnote w:id="48">
    <w:p w14:paraId="05182B20" w14:textId="2912A86E" w:rsidR="00B27103" w:rsidRPr="00862061" w:rsidRDefault="00B27103" w:rsidP="00DC7F92">
      <w:pPr>
        <w:pStyle w:val="f1"/>
        <w:rPr>
          <w:rFonts w:ascii="Times New Roman" w:hAnsi="Times New Roman" w:cs="Times New Roman"/>
          <w:color w:val="2F5496"/>
          <w:sz w:val="16"/>
          <w:szCs w:val="16"/>
          <w:u w:val="single"/>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w:t>
      </w:r>
      <w:r w:rsidR="00912340">
        <w:rPr>
          <w:rFonts w:ascii="Times New Roman" w:hAnsi="Times New Roman" w:cs="Times New Roman"/>
          <w:sz w:val="16"/>
          <w:szCs w:val="16"/>
          <w:lang w:val="en-US"/>
        </w:rPr>
        <w:t xml:space="preserve"> </w:t>
      </w:r>
      <w:hyperlink r:id="rId10" w:history="1">
        <w:r w:rsidRPr="00E57A7B">
          <w:rPr>
            <w:rStyle w:val="Hyperlink"/>
            <w:rFonts w:ascii="Times New Roman" w:hAnsi="Times New Roman" w:cs="Times New Roman"/>
            <w:sz w:val="16"/>
            <w:szCs w:val="16"/>
            <w:lang w:val="sr-Cyrl-RS"/>
          </w:rPr>
          <w:t>https://www.aers.rs/Files/Izvestaji/Godisnji/Izvestaj%20Agencije%202020.pdf</w:t>
        </w:r>
      </w:hyperlink>
    </w:p>
  </w:footnote>
  <w:footnote w:id="49">
    <w:p w14:paraId="0B3B1BC8"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МРЕ, </w:t>
      </w:r>
      <w:hyperlink r:id="rId11" w:history="1">
        <w:r w:rsidRPr="00862061">
          <w:rPr>
            <w:rFonts w:ascii="Times New Roman" w:hAnsi="Times New Roman" w:cs="Times New Roman"/>
            <w:color w:val="2F5496"/>
            <w:sz w:val="16"/>
            <w:szCs w:val="16"/>
            <w:u w:val="single"/>
            <w:lang w:val="sr-Cyrl-RS"/>
          </w:rPr>
          <w:t>https://www.mre.gov.rs/dokumenta/sektor-za-medjunarodnu-saradnju-i-evropske-integracije/ostalo/akcioni-plan-za-sprovodjenje-aktivnosti-u-cilju-reorganizacije-jp-srbijagas-novi-sad</w:t>
        </w:r>
      </w:hyperlink>
      <w:r w:rsidRPr="00862061">
        <w:rPr>
          <w:rFonts w:ascii="Times New Roman" w:hAnsi="Times New Roman" w:cs="Times New Roman"/>
          <w:color w:val="2F5496"/>
          <w:sz w:val="16"/>
          <w:szCs w:val="16"/>
          <w:lang w:val="sr-Cyrl-RS"/>
        </w:rPr>
        <w:t xml:space="preserve"> </w:t>
      </w:r>
    </w:p>
  </w:footnote>
  <w:footnote w:id="50">
    <w:p w14:paraId="75A58120"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 </w:t>
      </w:r>
      <w:hyperlink r:id="rId12" w:history="1">
        <w:r w:rsidRPr="0051458C">
          <w:rPr>
            <w:rStyle w:val="Hyperlink1"/>
            <w:rFonts w:ascii="Times New Roman" w:hAnsi="Times New Roman" w:cs="Times New Roman"/>
            <w:sz w:val="16"/>
            <w:szCs w:val="16"/>
            <w:lang w:val="sr-Cyrl-RS"/>
          </w:rPr>
          <w:t>https://www.aers.rs/Files/Izvestaji/Godisnji/Izvestaj%20Agencije%202020.pdf</w:t>
        </w:r>
      </w:hyperlink>
    </w:p>
  </w:footnote>
  <w:footnote w:id="51">
    <w:p w14:paraId="69578EAD"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Препорука ЕКОФИН Савета из 2020. године.</w:t>
      </w:r>
    </w:p>
  </w:footnote>
  <w:footnote w:id="52">
    <w:p w14:paraId="5F096BF8"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 </w:t>
      </w:r>
      <w:hyperlink r:id="rId13" w:history="1">
        <w:r w:rsidRPr="0051458C">
          <w:rPr>
            <w:rStyle w:val="Hyperlink1"/>
            <w:rFonts w:ascii="Times New Roman" w:hAnsi="Times New Roman" w:cs="Times New Roman"/>
            <w:sz w:val="16"/>
            <w:szCs w:val="16"/>
            <w:lang w:val="sr-Cyrl-RS"/>
          </w:rPr>
          <w:t>https://www.aers.rs/Files/Izvestaji/Godisnji/Izvestaj%20Agencije%202020.pdf</w:t>
        </w:r>
      </w:hyperlink>
    </w:p>
  </w:footnote>
  <w:footnote w:id="53">
    <w:p w14:paraId="5508A4C1" w14:textId="77777777" w:rsidR="00B27103" w:rsidRPr="00576701" w:rsidRDefault="00B27103" w:rsidP="00DC7F92">
      <w:pPr>
        <w:pStyle w:val="f1"/>
        <w:rPr>
          <w:rFonts w:ascii="Times New Roman" w:hAnsi="Times New Roman" w:cs="Times New Roman"/>
          <w:sz w:val="16"/>
          <w:szCs w:val="16"/>
          <w:lang w:val="sr-Cyrl-RS"/>
        </w:rPr>
      </w:pPr>
      <w:r w:rsidRPr="00576701">
        <w:rPr>
          <w:rStyle w:val="FootnoteReference"/>
          <w:rFonts w:ascii="Times New Roman" w:hAnsi="Times New Roman" w:cs="Times New Roman"/>
          <w:sz w:val="16"/>
          <w:szCs w:val="16"/>
          <w:lang w:val="sr-Cyrl-RS"/>
        </w:rPr>
        <w:footnoteRef/>
      </w:r>
      <w:r w:rsidRPr="00576701">
        <w:rPr>
          <w:rFonts w:ascii="Times New Roman" w:hAnsi="Times New Roman" w:cs="Times New Roman"/>
          <w:sz w:val="16"/>
          <w:szCs w:val="16"/>
          <w:lang w:val="sr-Cyrl-RS"/>
        </w:rPr>
        <w:t xml:space="preserve"> О загађењу ваздуха које потиче из енергетског сектора више у оквиру Изазова 2.</w:t>
      </w:r>
    </w:p>
  </w:footnote>
  <w:footnote w:id="54">
    <w:p w14:paraId="47A57467" w14:textId="77777777" w:rsidR="00B27103" w:rsidRPr="00576701" w:rsidRDefault="00B27103" w:rsidP="00DC7F92">
      <w:pPr>
        <w:pStyle w:val="f1"/>
        <w:rPr>
          <w:rFonts w:ascii="Times New Roman" w:hAnsi="Times New Roman" w:cs="Times New Roman"/>
          <w:sz w:val="16"/>
          <w:szCs w:val="16"/>
          <w:lang w:val="sr-Cyrl-RS"/>
        </w:rPr>
      </w:pPr>
      <w:r w:rsidRPr="00576701">
        <w:rPr>
          <w:rFonts w:ascii="Times New Roman" w:hAnsi="Times New Roman" w:cs="Times New Roman"/>
          <w:sz w:val="16"/>
          <w:szCs w:val="16"/>
          <w:vertAlign w:val="superscript"/>
          <w:lang w:val="sr-Cyrl-RS"/>
        </w:rPr>
        <w:footnoteRef/>
      </w:r>
      <w:r w:rsidRPr="00576701">
        <w:rPr>
          <w:rFonts w:ascii="Times New Roman" w:hAnsi="Times New Roman" w:cs="Times New Roman"/>
          <w:sz w:val="16"/>
          <w:szCs w:val="16"/>
          <w:lang w:val="sr-Cyrl-RS"/>
        </w:rPr>
        <w:t xml:space="preserve"> МРЕ, </w:t>
      </w:r>
      <w:hyperlink r:id="rId14" w:history="1">
        <w:r w:rsidRPr="00862061">
          <w:rPr>
            <w:rFonts w:ascii="Times New Roman" w:hAnsi="Times New Roman" w:cs="Times New Roman"/>
            <w:color w:val="2F5496"/>
            <w:sz w:val="16"/>
            <w:szCs w:val="16"/>
            <w:u w:val="single"/>
            <w:lang w:val="sr-Cyrl-RS"/>
          </w:rPr>
          <w:t>https://www.mre.gov.rs/aktuelnosti/saopstenja/mihajloviceva-o-novim-zakonima-vise-energije-iz-oie-i-pomoc-drzave-gradjanima-za-zamenu-stolarije-i-individualnih-lozista</w:t>
        </w:r>
      </w:hyperlink>
      <w:r w:rsidRPr="00862061">
        <w:rPr>
          <w:rFonts w:ascii="Times New Roman" w:hAnsi="Times New Roman" w:cs="Times New Roman"/>
          <w:color w:val="2F5496"/>
          <w:sz w:val="16"/>
          <w:szCs w:val="16"/>
          <w:lang w:val="sr-Cyrl-RS"/>
        </w:rPr>
        <w:t xml:space="preserve"> </w:t>
      </w:r>
    </w:p>
  </w:footnote>
  <w:footnote w:id="55">
    <w:p w14:paraId="316F69A9" w14:textId="77777777" w:rsidR="00B27103" w:rsidRPr="00C75060" w:rsidRDefault="00B27103" w:rsidP="00DC7F92">
      <w:pPr>
        <w:pStyle w:val="f1"/>
        <w:jc w:val="both"/>
        <w:rPr>
          <w:rFonts w:ascii="Times New Roman" w:hAnsi="Times New Roman" w:cs="Times New Roman"/>
          <w:sz w:val="16"/>
          <w:szCs w:val="16"/>
          <w:lang w:val="sr-Cyrl-RS"/>
        </w:rPr>
      </w:pPr>
      <w:r w:rsidRPr="00C75060">
        <w:rPr>
          <w:rStyle w:val="FootnoteReference"/>
          <w:rFonts w:ascii="Times New Roman" w:hAnsi="Times New Roman" w:cs="Times New Roman"/>
          <w:sz w:val="16"/>
          <w:szCs w:val="16"/>
          <w:lang w:val="sr-Cyrl-RS"/>
        </w:rPr>
        <w:footnoteRef/>
      </w:r>
      <w:r w:rsidRPr="00C75060">
        <w:rPr>
          <w:rFonts w:ascii="Times New Roman" w:hAnsi="Times New Roman" w:cs="Times New Roman"/>
          <w:sz w:val="16"/>
          <w:szCs w:val="16"/>
          <w:lang w:val="sr-Cyrl-RS"/>
        </w:rPr>
        <w:t xml:space="preserve"> Извоз ИКТ услуга износио је: 611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2015. (раст 25,5% мг), 740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2016. (раст 21,1% мг), 899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2017. (21,6% мг), 1,13 млрд.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2018. (раст 26,2%) и 1,4 млрд. у 2019. (раст 25,4% мг). Извор: НБС, Платни биланс РС, шира шема; ставка „Услуге телекомуникација, компјутерске и информацијске услуге”</w:t>
      </w:r>
    </w:p>
  </w:footnote>
  <w:footnote w:id="56">
    <w:p w14:paraId="1A3554DC" w14:textId="77777777" w:rsidR="00B27103" w:rsidRPr="00C75060" w:rsidRDefault="00B27103"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НБС, Платни биланс РС, шира шема; ставка „Услуге телекомуникација, компјутерске и информацијске услуге”</w:t>
      </w:r>
    </w:p>
  </w:footnote>
  <w:footnote w:id="57">
    <w:p w14:paraId="0B0534F2" w14:textId="77777777" w:rsidR="00B27103" w:rsidRPr="00C75060" w:rsidRDefault="00B27103"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РЗС, Регистрована запосленост, годишњи просек 2020; ставка Телекомуникације, Рачунарско програмирање и консултантске делатности, Информационе услужне делатности </w:t>
      </w:r>
      <w:hyperlink r:id="rId15" w:history="1">
        <w:r w:rsidRPr="00C75060">
          <w:rPr>
            <w:rStyle w:val="Hyperlink1"/>
            <w:rFonts w:ascii="Times New Roman" w:hAnsi="Times New Roman" w:cs="Times New Roman"/>
            <w:sz w:val="16"/>
            <w:szCs w:val="16"/>
            <w:lang w:val="sr-Cyrl-RS"/>
          </w:rPr>
          <w:t>https://publikacije.stat.gov.rs/G2021/Pdf/G20211014.pdf</w:t>
        </w:r>
      </w:hyperlink>
      <w:r w:rsidRPr="00C75060">
        <w:rPr>
          <w:rFonts w:ascii="Times New Roman" w:hAnsi="Times New Roman" w:cs="Times New Roman"/>
          <w:sz w:val="16"/>
          <w:szCs w:val="16"/>
          <w:lang w:val="sr-Cyrl-RS"/>
        </w:rPr>
        <w:t xml:space="preserve"> </w:t>
      </w:r>
    </w:p>
  </w:footnote>
  <w:footnote w:id="58">
    <w:p w14:paraId="61CCE428" w14:textId="77777777" w:rsidR="00B27103" w:rsidRPr="00E44993" w:rsidRDefault="00B27103" w:rsidP="00DC7F92">
      <w:pPr>
        <w:pStyle w:val="f1"/>
        <w:rPr>
          <w:rFonts w:ascii="Times New Roman" w:hAnsi="Times New Roman" w:cs="Times New Roman"/>
          <w:sz w:val="16"/>
          <w:szCs w:val="16"/>
          <w:lang w:val="sr-Cyrl-RS"/>
        </w:rPr>
      </w:pPr>
      <w:r w:rsidRPr="00E44993">
        <w:rPr>
          <w:rStyle w:val="FootnoteReference"/>
          <w:rFonts w:ascii="Times New Roman" w:hAnsi="Times New Roman" w:cs="Times New Roman"/>
          <w:sz w:val="16"/>
          <w:szCs w:val="16"/>
        </w:rPr>
        <w:footnoteRef/>
      </w:r>
      <w:r w:rsidRPr="00E44993">
        <w:rPr>
          <w:rFonts w:ascii="Times New Roman" w:hAnsi="Times New Roman" w:cs="Times New Roman"/>
          <w:sz w:val="16"/>
          <w:szCs w:val="16"/>
        </w:rPr>
        <w:t xml:space="preserve"> </w:t>
      </w:r>
      <w:r w:rsidRPr="00E44993">
        <w:rPr>
          <w:rFonts w:ascii="Times New Roman" w:hAnsi="Times New Roman" w:cs="Times New Roman"/>
          <w:sz w:val="16"/>
          <w:szCs w:val="16"/>
          <w:lang w:val="sr-Cyrl-RS"/>
        </w:rPr>
        <w:t>И</w:t>
      </w:r>
      <w:r w:rsidRPr="00E44993">
        <w:rPr>
          <w:rFonts w:ascii="Times New Roman" w:hAnsi="Times New Roman" w:cs="Times New Roman"/>
          <w:sz w:val="16"/>
          <w:szCs w:val="16"/>
        </w:rPr>
        <w:t>звор: Истраживање „Развој индустрије информационих технологија”</w:t>
      </w:r>
    </w:p>
  </w:footnote>
  <w:footnote w:id="59">
    <w:p w14:paraId="0C59ADDF" w14:textId="77777777" w:rsidR="00B27103" w:rsidRPr="00E44993" w:rsidRDefault="00B27103" w:rsidP="00DC7F92">
      <w:pPr>
        <w:pStyle w:val="f1"/>
        <w:jc w:val="both"/>
        <w:rPr>
          <w:rFonts w:ascii="Times New Roman" w:hAnsi="Times New Roman" w:cs="Times New Roman"/>
          <w:sz w:val="16"/>
          <w:szCs w:val="16"/>
          <w:lang w:val="sr-Cyrl-RS"/>
        </w:rPr>
      </w:pPr>
      <w:r w:rsidRPr="00E44993">
        <w:rPr>
          <w:rFonts w:ascii="Times New Roman" w:hAnsi="Times New Roman" w:cs="Times New Roman"/>
          <w:sz w:val="16"/>
          <w:szCs w:val="16"/>
          <w:vertAlign w:val="superscript"/>
          <w:lang w:val="sr-Cyrl-RS"/>
        </w:rPr>
        <w:footnoteRef/>
      </w:r>
      <w:r w:rsidRPr="00E44993">
        <w:rPr>
          <w:rFonts w:ascii="Times New Roman" w:hAnsi="Times New Roman" w:cs="Times New Roman"/>
          <w:sz w:val="16"/>
          <w:szCs w:val="16"/>
          <w:lang w:val="sr-Cyrl-RS"/>
        </w:rPr>
        <w:t xml:space="preserve"> Network Readiness Index 2020, </w:t>
      </w:r>
      <w:hyperlink r:id="rId16" w:history="1">
        <w:r w:rsidRPr="00E44993">
          <w:rPr>
            <w:rStyle w:val="Hyperlink1"/>
            <w:rFonts w:ascii="Times New Roman" w:hAnsi="Times New Roman" w:cs="Times New Roman"/>
            <w:sz w:val="16"/>
            <w:szCs w:val="16"/>
          </w:rPr>
          <w:t>https://networkreadinessindex.org/countries/serbia/</w:t>
        </w:r>
      </w:hyperlink>
      <w:r w:rsidRPr="00E44993">
        <w:rPr>
          <w:rFonts w:ascii="Times New Roman" w:hAnsi="Times New Roman" w:cs="Times New Roman"/>
          <w:sz w:val="16"/>
          <w:szCs w:val="16"/>
          <w:lang w:val="sr-Cyrl-RS"/>
        </w:rPr>
        <w:t xml:space="preserve">  </w:t>
      </w:r>
    </w:p>
  </w:footnote>
  <w:footnote w:id="60">
    <w:p w14:paraId="67700798" w14:textId="77777777" w:rsidR="00B27103" w:rsidRPr="00DD7D0F" w:rsidRDefault="00B27103" w:rsidP="00DC7F92">
      <w:pPr>
        <w:pStyle w:val="f1"/>
        <w:rPr>
          <w:rFonts w:ascii="Times New Roman" w:hAnsi="Times New Roman" w:cs="Times New Roman"/>
          <w:sz w:val="16"/>
          <w:szCs w:val="16"/>
          <w:lang w:val="sr-Cyrl-RS"/>
        </w:rPr>
      </w:pPr>
      <w:r w:rsidRPr="00DD7D0F">
        <w:rPr>
          <w:rStyle w:val="FootnoteReference"/>
          <w:rFonts w:ascii="Times New Roman" w:hAnsi="Times New Roman" w:cs="Times New Roman"/>
          <w:sz w:val="16"/>
          <w:szCs w:val="16"/>
          <w:lang w:val="sr-Cyrl-RS"/>
        </w:rPr>
        <w:footnoteRef/>
      </w:r>
      <w:r w:rsidRPr="00DD7D0F">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П</w:t>
      </w:r>
      <w:r w:rsidRPr="00DD7D0F">
        <w:rPr>
          <w:rFonts w:ascii="Times New Roman" w:hAnsi="Times New Roman" w:cs="Times New Roman"/>
          <w:sz w:val="16"/>
          <w:szCs w:val="16"/>
          <w:lang w:val="sr-Cyrl-RS"/>
        </w:rPr>
        <w:t>рограм вредан 5 мил</w:t>
      </w:r>
      <w:r>
        <w:rPr>
          <w:rFonts w:ascii="Times New Roman" w:hAnsi="Times New Roman" w:cs="Times New Roman"/>
          <w:sz w:val="16"/>
          <w:szCs w:val="16"/>
          <w:lang w:val="sr-Cyrl-RS"/>
        </w:rPr>
        <w:t>иона</w:t>
      </w:r>
      <w:r w:rsidRPr="00DD7D0F">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DD7D0F">
        <w:rPr>
          <w:rFonts w:ascii="Times New Roman" w:hAnsi="Times New Roman" w:cs="Times New Roman"/>
          <w:sz w:val="16"/>
          <w:szCs w:val="16"/>
          <w:lang w:val="sr-Cyrl-RS"/>
        </w:rPr>
        <w:t xml:space="preserve"> спроводи НАЛЕД у сарадњи са Владом Републике Србије и уз подршку компаније Philip Morris International.</w:t>
      </w:r>
    </w:p>
  </w:footnote>
  <w:footnote w:id="61">
    <w:p w14:paraId="4FE04C47" w14:textId="77777777" w:rsidR="00B27103" w:rsidRPr="00C75060" w:rsidRDefault="00B27103" w:rsidP="00DC7F92">
      <w:pPr>
        <w:spacing w:after="0"/>
        <w:rPr>
          <w:rFonts w:cs="Times New Roman"/>
          <w:sz w:val="16"/>
          <w:szCs w:val="16"/>
          <w:lang w:val="sr-Cyrl-RS"/>
        </w:rPr>
      </w:pPr>
      <w:r w:rsidRPr="00C75060">
        <w:rPr>
          <w:rStyle w:val="FootnoteReference"/>
          <w:rFonts w:cs="Times New Roman"/>
          <w:sz w:val="16"/>
          <w:szCs w:val="16"/>
        </w:rPr>
        <w:footnoteRef/>
      </w:r>
      <w:r w:rsidRPr="00C75060">
        <w:rPr>
          <w:rFonts w:cs="Times New Roman"/>
          <w:sz w:val="16"/>
          <w:szCs w:val="16"/>
        </w:rPr>
        <w:t xml:space="preserve"> </w:t>
      </w:r>
      <w:r>
        <w:rPr>
          <w:rFonts w:cs="Times New Roman"/>
          <w:sz w:val="16"/>
          <w:szCs w:val="16"/>
          <w:lang w:val="sr-Cyrl-RS"/>
        </w:rPr>
        <w:t xml:space="preserve">Извор: НАЛЕД </w:t>
      </w:r>
      <w:hyperlink r:id="rId17" w:history="1">
        <w:r w:rsidRPr="00C75060">
          <w:rPr>
            <w:rStyle w:val="Hyperlink1"/>
            <w:rFonts w:cs="Times New Roman"/>
            <w:sz w:val="16"/>
            <w:szCs w:val="16"/>
          </w:rPr>
          <w:t>https://naled.rs/projekti-startech-program-podrske-za-inovaciju-i-transformaciju-malih-i-srednjih-preduzeca-4697</w:t>
        </w:r>
      </w:hyperlink>
    </w:p>
  </w:footnote>
  <w:footnote w:id="62">
    <w:p w14:paraId="6ADB1582" w14:textId="77777777" w:rsidR="00B27103" w:rsidRPr="00D053CF" w:rsidRDefault="00B27103" w:rsidP="00DC7F92">
      <w:pPr>
        <w:pStyle w:val="f1"/>
        <w:rPr>
          <w:rFonts w:ascii="Times New Roman" w:hAnsi="Times New Roman" w:cs="Times New Roman"/>
          <w:sz w:val="16"/>
          <w:szCs w:val="16"/>
          <w:lang w:val="sr-Cyrl-RS"/>
        </w:rPr>
      </w:pPr>
      <w:r w:rsidRPr="00D053CF">
        <w:rPr>
          <w:rStyle w:val="FootnoteReference"/>
          <w:rFonts w:ascii="Times New Roman" w:hAnsi="Times New Roman" w:cs="Times New Roman"/>
          <w:sz w:val="16"/>
          <w:szCs w:val="16"/>
        </w:rPr>
        <w:footnoteRef/>
      </w:r>
      <w:r w:rsidRPr="00D053CF">
        <w:rPr>
          <w:rFonts w:ascii="Times New Roman" w:hAnsi="Times New Roman" w:cs="Times New Roman"/>
          <w:sz w:val="16"/>
          <w:szCs w:val="16"/>
        </w:rPr>
        <w:t xml:space="preserve"> Стручни одбор је након анализе пријава и теренских посета изабрао 40 финалиста који </w:t>
      </w:r>
      <w:r w:rsidRPr="00D053CF">
        <w:rPr>
          <w:rFonts w:ascii="Times New Roman" w:hAnsi="Times New Roman" w:cs="Times New Roman"/>
          <w:sz w:val="16"/>
          <w:szCs w:val="16"/>
          <w:lang w:val="sr-Cyrl-RS"/>
        </w:rPr>
        <w:t>су</w:t>
      </w:r>
      <w:r w:rsidRPr="00D053CF">
        <w:rPr>
          <w:rFonts w:ascii="Times New Roman" w:hAnsi="Times New Roman" w:cs="Times New Roman"/>
          <w:sz w:val="16"/>
          <w:szCs w:val="16"/>
        </w:rPr>
        <w:t xml:space="preserve"> представ</w:t>
      </w:r>
      <w:r w:rsidRPr="00D053CF">
        <w:rPr>
          <w:rFonts w:ascii="Times New Roman" w:hAnsi="Times New Roman" w:cs="Times New Roman"/>
          <w:sz w:val="16"/>
          <w:szCs w:val="16"/>
          <w:lang w:val="sr-Cyrl-RS"/>
        </w:rPr>
        <w:t>или</w:t>
      </w:r>
      <w:r w:rsidRPr="00D053CF">
        <w:rPr>
          <w:rFonts w:ascii="Times New Roman" w:hAnsi="Times New Roman" w:cs="Times New Roman"/>
          <w:sz w:val="16"/>
          <w:szCs w:val="16"/>
        </w:rPr>
        <w:t xml:space="preserve"> своје идеје на pitching сесији 28. </w:t>
      </w:r>
      <w:r w:rsidRPr="00D053CF">
        <w:rPr>
          <w:rFonts w:ascii="Times New Roman" w:hAnsi="Times New Roman" w:cs="Times New Roman"/>
          <w:sz w:val="16"/>
          <w:szCs w:val="16"/>
          <w:lang w:val="sr-Cyrl-RS"/>
        </w:rPr>
        <w:t>септембра 2021.</w:t>
      </w:r>
    </w:p>
  </w:footnote>
  <w:footnote w:id="63">
    <w:p w14:paraId="71D514A2" w14:textId="77777777" w:rsidR="00B27103" w:rsidRPr="00C75060" w:rsidRDefault="00B27103"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РАТЕЛ, Преглед тржишта електронских комуникација за </w:t>
      </w:r>
      <w:r>
        <w:rPr>
          <w:rFonts w:ascii="Times New Roman" w:hAnsi="Times New Roman" w:cs="Times New Roman"/>
          <w:sz w:val="16"/>
          <w:szCs w:val="16"/>
          <w:lang w:val="sr-Cyrl-RS"/>
        </w:rPr>
        <w:t>трећи</w:t>
      </w:r>
      <w:r w:rsidRPr="00C75060">
        <w:rPr>
          <w:rFonts w:ascii="Times New Roman" w:hAnsi="Times New Roman" w:cs="Times New Roman"/>
          <w:sz w:val="16"/>
          <w:szCs w:val="16"/>
          <w:lang w:val="sr-Cyrl-RS"/>
        </w:rPr>
        <w:t xml:space="preserve"> квартал 2021.</w:t>
      </w:r>
    </w:p>
  </w:footnote>
  <w:footnote w:id="64">
    <w:p w14:paraId="16858729" w14:textId="77777777" w:rsidR="00B27103" w:rsidRPr="00486CCA" w:rsidRDefault="00B27103" w:rsidP="00DC7F92">
      <w:pPr>
        <w:pStyle w:val="f1"/>
        <w:rPr>
          <w:rFonts w:ascii="Times New Roman" w:hAnsi="Times New Roman" w:cs="Times New Roman"/>
          <w:sz w:val="16"/>
          <w:szCs w:val="16"/>
          <w:lang w:val="sr-Cyrl-RS"/>
        </w:rPr>
      </w:pPr>
      <w:r w:rsidRPr="00486CCA">
        <w:rPr>
          <w:rStyle w:val="FootnoteReference"/>
          <w:rFonts w:ascii="Times New Roman" w:hAnsi="Times New Roman" w:cs="Times New Roman"/>
          <w:sz w:val="16"/>
          <w:szCs w:val="16"/>
        </w:rPr>
        <w:footnoteRef/>
      </w:r>
      <w:r w:rsidRPr="00486CCA">
        <w:rPr>
          <w:rFonts w:ascii="Times New Roman" w:hAnsi="Times New Roman" w:cs="Times New Roman"/>
          <w:sz w:val="16"/>
          <w:szCs w:val="16"/>
        </w:rPr>
        <w:t xml:space="preserve"> </w:t>
      </w:r>
      <w:r w:rsidRPr="00486CCA">
        <w:rPr>
          <w:rFonts w:ascii="Times New Roman" w:hAnsi="Times New Roman" w:cs="Times New Roman"/>
          <w:sz w:val="16"/>
          <w:szCs w:val="16"/>
          <w:lang w:val="sr-Cyrl-RS"/>
        </w:rPr>
        <w:t xml:space="preserve">Извор: РЗС, </w:t>
      </w:r>
      <w:r w:rsidRPr="00486CCA">
        <w:rPr>
          <w:rFonts w:ascii="Times New Roman" w:hAnsi="Times New Roman" w:cs="Times New Roman"/>
          <w:sz w:val="16"/>
          <w:szCs w:val="16"/>
        </w:rPr>
        <w:t>Употреба информационо-комуникационих технологија у Србији, 2020</w:t>
      </w:r>
    </w:p>
  </w:footnote>
  <w:footnote w:id="65">
    <w:p w14:paraId="1B9EF08F" w14:textId="77777777" w:rsidR="00B27103" w:rsidRPr="00CF7819" w:rsidRDefault="00B27103" w:rsidP="00DC7F92">
      <w:pPr>
        <w:pStyle w:val="f1"/>
        <w:rPr>
          <w:rFonts w:ascii="Times New Roman" w:hAnsi="Times New Roman" w:cs="Times New Roman"/>
          <w:sz w:val="16"/>
          <w:szCs w:val="16"/>
          <w:lang w:val="sr-Cyrl-RS"/>
        </w:rPr>
      </w:pPr>
      <w:r w:rsidRPr="00CF7819">
        <w:rPr>
          <w:rStyle w:val="FootnoteReference"/>
          <w:rFonts w:ascii="Times New Roman" w:hAnsi="Times New Roman" w:cs="Times New Roman"/>
          <w:sz w:val="16"/>
          <w:szCs w:val="16"/>
        </w:rPr>
        <w:footnoteRef/>
      </w:r>
      <w:r w:rsidRPr="00CF7819">
        <w:rPr>
          <w:rFonts w:ascii="Times New Roman" w:hAnsi="Times New Roman" w:cs="Times New Roman"/>
          <w:sz w:val="16"/>
          <w:szCs w:val="16"/>
        </w:rPr>
        <w:t xml:space="preserve"> </w:t>
      </w:r>
      <w:r w:rsidRPr="00CF7819">
        <w:rPr>
          <w:rFonts w:ascii="Times New Roman" w:hAnsi="Times New Roman" w:cs="Times New Roman"/>
          <w:sz w:val="16"/>
          <w:szCs w:val="16"/>
          <w:lang w:val="sr-Cyrl-RS"/>
        </w:rPr>
        <w:t>Извор: Извештај о спровођењу АПСПВ</w:t>
      </w:r>
    </w:p>
  </w:footnote>
  <w:footnote w:id="66">
    <w:p w14:paraId="3B7F6E6C" w14:textId="77777777" w:rsidR="00B27103" w:rsidRPr="00FF3D52" w:rsidRDefault="00B27103" w:rsidP="006B76C3">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lang w:val="sr-Cyrl-RS"/>
        </w:rPr>
        <w:t xml:space="preserve"> </w:t>
      </w:r>
      <w:r w:rsidRPr="00FF3D52">
        <w:rPr>
          <w:rFonts w:ascii="Times New Roman" w:hAnsi="Times New Roman" w:cs="Times New Roman"/>
          <w:sz w:val="16"/>
          <w:szCs w:val="16"/>
        </w:rPr>
        <w:t xml:space="preserve">European innovation scoreboard 2021 </w:t>
      </w:r>
      <w:hyperlink r:id="rId18" w:history="1">
        <w:r w:rsidRPr="00FF3D52">
          <w:rPr>
            <w:rStyle w:val="Hyperlink"/>
            <w:rFonts w:ascii="Times New Roman" w:eastAsia="MS PGothic" w:hAnsi="Times New Roman" w:cs="Times New Roman"/>
            <w:sz w:val="16"/>
            <w:szCs w:val="16"/>
          </w:rPr>
          <w:t>https://ec.europa.eu/info/research-and-innovation/statistics/performance-indicators/european-innovation-scoreboard_en</w:t>
        </w:r>
      </w:hyperlink>
      <w:r w:rsidRPr="00FF3D52">
        <w:rPr>
          <w:rFonts w:ascii="Times New Roman" w:hAnsi="Times New Roman" w:cs="Times New Roman"/>
          <w:sz w:val="16"/>
          <w:szCs w:val="16"/>
          <w:lang w:val="sr-Cyrl-RS"/>
        </w:rPr>
        <w:t xml:space="preserve"> </w:t>
      </w:r>
    </w:p>
  </w:footnote>
  <w:footnote w:id="67">
    <w:p w14:paraId="22BC0239" w14:textId="77777777" w:rsidR="00B27103" w:rsidRPr="00FF3D52" w:rsidRDefault="00B27103" w:rsidP="006B76C3">
      <w:pPr>
        <w:pStyle w:val="FootnoteText"/>
        <w:spacing w:after="0"/>
        <w:ind w:firstLine="0"/>
        <w:rPr>
          <w:rFonts w:ascii="Times New Roman" w:hAnsi="Times New Roman" w:cs="Times New Roman"/>
          <w:sz w:val="16"/>
          <w:szCs w:val="16"/>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Извор: РЗС </w:t>
      </w:r>
      <w:hyperlink r:id="rId19" w:history="1">
        <w:r w:rsidRPr="00FF3D52">
          <w:rPr>
            <w:rStyle w:val="Hyperlink"/>
            <w:rFonts w:ascii="Times New Roman" w:eastAsia="MS PGothic" w:hAnsi="Times New Roman" w:cs="Times New Roman"/>
            <w:sz w:val="16"/>
            <w:szCs w:val="16"/>
            <w:lang w:val="sr-Cyrl-RS"/>
          </w:rPr>
          <w:t>https://data.stat.gov.rs/Home/Result/100109?languageCode=sr-Cyrl</w:t>
        </w:r>
      </w:hyperlink>
      <w:r w:rsidRPr="00FF3D52">
        <w:rPr>
          <w:rFonts w:ascii="Times New Roman" w:hAnsi="Times New Roman" w:cs="Times New Roman"/>
          <w:sz w:val="16"/>
          <w:szCs w:val="16"/>
          <w:lang w:val="sr-Cyrl-RS"/>
        </w:rPr>
        <w:t xml:space="preserve"> </w:t>
      </w:r>
    </w:p>
  </w:footnote>
  <w:footnote w:id="68">
    <w:p w14:paraId="21AE0825" w14:textId="77777777" w:rsidR="00B27103" w:rsidRPr="00FF3D52" w:rsidRDefault="00B27103" w:rsidP="006B76C3">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Извор: </w:t>
      </w:r>
      <w:r w:rsidRPr="00FF3D52">
        <w:rPr>
          <w:rFonts w:ascii="Times New Roman" w:hAnsi="Times New Roman" w:cs="Times New Roman"/>
          <w:sz w:val="16"/>
          <w:szCs w:val="16"/>
        </w:rPr>
        <w:t>Eurostat</w:t>
      </w:r>
      <w:r w:rsidRPr="00FF3D52">
        <w:rPr>
          <w:rFonts w:ascii="Times New Roman" w:hAnsi="Times New Roman" w:cs="Times New Roman"/>
          <w:sz w:val="16"/>
          <w:szCs w:val="16"/>
          <w:lang w:val="sr-Cyrl-RS"/>
        </w:rPr>
        <w:t xml:space="preserve"> </w:t>
      </w:r>
      <w:hyperlink r:id="rId20" w:history="1">
        <w:r w:rsidRPr="00FF3D52">
          <w:rPr>
            <w:rStyle w:val="Hyperlink"/>
            <w:rFonts w:ascii="Times New Roman" w:eastAsia="MS PGothic" w:hAnsi="Times New Roman" w:cs="Times New Roman"/>
            <w:sz w:val="16"/>
            <w:szCs w:val="16"/>
            <w:lang w:val="sr-Cyrl-RS"/>
          </w:rPr>
          <w:t>https://ec.europa.eu/eurostat/databrowser/view/tsc00001/default/table?lang=en</w:t>
        </w:r>
      </w:hyperlink>
      <w:r w:rsidRPr="00FF3D52">
        <w:rPr>
          <w:rFonts w:ascii="Times New Roman" w:hAnsi="Times New Roman" w:cs="Times New Roman"/>
          <w:sz w:val="16"/>
          <w:szCs w:val="16"/>
          <w:lang w:val="sr-Cyrl-RS"/>
        </w:rPr>
        <w:t xml:space="preserve"> </w:t>
      </w:r>
    </w:p>
  </w:footnote>
  <w:footnote w:id="69">
    <w:p w14:paraId="2C7B3933"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Извештај о глобалној конкурентности за </w:t>
      </w:r>
      <w:r w:rsidRPr="00FF3D52">
        <w:rPr>
          <w:rFonts w:ascii="Times New Roman" w:hAnsi="Times New Roman" w:cs="Times New Roman"/>
          <w:sz w:val="16"/>
          <w:szCs w:val="16"/>
        </w:rPr>
        <w:t>2020.</w:t>
      </w:r>
      <w:r w:rsidRPr="00FF3D52">
        <w:rPr>
          <w:rFonts w:ascii="Times New Roman" w:hAnsi="Times New Roman" w:cs="Times New Roman"/>
          <w:sz w:val="16"/>
          <w:szCs w:val="16"/>
          <w:lang w:val="sr-Cyrl-RS"/>
        </w:rPr>
        <w:t xml:space="preserve"> годину</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представља посебно издање </w:t>
      </w:r>
      <w:r w:rsidRPr="00FF3D52">
        <w:rPr>
          <w:rFonts w:ascii="Times New Roman" w:hAnsi="Times New Roman" w:cs="Times New Roman"/>
          <w:sz w:val="16"/>
          <w:szCs w:val="16"/>
        </w:rPr>
        <w:t>посвећен</w:t>
      </w:r>
      <w:r w:rsidRPr="00FF3D52">
        <w:rPr>
          <w:rFonts w:ascii="Times New Roman" w:hAnsi="Times New Roman" w:cs="Times New Roman"/>
          <w:sz w:val="16"/>
          <w:szCs w:val="16"/>
          <w:lang w:val="sr-Cyrl-RS"/>
        </w:rPr>
        <w:t>о</w:t>
      </w:r>
      <w:r w:rsidRPr="00FF3D52">
        <w:rPr>
          <w:rFonts w:ascii="Times New Roman" w:hAnsi="Times New Roman" w:cs="Times New Roman"/>
          <w:sz w:val="16"/>
          <w:szCs w:val="16"/>
        </w:rPr>
        <w:t xml:space="preserve"> разради приоритета за опоравак</w:t>
      </w:r>
      <w:r w:rsidRPr="00FF3D52">
        <w:rPr>
          <w:rFonts w:ascii="Times New Roman" w:hAnsi="Times New Roman" w:cs="Times New Roman"/>
          <w:sz w:val="16"/>
          <w:szCs w:val="16"/>
          <w:lang w:val="sr-Cyrl-RS"/>
        </w:rPr>
        <w:t xml:space="preserve"> од пандемије, и не садржи</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податке о </w:t>
      </w:r>
      <w:r w:rsidRPr="00FF3D52">
        <w:rPr>
          <w:rFonts w:ascii="Times New Roman" w:hAnsi="Times New Roman" w:cs="Times New Roman"/>
          <w:sz w:val="16"/>
          <w:szCs w:val="16"/>
        </w:rPr>
        <w:t>рангирањ</w:t>
      </w:r>
      <w:r w:rsidRPr="00FF3D52">
        <w:rPr>
          <w:rFonts w:ascii="Times New Roman" w:hAnsi="Times New Roman" w:cs="Times New Roman"/>
          <w:sz w:val="16"/>
          <w:szCs w:val="16"/>
          <w:lang w:val="sr-Cyrl-RS"/>
        </w:rPr>
        <w:t>у</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земаља.</w:t>
      </w:r>
    </w:p>
  </w:footnote>
  <w:footnote w:id="70">
    <w:p w14:paraId="0E4E377E"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Извор: МПНТР, Извештај о спровођењу АПСПВ</w:t>
      </w:r>
    </w:p>
  </w:footnote>
  <w:footnote w:id="71">
    <w:p w14:paraId="69B387B5"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Извор: Фонд за иновациону делатност</w:t>
      </w:r>
    </w:p>
  </w:footnote>
  <w:footnote w:id="72">
    <w:p w14:paraId="276A07AB" w14:textId="55CCABFA" w:rsidR="00B27103" w:rsidRPr="00476D85" w:rsidRDefault="00B27103" w:rsidP="00FF3D52">
      <w:pPr>
        <w:pStyle w:val="FootnoteText"/>
        <w:spacing w:after="0"/>
        <w:ind w:firstLine="0"/>
        <w:rPr>
          <w:rFonts w:ascii="Times New Roman" w:hAnsi="Times New Roman" w:cs="Times New Roman"/>
          <w:sz w:val="16"/>
          <w:szCs w:val="16"/>
        </w:rPr>
      </w:pPr>
      <w:r w:rsidRPr="00FF3D52">
        <w:rPr>
          <w:rStyle w:val="FootnoteReference"/>
          <w:rFonts w:ascii="Times New Roman" w:hAnsi="Times New Roman" w:cs="Times New Roman"/>
          <w:sz w:val="16"/>
          <w:szCs w:val="16"/>
        </w:rPr>
        <w:footnoteRef/>
      </w:r>
      <w:hyperlink r:id="rId21" w:history="1">
        <w:r w:rsidRPr="00FF3D52">
          <w:rPr>
            <w:rStyle w:val="Hyperlink"/>
            <w:rFonts w:ascii="Times New Roman" w:eastAsia="MS PGothic" w:hAnsi="Times New Roman" w:cs="Times New Roman"/>
            <w:sz w:val="16"/>
            <w:szCs w:val="16"/>
          </w:rPr>
          <w:t>https://webgate.ec.europa.eu/dashboard/sense/app/a976d168-2023-41d8-acec-e77640154726/sheet/0c8af38b-b73c-4da2-ba41-73ea34ab7ac4/state/analysis</w:t>
        </w:r>
      </w:hyperlink>
    </w:p>
  </w:footnote>
  <w:footnote w:id="73">
    <w:p w14:paraId="29B4E797"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МПНТР, Извештај о спровођењу АПСПВ</w:t>
      </w:r>
    </w:p>
  </w:footnote>
  <w:footnote w:id="74">
    <w:p w14:paraId="1C2555BD"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Србија је једина земља у региону која се нашла у извештају најреномираније светске истраживачке агенције за стартап екосистеме, Стартап Џином (Startup Genome) из Сан Франциска.</w:t>
      </w:r>
    </w:p>
  </w:footnote>
  <w:footnote w:id="75">
    <w:p w14:paraId="5F56EAE1"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w:t>
      </w:r>
      <w:hyperlink r:id="rId22" w:history="1">
        <w:r w:rsidRPr="00FF3D52">
          <w:rPr>
            <w:rStyle w:val="Hyperlink"/>
            <w:rFonts w:ascii="Times New Roman" w:hAnsi="Times New Roman" w:cs="Times New Roman"/>
            <w:sz w:val="16"/>
            <w:szCs w:val="16"/>
            <w:lang w:val="sr-Cyrl-RS"/>
          </w:rPr>
          <w:t>https://startupgenome.com/reports/gser2020</w:t>
        </w:r>
      </w:hyperlink>
    </w:p>
  </w:footnote>
  <w:footnote w:id="76">
    <w:p w14:paraId="247DB4EC"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РЗС, обрачун РСЈП</w:t>
      </w:r>
    </w:p>
  </w:footnote>
  <w:footnote w:id="77">
    <w:p w14:paraId="05928CE4" w14:textId="77777777" w:rsidR="00B27103" w:rsidRPr="00FF3D52" w:rsidRDefault="00B27103" w:rsidP="00FF3D52">
      <w:pPr>
        <w:pStyle w:val="FootnoteText"/>
        <w:spacing w:after="0"/>
        <w:ind w:firstLine="0"/>
        <w:rPr>
          <w:rFonts w:ascii="Times New Roman" w:hAnsi="Times New Roman" w:cs="Times New Roman"/>
          <w:sz w:val="16"/>
          <w:szCs w:val="16"/>
          <w:lang w:val="sr-Latn-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w:t>
      </w:r>
      <w:r w:rsidRPr="00FF3D52">
        <w:rPr>
          <w:rFonts w:ascii="Times New Roman" w:hAnsi="Times New Roman" w:cs="Times New Roman"/>
          <w:sz w:val="16"/>
          <w:szCs w:val="16"/>
        </w:rPr>
        <w:t>Eurostat</w:t>
      </w:r>
      <w:r w:rsidRPr="00FF3D52">
        <w:rPr>
          <w:rFonts w:ascii="Times New Roman" w:hAnsi="Times New Roman" w:cs="Times New Roman"/>
          <w:sz w:val="16"/>
          <w:szCs w:val="16"/>
          <w:lang w:val="sr-Cyrl-RS"/>
        </w:rPr>
        <w:t xml:space="preserve"> </w:t>
      </w:r>
      <w:hyperlink r:id="rId23" w:history="1">
        <w:r w:rsidRPr="00FF3D52">
          <w:rPr>
            <w:rStyle w:val="Hyperlink"/>
            <w:rFonts w:ascii="Times New Roman" w:eastAsia="MS PGothic" w:hAnsi="Times New Roman" w:cs="Times New Roman"/>
            <w:sz w:val="16"/>
            <w:szCs w:val="16"/>
          </w:rPr>
          <w:t>https://ec.europa.eu/eurostat/databrowser/view/rd_p_perslf/default/table?lang=en</w:t>
        </w:r>
      </w:hyperlink>
      <w:r w:rsidRPr="00FF3D52">
        <w:rPr>
          <w:rFonts w:ascii="Times New Roman" w:hAnsi="Times New Roman" w:cs="Times New Roman"/>
          <w:sz w:val="16"/>
          <w:szCs w:val="16"/>
          <w:lang w:val="sr-Cyrl-RS"/>
        </w:rPr>
        <w:t xml:space="preserve"> </w:t>
      </w:r>
    </w:p>
  </w:footnote>
  <w:footnote w:id="78">
    <w:p w14:paraId="6233C16C"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РЗС: Билтен „Научноистраживачка делатност у РС, 2020“.</w:t>
      </w:r>
    </w:p>
  </w:footnote>
  <w:footnote w:id="79">
    <w:p w14:paraId="769027B8" w14:textId="77777777" w:rsidR="00B27103" w:rsidRPr="00A63E92" w:rsidRDefault="00B27103" w:rsidP="003F1FDD">
      <w:pPr>
        <w:pStyle w:val="FootnoteText"/>
        <w:spacing w:after="0"/>
        <w:ind w:firstLine="0"/>
        <w:rPr>
          <w:rFonts w:ascii="Times New Roman" w:hAnsi="Times New Roman" w:cs="Times New Roman"/>
          <w:sz w:val="16"/>
          <w:szCs w:val="16"/>
          <w:lang w:val="sr-Cyrl-RS"/>
        </w:rPr>
      </w:pPr>
      <w:r w:rsidRPr="00A63E92">
        <w:rPr>
          <w:rStyle w:val="FootnoteReference"/>
          <w:rFonts w:ascii="Times New Roman" w:hAnsi="Times New Roman" w:cs="Times New Roman"/>
          <w:sz w:val="16"/>
          <w:szCs w:val="16"/>
        </w:rPr>
        <w:footnoteRef/>
      </w:r>
      <w:r w:rsidRPr="00A63E92">
        <w:rPr>
          <w:rFonts w:ascii="Times New Roman" w:hAnsi="Times New Roman" w:cs="Times New Roman"/>
          <w:sz w:val="16"/>
          <w:szCs w:val="16"/>
        </w:rPr>
        <w:t xml:space="preserve"> Резултат је последица пандемије </w:t>
      </w:r>
      <w:r w:rsidRPr="00A63E92">
        <w:rPr>
          <w:rFonts w:ascii="Times New Roman" w:hAnsi="Times New Roman" w:cs="Times New Roman"/>
          <w:sz w:val="16"/>
          <w:szCs w:val="16"/>
          <w:lang w:val="sr-Cyrl-RS"/>
        </w:rPr>
        <w:t>Ковид</w:t>
      </w:r>
      <w:r w:rsidRPr="00A63E92">
        <w:rPr>
          <w:rFonts w:ascii="Times New Roman" w:hAnsi="Times New Roman" w:cs="Times New Roman"/>
          <w:sz w:val="16"/>
          <w:szCs w:val="16"/>
        </w:rPr>
        <w:t>-19</w:t>
      </w:r>
      <w:r w:rsidRPr="00A63E92">
        <w:rPr>
          <w:rFonts w:ascii="Times New Roman" w:hAnsi="Times New Roman" w:cs="Times New Roman"/>
          <w:sz w:val="16"/>
          <w:szCs w:val="16"/>
          <w:lang w:val="sr-Cyrl-RS"/>
        </w:rPr>
        <w:t>.</w:t>
      </w:r>
    </w:p>
  </w:footnote>
  <w:footnote w:id="80">
    <w:p w14:paraId="1350B5BB" w14:textId="77777777" w:rsidR="00B27103" w:rsidRPr="00A63E92" w:rsidRDefault="00B27103" w:rsidP="003F1FDD">
      <w:pPr>
        <w:pStyle w:val="FootnoteText"/>
        <w:spacing w:after="0"/>
        <w:ind w:firstLine="0"/>
        <w:rPr>
          <w:rFonts w:ascii="Times New Roman" w:hAnsi="Times New Roman" w:cs="Times New Roman"/>
          <w:sz w:val="16"/>
          <w:szCs w:val="16"/>
          <w:lang w:val="sr-Cyrl-RS"/>
        </w:rPr>
      </w:pPr>
      <w:r w:rsidRPr="00A63E92">
        <w:rPr>
          <w:rStyle w:val="FootnoteReference"/>
          <w:rFonts w:ascii="Times New Roman" w:hAnsi="Times New Roman" w:cs="Times New Roman"/>
          <w:sz w:val="16"/>
          <w:szCs w:val="16"/>
        </w:rPr>
        <w:footnoteRef/>
      </w:r>
      <w:r w:rsidRPr="00A63E92">
        <w:rPr>
          <w:rFonts w:ascii="Times New Roman" w:hAnsi="Times New Roman" w:cs="Times New Roman"/>
          <w:sz w:val="16"/>
          <w:szCs w:val="16"/>
        </w:rPr>
        <w:t xml:space="preserve"> Глобални преглед </w:t>
      </w:r>
      <w:r>
        <w:rPr>
          <w:rFonts w:ascii="Times New Roman" w:hAnsi="Times New Roman" w:cs="Times New Roman"/>
          <w:sz w:val="16"/>
          <w:szCs w:val="16"/>
          <w:lang w:val="sr-Cyrl-RS"/>
        </w:rPr>
        <w:t>(</w:t>
      </w:r>
      <w:r w:rsidRPr="00A63E92">
        <w:rPr>
          <w:rFonts w:ascii="Times New Roman" w:hAnsi="Times New Roman" w:cs="Times New Roman"/>
          <w:i/>
          <w:sz w:val="16"/>
          <w:szCs w:val="16"/>
        </w:rPr>
        <w:t>UN Global Survey on Digital and Sustainable Trade Facilitation</w:t>
      </w:r>
      <w:r>
        <w:rPr>
          <w:rFonts w:ascii="Times New Roman" w:hAnsi="Times New Roman" w:cs="Times New Roman"/>
          <w:sz w:val="16"/>
          <w:szCs w:val="16"/>
          <w:lang w:val="sr-Cyrl-RS"/>
        </w:rPr>
        <w:t>)</w:t>
      </w:r>
      <w:r w:rsidRPr="00A63E92">
        <w:rPr>
          <w:rFonts w:ascii="Times New Roman" w:hAnsi="Times New Roman" w:cs="Times New Roman"/>
          <w:sz w:val="16"/>
          <w:szCs w:val="16"/>
        </w:rPr>
        <w:t xml:space="preserve"> се објав</w:t>
      </w:r>
      <w:r>
        <w:rPr>
          <w:rFonts w:ascii="Times New Roman" w:hAnsi="Times New Roman" w:cs="Times New Roman"/>
          <w:sz w:val="16"/>
          <w:szCs w:val="16"/>
          <w:lang w:val="sr-Cyrl-RS"/>
        </w:rPr>
        <w:t>љ</w:t>
      </w:r>
      <w:r w:rsidRPr="00A63E92">
        <w:rPr>
          <w:rFonts w:ascii="Times New Roman" w:hAnsi="Times New Roman" w:cs="Times New Roman"/>
          <w:sz w:val="16"/>
          <w:szCs w:val="16"/>
        </w:rPr>
        <w:t>ује на сваке две године, а обухвата приказ 143 економије широм света и то кроз анализу примене мера које се односе на имплементацију одредби Споразума о олакшању трговине Светске трговинске организације (СТО). На основу информација из упитника експерти УН врше евалуацију оствареног напретка у појединачним зем</w:t>
      </w:r>
      <w:r>
        <w:rPr>
          <w:rFonts w:ascii="Times New Roman" w:hAnsi="Times New Roman" w:cs="Times New Roman"/>
          <w:sz w:val="16"/>
          <w:szCs w:val="16"/>
          <w:lang w:val="sr-Cyrl-RS"/>
        </w:rPr>
        <w:t>љ</w:t>
      </w:r>
      <w:r w:rsidRPr="00A63E92">
        <w:rPr>
          <w:rFonts w:ascii="Times New Roman" w:hAnsi="Times New Roman" w:cs="Times New Roman"/>
          <w:sz w:val="16"/>
          <w:szCs w:val="16"/>
        </w:rPr>
        <w:t>ама.</w:t>
      </w:r>
    </w:p>
  </w:footnote>
  <w:footnote w:id="81">
    <w:p w14:paraId="1A589264" w14:textId="77777777" w:rsidR="00B27103" w:rsidRPr="003F1FDD" w:rsidRDefault="00B27103" w:rsidP="003F1FDD">
      <w:pPr>
        <w:pStyle w:val="FootnoteText"/>
        <w:spacing w:after="0"/>
        <w:ind w:firstLine="0"/>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МГСИ, </w:t>
      </w:r>
      <w:hyperlink r:id="rId24" w:history="1">
        <w:r w:rsidRPr="003F1FDD">
          <w:rPr>
            <w:rFonts w:ascii="Times New Roman" w:hAnsi="Times New Roman" w:cs="Times New Roman"/>
            <w:color w:val="0070C0"/>
            <w:sz w:val="16"/>
            <w:szCs w:val="16"/>
            <w:u w:val="single"/>
          </w:rPr>
          <w:t>https://www.mgsi.gov.rs/cir/aktuelnosti/momirovitsh-digitalizacijom-rada-rgz-i-jachanjem-kadrovskih-kapaciteta-do-efikasnijeg</w:t>
        </w:r>
      </w:hyperlink>
      <w:r w:rsidRPr="003F1FDD">
        <w:rPr>
          <w:rFonts w:ascii="Times New Roman" w:hAnsi="Times New Roman" w:cs="Times New Roman"/>
          <w:color w:val="0070C0"/>
          <w:sz w:val="16"/>
          <w:szCs w:val="16"/>
        </w:rPr>
        <w:t xml:space="preserve"> </w:t>
      </w:r>
      <w:r w:rsidRPr="003F1FDD">
        <w:rPr>
          <w:rFonts w:ascii="Times New Roman" w:hAnsi="Times New Roman" w:cs="Times New Roman"/>
          <w:color w:val="0070C0"/>
          <w:sz w:val="16"/>
          <w:szCs w:val="16"/>
          <w:lang w:val="sr-Cyrl-RS"/>
        </w:rPr>
        <w:t xml:space="preserve"> </w:t>
      </w:r>
    </w:p>
  </w:footnote>
  <w:footnote w:id="82">
    <w:p w14:paraId="52F4B66E" w14:textId="5495BB7D"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w:t>
      </w:r>
      <w:r>
        <w:rPr>
          <w:rFonts w:ascii="Times New Roman" w:hAnsi="Times New Roman" w:cs="Times New Roman"/>
          <w:sz w:val="16"/>
          <w:szCs w:val="16"/>
          <w:lang w:val="sr-Cyrl-RS"/>
        </w:rPr>
        <w:t xml:space="preserve">ЕК </w:t>
      </w:r>
      <w:r w:rsidRPr="003F1FDD">
        <w:rPr>
          <w:rFonts w:ascii="Times New Roman" w:hAnsi="Times New Roman" w:cs="Times New Roman"/>
          <w:sz w:val="16"/>
          <w:szCs w:val="16"/>
        </w:rPr>
        <w:t>Извештај о Србиј</w:t>
      </w:r>
      <w:r>
        <w:rPr>
          <w:rFonts w:ascii="Times New Roman" w:hAnsi="Times New Roman" w:cs="Times New Roman"/>
          <w:sz w:val="16"/>
          <w:szCs w:val="16"/>
          <w:lang w:val="sr-Cyrl-RS"/>
        </w:rPr>
        <w:t>и</w:t>
      </w:r>
      <w:r w:rsidRPr="003F1FDD">
        <w:rPr>
          <w:rFonts w:ascii="Times New Roman" w:hAnsi="Times New Roman" w:cs="Times New Roman"/>
          <w:sz w:val="16"/>
          <w:szCs w:val="16"/>
        </w:rPr>
        <w:t xml:space="preserve"> 2020. године</w:t>
      </w:r>
    </w:p>
  </w:footnote>
  <w:footnote w:id="83">
    <w:p w14:paraId="11078B55"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МГСИ, </w:t>
      </w:r>
      <w:hyperlink r:id="rId25" w:history="1">
        <w:r w:rsidRPr="003F1FDD">
          <w:rPr>
            <w:rFonts w:ascii="Times New Roman" w:hAnsi="Times New Roman" w:cs="Times New Roman"/>
            <w:color w:val="0070C0"/>
            <w:sz w:val="16"/>
            <w:szCs w:val="16"/>
          </w:rPr>
          <w:t>https://www.mgsi.gov.rs/cir/aktuelnosti/momirovitsh-najznachajniji-projekat-izgradnje-komunalne-infrastrukture-u-srbiji</w:t>
        </w:r>
      </w:hyperlink>
      <w:r w:rsidRPr="003F1FDD">
        <w:rPr>
          <w:rFonts w:ascii="Times New Roman" w:hAnsi="Times New Roman" w:cs="Times New Roman"/>
          <w:sz w:val="16"/>
          <w:szCs w:val="16"/>
          <w:lang w:val="sr-Cyrl-RS"/>
        </w:rPr>
        <w:t xml:space="preserve"> </w:t>
      </w:r>
    </w:p>
  </w:footnote>
  <w:footnote w:id="84">
    <w:p w14:paraId="6978E889" w14:textId="22E80BBD" w:rsidR="00B27103" w:rsidRPr="003F1FDD" w:rsidRDefault="00B27103" w:rsidP="003F1FDD">
      <w:pPr>
        <w:pStyle w:val="FootnoteText"/>
        <w:spacing w:after="0"/>
        <w:ind w:firstLine="0"/>
        <w:jc w:val="left"/>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Годишњи извештај о наплати путарине ЈП ,,Путеви Србије“, </w:t>
      </w:r>
      <w:hyperlink r:id="rId26" w:history="1">
        <w:r w:rsidRPr="003F1FDD">
          <w:rPr>
            <w:rFonts w:ascii="Times New Roman" w:hAnsi="Times New Roman" w:cs="Times New Roman"/>
            <w:sz w:val="16"/>
            <w:szCs w:val="16"/>
          </w:rPr>
          <w:t>https://www.putevi-srbije.rs/images/pdf/suiss/UISS_godisnji_izvestaj_2020.pdf</w:t>
        </w:r>
      </w:hyperlink>
      <w:r>
        <w:rPr>
          <w:rFonts w:ascii="Times New Roman" w:hAnsi="Times New Roman" w:cs="Times New Roman"/>
          <w:sz w:val="16"/>
          <w:szCs w:val="16"/>
        </w:rPr>
        <w:t xml:space="preserve"> </w:t>
      </w:r>
    </w:p>
  </w:footnote>
  <w:footnote w:id="85">
    <w:p w14:paraId="5E7DB37F"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27" w:history="1">
        <w:r w:rsidRPr="003F1FDD">
          <w:rPr>
            <w:rFonts w:ascii="Times New Roman" w:hAnsi="Times New Roman" w:cs="Times New Roman"/>
            <w:color w:val="2F5496" w:themeColor="accent5" w:themeShade="BF"/>
            <w:sz w:val="16"/>
            <w:szCs w:val="16"/>
            <w:u w:val="single"/>
          </w:rPr>
          <w:t>https://publikacije.stat.gov.rs/G2021/Pdf/G20211166.pdf</w:t>
        </w:r>
      </w:hyperlink>
    </w:p>
  </w:footnote>
  <w:footnote w:id="86">
    <w:p w14:paraId="175C0647"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28" w:history="1">
        <w:r w:rsidRPr="003F1FDD">
          <w:rPr>
            <w:rFonts w:ascii="Times New Roman" w:hAnsi="Times New Roman" w:cs="Times New Roman"/>
            <w:color w:val="2F5496" w:themeColor="accent5" w:themeShade="BF"/>
            <w:sz w:val="16"/>
            <w:szCs w:val="16"/>
            <w:u w:val="single"/>
          </w:rPr>
          <w:t>https://publikacije.stat.gov.rs/G2021/Pdf/G20211146.pdf</w:t>
        </w:r>
      </w:hyperlink>
      <w:r w:rsidRPr="003F1FDD">
        <w:rPr>
          <w:rFonts w:ascii="Times New Roman" w:hAnsi="Times New Roman" w:cs="Times New Roman"/>
          <w:color w:val="2F5496" w:themeColor="accent5" w:themeShade="BF"/>
          <w:sz w:val="16"/>
          <w:szCs w:val="16"/>
        </w:rPr>
        <w:t xml:space="preserve"> </w:t>
      </w:r>
    </w:p>
  </w:footnote>
  <w:footnote w:id="87">
    <w:p w14:paraId="40697DED" w14:textId="77777777" w:rsidR="00B27103" w:rsidRPr="003F1FDD" w:rsidRDefault="00B27103" w:rsidP="003F1FDD">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Извештај о регулисању тржишта железничких услуга за 2020. годину, </w:t>
      </w:r>
      <w:hyperlink r:id="rId29" w:history="1">
        <w:r w:rsidRPr="003F1FDD">
          <w:rPr>
            <w:rFonts w:ascii="Times New Roman" w:hAnsi="Times New Roman" w:cs="Times New Roman"/>
            <w:color w:val="2F5496" w:themeColor="accent5" w:themeShade="BF"/>
            <w:sz w:val="16"/>
            <w:szCs w:val="16"/>
            <w:u w:val="single"/>
          </w:rPr>
          <w:t>http://www.raildir.gov.rs/doc/izvestaji/Izvestaj%20_o_regulisanju_trzista_zeleznickih_usluga_za_2020_godinu.pdf</w:t>
        </w:r>
      </w:hyperlink>
      <w:r w:rsidRPr="003F1FDD">
        <w:rPr>
          <w:rFonts w:ascii="Times New Roman" w:hAnsi="Times New Roman" w:cs="Times New Roman"/>
          <w:color w:val="2F5496" w:themeColor="accent5" w:themeShade="BF"/>
          <w:sz w:val="16"/>
          <w:szCs w:val="16"/>
        </w:rPr>
        <w:t xml:space="preserve"> </w:t>
      </w:r>
    </w:p>
  </w:footnote>
  <w:footnote w:id="88">
    <w:p w14:paraId="2A10C66A"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30" w:history="1">
        <w:r w:rsidRPr="003F1FDD">
          <w:rPr>
            <w:rFonts w:ascii="Times New Roman" w:hAnsi="Times New Roman" w:cs="Times New Roman"/>
            <w:color w:val="2F5496" w:themeColor="accent5" w:themeShade="BF"/>
            <w:sz w:val="16"/>
            <w:szCs w:val="16"/>
            <w:u w:val="single"/>
          </w:rPr>
          <w:t>https://publikacije.stat.gov.rs/G2021/Pdf/G20211166.pdf</w:t>
        </w:r>
      </w:hyperlink>
      <w:r w:rsidRPr="003F1FDD">
        <w:rPr>
          <w:rFonts w:ascii="Times New Roman" w:hAnsi="Times New Roman" w:cs="Times New Roman"/>
          <w:color w:val="2F5496" w:themeColor="accent5" w:themeShade="BF"/>
          <w:sz w:val="16"/>
          <w:szCs w:val="16"/>
        </w:rPr>
        <w:t xml:space="preserve"> </w:t>
      </w:r>
    </w:p>
  </w:footnote>
  <w:footnote w:id="89">
    <w:p w14:paraId="609897C3" w14:textId="77777777" w:rsidR="00B27103" w:rsidRPr="003F1FDD" w:rsidRDefault="00B27103" w:rsidP="003F1FDD">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Извештај о регулисању тржишта железничких услуга за 2020. годину, </w:t>
      </w:r>
      <w:hyperlink r:id="rId31" w:history="1">
        <w:r w:rsidRPr="003F1FDD">
          <w:rPr>
            <w:rFonts w:ascii="Times New Roman" w:hAnsi="Times New Roman" w:cs="Times New Roman"/>
            <w:color w:val="2F5496" w:themeColor="accent5" w:themeShade="BF"/>
            <w:sz w:val="16"/>
            <w:szCs w:val="16"/>
            <w:u w:val="single"/>
          </w:rPr>
          <w:t>http://www.raildir.gov.rs/doc/izvestaji/Izvestaj%20_o_regulisanju_trzista_zeleznickih_usluga_za_2020_godinu.pdf</w:t>
        </w:r>
      </w:hyperlink>
    </w:p>
  </w:footnote>
  <w:footnote w:id="90">
    <w:p w14:paraId="59030A13" w14:textId="77777777" w:rsidR="00B27103" w:rsidRPr="003F1FDD" w:rsidRDefault="00B27103" w:rsidP="003F1FDD">
      <w:pPr>
        <w:pStyle w:val="FootnoteText"/>
        <w:spacing w:after="0"/>
        <w:ind w:firstLine="0"/>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vertAlign w:val="superscript"/>
        </w:rPr>
        <w:t xml:space="preserve"> </w:t>
      </w:r>
      <w:r w:rsidRPr="003F1FDD">
        <w:rPr>
          <w:rFonts w:ascii="Times New Roman" w:hAnsi="Times New Roman" w:cs="Times New Roman"/>
          <w:sz w:val="16"/>
          <w:szCs w:val="16"/>
        </w:rPr>
        <w:t xml:space="preserve">Инфраструктура железнице Србије а.д., </w:t>
      </w:r>
      <w:hyperlink r:id="rId32" w:history="1">
        <w:r w:rsidRPr="003F1FDD">
          <w:rPr>
            <w:rFonts w:ascii="Times New Roman" w:hAnsi="Times New Roman" w:cs="Times New Roman"/>
            <w:color w:val="2F5496" w:themeColor="accent5" w:themeShade="BF"/>
            <w:sz w:val="16"/>
            <w:szCs w:val="16"/>
            <w:u w:val="single"/>
          </w:rPr>
          <w:t>https://infrazs.rs/2021/07/pocelo-uklanjanje-starih-sina-u-okviru-pripremnih-radova-i-uredjenja-gradilista-za-pocetak-rekonstrukcije-pruge-subotica-horgos/2/</w:t>
        </w:r>
      </w:hyperlink>
      <w:r w:rsidRPr="003F1FDD">
        <w:rPr>
          <w:rFonts w:ascii="Times New Roman" w:hAnsi="Times New Roman" w:cs="Times New Roman"/>
          <w:color w:val="2F5496" w:themeColor="accent5" w:themeShade="BF"/>
          <w:sz w:val="16"/>
          <w:szCs w:val="16"/>
          <w:lang w:val="sr-Cyrl-RS"/>
        </w:rPr>
        <w:t xml:space="preserve"> </w:t>
      </w:r>
    </w:p>
  </w:footnote>
  <w:footnote w:id="91">
    <w:p w14:paraId="64A66CDE"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vertAlign w:val="superscript"/>
        </w:rPr>
        <w:t xml:space="preserve"> </w:t>
      </w:r>
      <w:r w:rsidRPr="003F1FDD">
        <w:rPr>
          <w:rFonts w:ascii="Times New Roman" w:hAnsi="Times New Roman" w:cs="Times New Roman"/>
          <w:sz w:val="16"/>
          <w:szCs w:val="16"/>
        </w:rPr>
        <w:t xml:space="preserve">Инфраструктура железнице Србије а.д., </w:t>
      </w:r>
      <w:hyperlink r:id="rId33" w:history="1">
        <w:r w:rsidRPr="003F1FDD">
          <w:rPr>
            <w:rFonts w:ascii="Times New Roman" w:hAnsi="Times New Roman" w:cs="Times New Roman"/>
            <w:color w:val="2F5496" w:themeColor="accent5" w:themeShade="BF"/>
            <w:sz w:val="16"/>
            <w:szCs w:val="16"/>
            <w:u w:val="single"/>
          </w:rPr>
          <w:t>https://infrazs.rs/2021/07/objavljeno-obavestenje-o-novim-projektima-modernizacije-zeleznice-vrednim-102-miliona-evra/2/</w:t>
        </w:r>
      </w:hyperlink>
      <w:r w:rsidRPr="003F1FDD">
        <w:rPr>
          <w:rFonts w:ascii="Times New Roman" w:hAnsi="Times New Roman" w:cs="Times New Roman"/>
          <w:color w:val="2F5496" w:themeColor="accent5" w:themeShade="BF"/>
          <w:sz w:val="16"/>
          <w:szCs w:val="16"/>
          <w:u w:val="single"/>
        </w:rPr>
        <w:t xml:space="preserve"> </w:t>
      </w:r>
    </w:p>
  </w:footnote>
  <w:footnote w:id="92">
    <w:p w14:paraId="5FAB650D" w14:textId="77777777" w:rsidR="00B27103" w:rsidRPr="0045367E" w:rsidRDefault="00B27103" w:rsidP="002B64C7">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34" w:history="1">
        <w:r w:rsidRPr="003F1FDD">
          <w:rPr>
            <w:rFonts w:ascii="Times New Roman" w:hAnsi="Times New Roman" w:cs="Times New Roman"/>
            <w:color w:val="2F5496" w:themeColor="accent5" w:themeShade="BF"/>
            <w:sz w:val="16"/>
            <w:szCs w:val="16"/>
            <w:u w:val="single"/>
          </w:rPr>
          <w:t>https://www.stat.gov.rs/sr-latn/vesti/20210312-registrovana-drumska-motorna-i-prikljucna-vozila-i-saobracajne-nezgode-na-putevima-2020/</w:t>
        </w:r>
      </w:hyperlink>
    </w:p>
  </w:footnote>
  <w:footnote w:id="93">
    <w:p w14:paraId="4D508CD9" w14:textId="77777777" w:rsidR="00B27103" w:rsidRPr="0045367E" w:rsidRDefault="00B27103" w:rsidP="002B64C7">
      <w:pPr>
        <w:pStyle w:val="FootnoteText"/>
        <w:spacing w:after="0"/>
        <w:ind w:firstLine="0"/>
        <w:rPr>
          <w:rFonts w:ascii="Times New Roman" w:hAnsi="Times New Roman" w:cs="Times New Roman"/>
          <w:color w:val="2F5496" w:themeColor="accent5" w:themeShade="BF"/>
          <w:sz w:val="16"/>
          <w:szCs w:val="16"/>
          <w:u w:val="single"/>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Агенција за управљање лукама, </w:t>
      </w:r>
      <w:hyperlink r:id="rId35" w:history="1">
        <w:r w:rsidRPr="0045367E">
          <w:rPr>
            <w:rFonts w:ascii="Times New Roman" w:hAnsi="Times New Roman" w:cs="Times New Roman"/>
            <w:color w:val="2F5496" w:themeColor="accent5" w:themeShade="BF"/>
            <w:sz w:val="16"/>
            <w:szCs w:val="16"/>
            <w:u w:val="single"/>
          </w:rPr>
          <w:t>https://www.aul.gov.rs/na-rekama-u-srbiji-pretovareno-15-miliona-tona-tereta</w:t>
        </w:r>
      </w:hyperlink>
      <w:r w:rsidRPr="0045367E">
        <w:rPr>
          <w:rFonts w:ascii="Times New Roman" w:hAnsi="Times New Roman" w:cs="Times New Roman"/>
          <w:color w:val="2F5496" w:themeColor="accent5" w:themeShade="BF"/>
          <w:sz w:val="16"/>
          <w:szCs w:val="16"/>
          <w:u w:val="single"/>
          <w:lang w:val="sr-Cyrl-RS"/>
        </w:rPr>
        <w:t xml:space="preserve"> </w:t>
      </w:r>
    </w:p>
  </w:footnote>
  <w:footnote w:id="94">
    <w:p w14:paraId="2638349B" w14:textId="77777777" w:rsidR="00B27103" w:rsidRPr="0045367E" w:rsidRDefault="00B27103" w:rsidP="002B64C7">
      <w:pPr>
        <w:pStyle w:val="FootnoteText"/>
        <w:ind w:firstLine="0"/>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vertAlign w:val="superscript"/>
        </w:rPr>
        <w:t xml:space="preserve"> </w:t>
      </w:r>
      <w:r w:rsidRPr="0045367E">
        <w:rPr>
          <w:rFonts w:ascii="Times New Roman" w:hAnsi="Times New Roman" w:cs="Times New Roman"/>
          <w:sz w:val="16"/>
          <w:szCs w:val="16"/>
        </w:rPr>
        <w:t xml:space="preserve">Агенција за управљање лукама, </w:t>
      </w:r>
      <w:hyperlink r:id="rId36" w:history="1">
        <w:r w:rsidRPr="0045367E">
          <w:rPr>
            <w:rFonts w:ascii="Times New Roman" w:hAnsi="Times New Roman" w:cs="Times New Roman"/>
            <w:color w:val="2F5496" w:themeColor="accent5" w:themeShade="BF"/>
            <w:sz w:val="16"/>
            <w:szCs w:val="16"/>
            <w:u w:val="single"/>
          </w:rPr>
          <w:t>https://www.aul.gov.rs/porast-pretovara-tereta-na-rekama-u-srbiji</w:t>
        </w:r>
      </w:hyperlink>
      <w:r w:rsidRPr="0045367E">
        <w:rPr>
          <w:rFonts w:ascii="Times New Roman" w:hAnsi="Times New Roman" w:cs="Times New Roman"/>
          <w:color w:val="2F5496" w:themeColor="accent5" w:themeShade="BF"/>
          <w:sz w:val="16"/>
          <w:szCs w:val="16"/>
        </w:rPr>
        <w:t xml:space="preserve"> </w:t>
      </w:r>
    </w:p>
  </w:footnote>
  <w:footnote w:id="95">
    <w:p w14:paraId="5546D4A1" w14:textId="77777777" w:rsidR="00B27103" w:rsidRPr="0045367E" w:rsidRDefault="00B27103" w:rsidP="002B64C7">
      <w:pPr>
        <w:pStyle w:val="FootnoteText"/>
        <w:spacing w:after="0"/>
        <w:ind w:firstLine="0"/>
        <w:rPr>
          <w:rFonts w:ascii="Times New Roman" w:hAnsi="Times New Roman" w:cs="Times New Roman"/>
          <w:color w:val="2F5496" w:themeColor="accent5" w:themeShade="BF"/>
          <w:sz w:val="16"/>
          <w:szCs w:val="16"/>
          <w:u w:val="single"/>
        </w:rPr>
      </w:pPr>
      <w:r w:rsidRPr="007B5945">
        <w:rPr>
          <w:rFonts w:ascii="Times New Roman" w:hAnsi="Times New Roman" w:cs="Times New Roman"/>
          <w:sz w:val="16"/>
          <w:szCs w:val="16"/>
          <w:vertAlign w:val="superscript"/>
        </w:rPr>
        <w:footnoteRef/>
      </w:r>
      <w:r w:rsidRPr="007B5945">
        <w:rPr>
          <w:rFonts w:ascii="Times New Roman" w:hAnsi="Times New Roman" w:cs="Times New Roman"/>
          <w:sz w:val="16"/>
          <w:szCs w:val="16"/>
        </w:rPr>
        <w:t xml:space="preserve"> МГСИ, </w:t>
      </w:r>
      <w:hyperlink r:id="rId37" w:history="1">
        <w:r w:rsidRPr="007B5945">
          <w:rPr>
            <w:rFonts w:ascii="Times New Roman" w:hAnsi="Times New Roman" w:cs="Times New Roman"/>
            <w:color w:val="2F5496" w:themeColor="accent5" w:themeShade="BF"/>
            <w:sz w:val="16"/>
            <w:szCs w:val="16"/>
            <w:u w:val="single"/>
          </w:rPr>
          <w:t>https://www.mgsi.gov.rs/cir/aktuelnosti/otvoren-rekonstruisani-rechni-putnichki-terminal-u-novom-sadu</w:t>
        </w:r>
      </w:hyperlink>
      <w:r w:rsidRPr="0045367E">
        <w:rPr>
          <w:rFonts w:ascii="Times New Roman" w:hAnsi="Times New Roman" w:cs="Times New Roman"/>
          <w:color w:val="2F5496" w:themeColor="accent5" w:themeShade="BF"/>
          <w:sz w:val="16"/>
          <w:szCs w:val="16"/>
          <w:u w:val="single"/>
        </w:rPr>
        <w:t xml:space="preserve"> </w:t>
      </w:r>
    </w:p>
  </w:footnote>
  <w:footnote w:id="96">
    <w:p w14:paraId="195818C8" w14:textId="77777777" w:rsidR="00B27103" w:rsidRPr="0045367E" w:rsidRDefault="00B27103" w:rsidP="002B64C7">
      <w:pPr>
        <w:pStyle w:val="FootnoteText"/>
        <w:spacing w:after="0"/>
        <w:ind w:firstLine="0"/>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Агенција за управљање лукама, </w:t>
      </w:r>
      <w:hyperlink r:id="rId38" w:history="1">
        <w:r w:rsidRPr="0045367E">
          <w:rPr>
            <w:rFonts w:ascii="Times New Roman" w:hAnsi="Times New Roman" w:cs="Times New Roman"/>
            <w:color w:val="2F5496" w:themeColor="accent5" w:themeShade="BF"/>
            <w:sz w:val="16"/>
            <w:szCs w:val="16"/>
            <w:u w:val="single"/>
          </w:rPr>
          <w:t>https://www.aul.gov.rs/medjunarodno-putnicko-pristaniste-kostolac-dobilo-operatera</w:t>
        </w:r>
      </w:hyperlink>
      <w:r w:rsidRPr="0045367E">
        <w:rPr>
          <w:rFonts w:ascii="Times New Roman" w:hAnsi="Times New Roman" w:cs="Times New Roman"/>
          <w:color w:val="2F5496" w:themeColor="accent5" w:themeShade="BF"/>
          <w:sz w:val="16"/>
          <w:szCs w:val="16"/>
        </w:rPr>
        <w:t xml:space="preserve"> </w:t>
      </w:r>
    </w:p>
  </w:footnote>
  <w:footnote w:id="97">
    <w:p w14:paraId="2673443C" w14:textId="77777777" w:rsidR="00B27103" w:rsidRPr="0045367E" w:rsidRDefault="00B27103" w:rsidP="002B64C7">
      <w:pPr>
        <w:pStyle w:val="FootnoteText"/>
        <w:spacing w:after="0"/>
        <w:ind w:firstLine="0"/>
        <w:jc w:val="left"/>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Аеродром ,,Никола Тесла“, Извештај о активностима за 2020. годину, </w:t>
      </w:r>
      <w:hyperlink r:id="rId39" w:history="1">
        <w:r w:rsidRPr="0045367E">
          <w:rPr>
            <w:rFonts w:ascii="Times New Roman" w:hAnsi="Times New Roman" w:cs="Times New Roman"/>
            <w:color w:val="2F5496" w:themeColor="accent5" w:themeShade="BF"/>
            <w:sz w:val="16"/>
            <w:szCs w:val="16"/>
            <w:u w:val="single"/>
          </w:rPr>
          <w:t>https://beg.aero/sites/belgrade/files/pdf/beg_izvestaj_o_aktivnostima_2020.pdf</w:t>
        </w:r>
      </w:hyperlink>
      <w:r w:rsidRPr="0045367E">
        <w:rPr>
          <w:rFonts w:ascii="Times New Roman" w:hAnsi="Times New Roman" w:cs="Times New Roman"/>
          <w:color w:val="2F5496" w:themeColor="accent5" w:themeShade="BF"/>
          <w:sz w:val="16"/>
          <w:szCs w:val="16"/>
        </w:rPr>
        <w:t xml:space="preserve"> </w:t>
      </w:r>
    </w:p>
  </w:footnote>
  <w:footnote w:id="98">
    <w:p w14:paraId="2F0D6AD2" w14:textId="77777777" w:rsidR="00B27103" w:rsidRPr="0045367E" w:rsidRDefault="00B27103" w:rsidP="002B64C7">
      <w:pPr>
        <w:pStyle w:val="FootnoteText"/>
        <w:spacing w:after="0"/>
        <w:ind w:firstLine="0"/>
        <w:rPr>
          <w:rFonts w:ascii="Times New Roman" w:hAnsi="Times New Roman" w:cs="Times New Roman"/>
          <w:sz w:val="16"/>
          <w:szCs w:val="16"/>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Аеродром ,,Константин Велики“ Ниш, </w:t>
      </w:r>
      <w:hyperlink r:id="rId40" w:history="1">
        <w:r w:rsidRPr="0045367E">
          <w:rPr>
            <w:rFonts w:ascii="Times New Roman" w:hAnsi="Times New Roman" w:cs="Times New Roman"/>
            <w:color w:val="2F5496" w:themeColor="accent5" w:themeShade="BF"/>
            <w:sz w:val="16"/>
            <w:szCs w:val="16"/>
            <w:u w:val="single"/>
          </w:rPr>
          <w:t>https://nis-airport.com/statistika/</w:t>
        </w:r>
      </w:hyperlink>
      <w:r w:rsidRPr="0045367E">
        <w:rPr>
          <w:rFonts w:ascii="Times New Roman" w:hAnsi="Times New Roman" w:cs="Times New Roman"/>
          <w:color w:val="2F5496" w:themeColor="accent5" w:themeShade="BF"/>
          <w:sz w:val="16"/>
          <w:szCs w:val="16"/>
          <w:lang w:val="sr-Cyrl-RS"/>
        </w:rPr>
        <w:t xml:space="preserve"> </w:t>
      </w:r>
    </w:p>
  </w:footnote>
  <w:footnote w:id="99">
    <w:p w14:paraId="30C7B688" w14:textId="77777777" w:rsidR="00B27103" w:rsidRPr="0045367E" w:rsidRDefault="00B27103" w:rsidP="006B76C3">
      <w:pPr>
        <w:pStyle w:val="FootnoteText"/>
        <w:spacing w:after="0"/>
        <w:ind w:firstLine="0"/>
        <w:rPr>
          <w:rFonts w:ascii="Times New Roman" w:hAnsi="Times New Roman" w:cs="Times New Roman"/>
          <w:sz w:val="16"/>
          <w:szCs w:val="16"/>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МГСИ, </w:t>
      </w:r>
      <w:hyperlink r:id="rId41" w:history="1">
        <w:r w:rsidRPr="0045367E">
          <w:rPr>
            <w:rFonts w:ascii="Times New Roman" w:hAnsi="Times New Roman" w:cs="Times New Roman"/>
            <w:color w:val="2F5496" w:themeColor="accent5" w:themeShade="BF"/>
            <w:sz w:val="16"/>
            <w:szCs w:val="16"/>
            <w:u w:val="single"/>
          </w:rPr>
          <w:t>https://www.mgsi.gov.rs/cir/aktuelnosti/momirovitsh-uz-subvencije-sachuvatshemo-radna-mesta-autobuskim-prevoznicima</w:t>
        </w:r>
      </w:hyperlink>
      <w:r w:rsidRPr="0045367E">
        <w:rPr>
          <w:rFonts w:ascii="Times New Roman" w:hAnsi="Times New Roman" w:cs="Times New Roman"/>
          <w:color w:val="2F5496" w:themeColor="accent5" w:themeShade="BF"/>
          <w:sz w:val="16"/>
          <w:szCs w:val="16"/>
          <w:lang w:val="sr-Cyrl-RS"/>
        </w:rPr>
        <w:t xml:space="preserve"> </w:t>
      </w:r>
    </w:p>
  </w:footnote>
  <w:footnote w:id="100">
    <w:p w14:paraId="78B25ABE" w14:textId="77777777" w:rsidR="00B27103" w:rsidRPr="0045367E" w:rsidRDefault="00B27103" w:rsidP="002B64C7">
      <w:pPr>
        <w:pStyle w:val="FootnoteText"/>
        <w:spacing w:after="0"/>
        <w:ind w:firstLine="0"/>
        <w:rPr>
          <w:rFonts w:ascii="Times New Roman" w:hAnsi="Times New Roman" w:cs="Times New Roman"/>
          <w:noProof/>
          <w:sz w:val="16"/>
          <w:szCs w:val="16"/>
          <w:lang w:val="sr-Cyrl-RS"/>
        </w:rPr>
      </w:pPr>
      <w:r w:rsidRPr="0045367E">
        <w:rPr>
          <w:rStyle w:val="FootnoteReference"/>
          <w:rFonts w:ascii="Times New Roman" w:hAnsi="Times New Roman" w:cs="Times New Roman"/>
          <w:noProof/>
          <w:sz w:val="16"/>
          <w:szCs w:val="16"/>
          <w:lang w:val="sr-Cyrl-RS"/>
        </w:rPr>
        <w:footnoteRef/>
      </w:r>
      <w:r w:rsidRPr="0045367E">
        <w:rPr>
          <w:rFonts w:ascii="Times New Roman" w:hAnsi="Times New Roman" w:cs="Times New Roman"/>
          <w:noProof/>
          <w:sz w:val="16"/>
          <w:szCs w:val="16"/>
          <w:lang w:val="sr-Cyrl-RS"/>
        </w:rPr>
        <w:t xml:space="preserve"> РСЗ, Анкета о радној снази, 2020, обрада РСЈП </w:t>
      </w:r>
      <w:hyperlink r:id="rId42" w:history="1">
        <w:r w:rsidRPr="0045367E">
          <w:rPr>
            <w:rStyle w:val="Hyperlink"/>
            <w:rFonts w:ascii="Times New Roman" w:eastAsia="MS PGothic" w:hAnsi="Times New Roman" w:cs="Times New Roman"/>
            <w:noProof/>
            <w:sz w:val="16"/>
            <w:szCs w:val="16"/>
            <w:lang w:val="sr-Cyrl-RS"/>
          </w:rPr>
          <w:t>https://publikacije.stat.gov.rs/G2021/Pdf/G20215671.pdf</w:t>
        </w:r>
      </w:hyperlink>
    </w:p>
  </w:footnote>
  <w:footnote w:id="101">
    <w:p w14:paraId="6D5014F8" w14:textId="77777777" w:rsidR="00B27103" w:rsidRPr="007F747D" w:rsidRDefault="00B27103"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РСЗ Анкета о структури пољопривредних газдинстава, 2018. </w:t>
      </w:r>
      <w:hyperlink r:id="rId43" w:history="1">
        <w:r w:rsidRPr="007F747D">
          <w:rPr>
            <w:rStyle w:val="Hyperlink"/>
            <w:rFonts w:ascii="Times New Roman" w:eastAsia="MS PGothic" w:hAnsi="Times New Roman" w:cs="Times New Roman"/>
            <w:noProof/>
            <w:sz w:val="16"/>
            <w:szCs w:val="16"/>
            <w:lang w:val="sr-Cyrl-RS"/>
          </w:rPr>
          <w:t>https://publikacije.stat.gov.rs/G2019/Pdf/G20196002.pdf</w:t>
        </w:r>
      </w:hyperlink>
      <w:r w:rsidRPr="007F747D">
        <w:rPr>
          <w:rFonts w:ascii="Times New Roman" w:hAnsi="Times New Roman" w:cs="Times New Roman"/>
          <w:noProof/>
          <w:sz w:val="16"/>
          <w:szCs w:val="16"/>
          <w:lang w:val="sr-Cyrl-RS"/>
        </w:rPr>
        <w:t xml:space="preserve"> </w:t>
      </w:r>
    </w:p>
  </w:footnote>
  <w:footnote w:id="102">
    <w:p w14:paraId="3441684E" w14:textId="77777777" w:rsidR="00B27103" w:rsidRPr="007F747D" w:rsidRDefault="00B27103"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Извор: </w:t>
      </w:r>
      <w:hyperlink r:id="rId44" w:history="1">
        <w:r w:rsidRPr="007F747D">
          <w:rPr>
            <w:rStyle w:val="Hyperlink"/>
            <w:rFonts w:ascii="Times New Roman" w:eastAsia="MS PGothic" w:hAnsi="Times New Roman" w:cs="Times New Roman"/>
            <w:noProof/>
            <w:sz w:val="16"/>
            <w:szCs w:val="16"/>
            <w:lang w:val="sr-Cyrl-RS"/>
          </w:rPr>
          <w:t>https://naled.rs/htdocs/Files/01428/Komasacija-vodic-web.pdf</w:t>
        </w:r>
      </w:hyperlink>
    </w:p>
  </w:footnote>
  <w:footnote w:id="103">
    <w:p w14:paraId="4C4B35B4"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РЗС, Структура пољопривредних газдинстава, 2018. </w:t>
      </w:r>
      <w:hyperlink r:id="rId45" w:history="1">
        <w:r w:rsidRPr="007F747D">
          <w:rPr>
            <w:rStyle w:val="Hyperlink"/>
            <w:rFonts w:ascii="Times New Roman" w:eastAsia="MS PGothic" w:hAnsi="Times New Roman" w:cs="Times New Roman"/>
            <w:sz w:val="16"/>
            <w:szCs w:val="16"/>
            <w:lang w:val="sr-Cyrl-RS"/>
          </w:rPr>
          <w:t>https://publikacije.stat.gov.rs/G2019/Pdf/G201922002.pdf</w:t>
        </w:r>
      </w:hyperlink>
    </w:p>
  </w:footnote>
  <w:footnote w:id="104">
    <w:p w14:paraId="7C580B29" w14:textId="77777777" w:rsidR="00B27103" w:rsidRPr="007F747D" w:rsidRDefault="00B27103"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w:t>
      </w:r>
      <w:hyperlink r:id="rId46" w:history="1">
        <w:r w:rsidRPr="007F747D">
          <w:rPr>
            <w:rStyle w:val="Hyperlink"/>
            <w:rFonts w:ascii="Times New Roman" w:eastAsia="MS PGothic" w:hAnsi="Times New Roman" w:cs="Times New Roman"/>
            <w:noProof/>
            <w:sz w:val="16"/>
            <w:szCs w:val="16"/>
            <w:lang w:val="sr-Cyrl-RS"/>
          </w:rPr>
          <w:t>https://www.trezor.gov.rs/files/services/rpg/statistika/Broj%20registrovanih%20poljoprivrednih%20gazdinstava.pdf</w:t>
        </w:r>
      </w:hyperlink>
      <w:r w:rsidRPr="007F747D">
        <w:rPr>
          <w:rFonts w:ascii="Times New Roman" w:hAnsi="Times New Roman" w:cs="Times New Roman"/>
          <w:noProof/>
          <w:sz w:val="16"/>
          <w:szCs w:val="16"/>
          <w:lang w:val="sr-Cyrl-RS"/>
        </w:rPr>
        <w:t xml:space="preserve"> </w:t>
      </w:r>
    </w:p>
  </w:footnote>
  <w:footnote w:id="105">
    <w:p w14:paraId="58B11CC1" w14:textId="77777777" w:rsidR="00B27103" w:rsidRPr="005D61B3" w:rsidRDefault="00B27103" w:rsidP="00DC7F92">
      <w:pPr>
        <w:pStyle w:val="Standard"/>
        <w:jc w:val="both"/>
        <w:rPr>
          <w:rFonts w:eastAsia="Times New Roman" w:cs="Times New Roman"/>
          <w:bCs/>
          <w:sz w:val="16"/>
          <w:szCs w:val="16"/>
          <w:lang w:val="sr-Cyrl-RS"/>
        </w:rPr>
      </w:pPr>
      <w:r w:rsidRPr="005D61B3">
        <w:rPr>
          <w:rStyle w:val="FootnoteReference"/>
          <w:rFonts w:cs="Times New Roman"/>
          <w:sz w:val="16"/>
          <w:szCs w:val="16"/>
          <w:lang w:val="sr-Cyrl-RS"/>
        </w:rPr>
        <w:footnoteRef/>
      </w:r>
      <w:r w:rsidRPr="005D61B3">
        <w:rPr>
          <w:rFonts w:eastAsia="Times New Roman" w:cs="Times New Roman"/>
          <w:bCs/>
          <w:sz w:val="16"/>
          <w:szCs w:val="16"/>
          <w:lang w:val="sr-Cyrl-RS"/>
        </w:rPr>
        <w:t xml:space="preserve"> Препорука 4. ЕКОФИН Савета из маја 2019. године: „Усвојити посебне законе о алтернативним инвестиционим фондовима (investment vehicles).“</w:t>
      </w:r>
    </w:p>
  </w:footnote>
  <w:footnote w:id="106">
    <w:p w14:paraId="1DA8F181" w14:textId="77777777" w:rsidR="00B27103" w:rsidRPr="00BA3B74" w:rsidRDefault="00B27103" w:rsidP="002B64C7">
      <w:pPr>
        <w:pStyle w:val="FootnoteText"/>
        <w:spacing w:after="0"/>
        <w:ind w:firstLine="0"/>
        <w:rPr>
          <w:rFonts w:ascii="Times New Roman" w:hAnsi="Times New Roman" w:cs="Times New Roman"/>
          <w:sz w:val="16"/>
          <w:szCs w:val="16"/>
          <w:lang w:val="sr-Cyrl-RS"/>
        </w:rPr>
      </w:pPr>
      <w:r w:rsidRPr="00BA3B74">
        <w:rPr>
          <w:rStyle w:val="FootnoteReference"/>
          <w:rFonts w:ascii="Times New Roman" w:hAnsi="Times New Roman" w:cs="Times New Roman"/>
          <w:sz w:val="16"/>
          <w:szCs w:val="16"/>
        </w:rPr>
        <w:footnoteRef/>
      </w:r>
      <w:r w:rsidRPr="00BA3B74">
        <w:rPr>
          <w:rFonts w:ascii="Times New Roman" w:hAnsi="Times New Roman" w:cs="Times New Roman"/>
          <w:sz w:val="16"/>
          <w:szCs w:val="16"/>
        </w:rPr>
        <w:t xml:space="preserve"> </w:t>
      </w:r>
      <w:r w:rsidRPr="00BA3B74">
        <w:rPr>
          <w:rFonts w:ascii="Times New Roman" w:hAnsi="Times New Roman" w:cs="Times New Roman"/>
          <w:sz w:val="16"/>
          <w:szCs w:val="16"/>
          <w:lang w:val="sr-Cyrl-RS"/>
        </w:rPr>
        <w:t>З</w:t>
      </w:r>
      <w:r w:rsidRPr="00BA3B74">
        <w:rPr>
          <w:rFonts w:ascii="Times New Roman" w:hAnsi="Times New Roman" w:cs="Times New Roman"/>
          <w:sz w:val="16"/>
          <w:szCs w:val="16"/>
        </w:rPr>
        <w:t>бог великог интересовања</w:t>
      </w:r>
      <w:r w:rsidRPr="00BA3B74">
        <w:rPr>
          <w:rFonts w:ascii="Times New Roman" w:hAnsi="Times New Roman" w:cs="Times New Roman"/>
          <w:sz w:val="16"/>
          <w:szCs w:val="16"/>
          <w:lang w:val="sr-Cyrl-RS"/>
        </w:rPr>
        <w:t xml:space="preserve"> у 2020. години</w:t>
      </w:r>
      <w:r>
        <w:rPr>
          <w:rFonts w:ascii="Times New Roman" w:hAnsi="Times New Roman" w:cs="Times New Roman"/>
          <w:sz w:val="16"/>
          <w:szCs w:val="16"/>
        </w:rPr>
        <w:t xml:space="preserve"> обезбеђена</w:t>
      </w:r>
      <w:r w:rsidRPr="00BA3B74">
        <w:rPr>
          <w:rFonts w:ascii="Times New Roman" w:hAnsi="Times New Roman" w:cs="Times New Roman"/>
          <w:sz w:val="16"/>
          <w:szCs w:val="16"/>
        </w:rPr>
        <w:t xml:space="preserve"> су средства за </w:t>
      </w:r>
      <w:r>
        <w:rPr>
          <w:rFonts w:ascii="Times New Roman" w:hAnsi="Times New Roman" w:cs="Times New Roman"/>
          <w:sz w:val="16"/>
          <w:szCs w:val="16"/>
          <w:lang w:val="sr-Cyrl-RS"/>
        </w:rPr>
        <w:t>око</w:t>
      </w:r>
      <w:r w:rsidRPr="00BA3B74">
        <w:rPr>
          <w:rFonts w:ascii="Times New Roman" w:hAnsi="Times New Roman" w:cs="Times New Roman"/>
          <w:sz w:val="16"/>
          <w:szCs w:val="16"/>
        </w:rPr>
        <w:t xml:space="preserve"> 500.000 ваучера, који нису преузети због ситуације са пандемијом корона вируса</w:t>
      </w:r>
      <w:r w:rsidRPr="00BA3B74">
        <w:rPr>
          <w:rFonts w:ascii="Times New Roman" w:hAnsi="Times New Roman" w:cs="Times New Roman"/>
          <w:sz w:val="16"/>
          <w:szCs w:val="16"/>
          <w:lang w:val="sr-Cyrl-RS"/>
        </w:rPr>
        <w:t>.</w:t>
      </w:r>
    </w:p>
  </w:footnote>
  <w:footnote w:id="107">
    <w:p w14:paraId="7545B016" w14:textId="6566AFCC" w:rsidR="00B27103" w:rsidRPr="00356AC3" w:rsidRDefault="00B27103" w:rsidP="002B64C7">
      <w:pPr>
        <w:pStyle w:val="FootnoteText"/>
        <w:spacing w:after="0"/>
        <w:ind w:firstLine="0"/>
        <w:rPr>
          <w:rFonts w:ascii="Times New Roman" w:hAnsi="Times New Roman" w:cs="Times New Roman"/>
          <w:sz w:val="16"/>
          <w:szCs w:val="16"/>
          <w:lang w:val="sr-Cyrl-RS"/>
        </w:rPr>
      </w:pPr>
      <w:r w:rsidRPr="00356AC3">
        <w:rPr>
          <w:rStyle w:val="FootnoteReference"/>
          <w:rFonts w:ascii="Times New Roman" w:hAnsi="Times New Roman" w:cs="Times New Roman"/>
          <w:sz w:val="16"/>
          <w:szCs w:val="16"/>
        </w:rPr>
        <w:footnoteRef/>
      </w:r>
      <w:hyperlink r:id="rId47" w:history="1">
        <w:r w:rsidRPr="004A0BD6">
          <w:rPr>
            <w:rStyle w:val="Hyperlink"/>
            <w:rFonts w:ascii="Times New Roman" w:eastAsia="MS PGothic" w:hAnsi="Times New Roman" w:cs="Times New Roman"/>
            <w:sz w:val="16"/>
            <w:szCs w:val="16"/>
          </w:rPr>
          <w:t>https://mtt.gov.rs/download/Izve%C5%A1taj%20o%20radu%20Nacionalnog%20registra%20potro%C5%A1a%C4%8Dkih%20prigovora%20za%202020.%20godinu.pdf</w:t>
        </w:r>
      </w:hyperlink>
      <w:r w:rsidRPr="00356AC3">
        <w:rPr>
          <w:rFonts w:ascii="Times New Roman" w:hAnsi="Times New Roman" w:cs="Times New Roman"/>
          <w:sz w:val="16"/>
          <w:szCs w:val="16"/>
          <w:lang w:val="sr-Cyrl-RS"/>
        </w:rPr>
        <w:t xml:space="preserve"> </w:t>
      </w:r>
    </w:p>
  </w:footnote>
  <w:footnote w:id="108">
    <w:p w14:paraId="0D812E1D" w14:textId="77777777" w:rsidR="00B27103" w:rsidRPr="00356AC3" w:rsidRDefault="00B27103" w:rsidP="002B64C7">
      <w:pPr>
        <w:pStyle w:val="FootnoteText"/>
        <w:spacing w:after="0"/>
        <w:ind w:firstLine="0"/>
        <w:rPr>
          <w:rFonts w:ascii="Times New Roman" w:hAnsi="Times New Roman" w:cs="Times New Roman"/>
          <w:sz w:val="16"/>
          <w:szCs w:val="16"/>
          <w:lang w:val="sr-Cyrl-RS"/>
        </w:rPr>
      </w:pPr>
      <w:r w:rsidRPr="00356AC3">
        <w:rPr>
          <w:rStyle w:val="FootnoteReference"/>
          <w:rFonts w:ascii="Times New Roman" w:hAnsi="Times New Roman" w:cs="Times New Roman"/>
          <w:sz w:val="16"/>
          <w:szCs w:val="16"/>
        </w:rPr>
        <w:footnoteRef/>
      </w:r>
      <w:r w:rsidRPr="00356AC3">
        <w:rPr>
          <w:rFonts w:ascii="Times New Roman" w:hAnsi="Times New Roman" w:cs="Times New Roman"/>
          <w:sz w:val="16"/>
          <w:szCs w:val="16"/>
        </w:rPr>
        <w:t xml:space="preserve"> </w:t>
      </w:r>
      <w:r w:rsidRPr="00356AC3">
        <w:rPr>
          <w:rFonts w:ascii="Times New Roman" w:hAnsi="Times New Roman" w:cs="Times New Roman"/>
          <w:sz w:val="16"/>
          <w:szCs w:val="16"/>
          <w:lang w:val="sr-Cyrl-RS"/>
        </w:rPr>
        <w:t xml:space="preserve">НБС, Прихватна мрежа, </w:t>
      </w:r>
      <w:hyperlink r:id="rId48" w:history="1">
        <w:r w:rsidRPr="00356AC3">
          <w:rPr>
            <w:rStyle w:val="Hyperlink"/>
            <w:rFonts w:ascii="Times New Roman" w:eastAsia="MS PGothic" w:hAnsi="Times New Roman" w:cs="Times New Roman"/>
            <w:sz w:val="16"/>
            <w:szCs w:val="16"/>
            <w:lang w:val="sr-Cyrl-RS"/>
          </w:rPr>
          <w:t>https://nbs.rs/export/sites/NBS_site/documents/platni-sistem/statistika/el_novac/prihvatna_mreza.xlsx</w:t>
        </w:r>
      </w:hyperlink>
      <w:r w:rsidRPr="00356AC3">
        <w:rPr>
          <w:rFonts w:ascii="Times New Roman" w:hAnsi="Times New Roman" w:cs="Times New Roman"/>
          <w:sz w:val="16"/>
          <w:szCs w:val="16"/>
          <w:lang w:val="sr-Cyrl-RS"/>
        </w:rPr>
        <w:t xml:space="preserve"> </w:t>
      </w:r>
    </w:p>
  </w:footnote>
  <w:footnote w:id="109">
    <w:p w14:paraId="2FD2B43A" w14:textId="77777777" w:rsidR="00B27103" w:rsidRPr="00E9634B" w:rsidRDefault="00B27103" w:rsidP="008C478F">
      <w:pPr>
        <w:pStyle w:val="FootnoteText"/>
        <w:spacing w:after="0"/>
        <w:ind w:firstLine="0"/>
        <w:rPr>
          <w:rFonts w:ascii="Times New Roman" w:hAnsi="Times New Roman" w:cs="Times New Roman"/>
          <w:sz w:val="16"/>
          <w:szCs w:val="16"/>
          <w:lang w:val="sr-Cyrl-RS"/>
        </w:rPr>
      </w:pPr>
      <w:r w:rsidRPr="000E0D5F">
        <w:rPr>
          <w:rStyle w:val="FootnoteReference"/>
          <w:rFonts w:ascii="Times New Roman" w:hAnsi="Times New Roman" w:cs="Times New Roman"/>
          <w:sz w:val="16"/>
          <w:szCs w:val="16"/>
        </w:rPr>
        <w:footnoteRef/>
      </w:r>
      <w:r w:rsidRPr="000E0D5F">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Институције ИК: Министарство привреде, </w:t>
      </w:r>
      <w:r w:rsidRPr="000E0D5F">
        <w:rPr>
          <w:rFonts w:ascii="Times New Roman" w:hAnsi="Times New Roman" w:cs="Times New Roman"/>
          <w:sz w:val="16"/>
          <w:szCs w:val="16"/>
        </w:rPr>
        <w:t>Институт за стандардизацију Србије – ИСС, Акредитационо тело Србије – АТС, Дирекција за мере и драгоцене метале – ДМДМ</w:t>
      </w:r>
      <w:r>
        <w:rPr>
          <w:rFonts w:ascii="Times New Roman" w:hAnsi="Times New Roman" w:cs="Times New Roman"/>
          <w:sz w:val="16"/>
          <w:szCs w:val="16"/>
          <w:lang w:val="sr-Cyrl-RS"/>
        </w:rPr>
        <w:t>.</w:t>
      </w:r>
    </w:p>
  </w:footnote>
  <w:footnote w:id="110">
    <w:p w14:paraId="4158D68F"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lang w:val="sr-Cyrl-RS"/>
        </w:rPr>
        <w:footnoteRef/>
      </w:r>
      <w:r w:rsidRPr="00500870">
        <w:rPr>
          <w:rFonts w:ascii="Times New Roman" w:hAnsi="Times New Roman" w:cs="Times New Roman"/>
          <w:sz w:val="16"/>
          <w:szCs w:val="16"/>
          <w:lang w:val="sr-Cyrl-RS"/>
        </w:rPr>
        <w:t xml:space="preserve"> Влада РС усвојила на седници од 3. јуна 2021. године.</w:t>
      </w:r>
    </w:p>
  </w:footnote>
  <w:footnote w:id="111">
    <w:p w14:paraId="082BFC5A" w14:textId="77777777" w:rsidR="00B27103" w:rsidRPr="009F2789" w:rsidRDefault="00B27103" w:rsidP="002B64C7">
      <w:pPr>
        <w:pStyle w:val="FootnoteText"/>
        <w:spacing w:after="0"/>
        <w:ind w:firstLine="0"/>
        <w:rPr>
          <w:rFonts w:ascii="Times New Roman" w:hAnsi="Times New Roman" w:cs="Times New Roman"/>
          <w:sz w:val="16"/>
          <w:szCs w:val="16"/>
          <w:lang w:val="sr-Cyrl-RS"/>
        </w:rPr>
      </w:pPr>
      <w:r w:rsidRPr="009F2789">
        <w:rPr>
          <w:rStyle w:val="FootnoteReference"/>
          <w:rFonts w:ascii="Times New Roman" w:hAnsi="Times New Roman" w:cs="Times New Roman"/>
          <w:sz w:val="16"/>
          <w:szCs w:val="16"/>
        </w:rPr>
        <w:footnoteRef/>
      </w:r>
      <w:r w:rsidRPr="009F2789">
        <w:rPr>
          <w:rFonts w:ascii="Times New Roman" w:hAnsi="Times New Roman" w:cs="Times New Roman"/>
          <w:sz w:val="16"/>
          <w:szCs w:val="16"/>
        </w:rPr>
        <w:t xml:space="preserve"> </w:t>
      </w:r>
      <w:r w:rsidRPr="009F2789">
        <w:rPr>
          <w:rFonts w:ascii="Times New Roman" w:hAnsi="Times New Roman" w:cs="Times New Roman"/>
          <w:sz w:val="16"/>
          <w:szCs w:val="16"/>
          <w:lang w:val="sr-Cyrl-RS"/>
        </w:rPr>
        <w:t>„Службени гласник РС“, бр</w:t>
      </w:r>
      <w:r>
        <w:rPr>
          <w:rFonts w:ascii="Times New Roman" w:hAnsi="Times New Roman" w:cs="Times New Roman"/>
          <w:sz w:val="16"/>
          <w:szCs w:val="16"/>
          <w:lang w:val="sr-Cyrl-RS"/>
        </w:rPr>
        <w:t>.</w:t>
      </w:r>
      <w:r w:rsidRPr="009F2789">
        <w:rPr>
          <w:rFonts w:ascii="Times New Roman" w:hAnsi="Times New Roman" w:cs="Times New Roman"/>
          <w:sz w:val="16"/>
          <w:szCs w:val="16"/>
          <w:lang w:val="sr-Cyrl-RS"/>
        </w:rPr>
        <w:t xml:space="preserve"> 63/2021</w:t>
      </w:r>
      <w:r>
        <w:rPr>
          <w:rFonts w:ascii="Times New Roman" w:hAnsi="Times New Roman" w:cs="Times New Roman"/>
          <w:sz w:val="16"/>
          <w:szCs w:val="16"/>
          <w:lang w:val="sr-Cyrl-RS"/>
        </w:rPr>
        <w:t>.</w:t>
      </w:r>
    </w:p>
  </w:footnote>
  <w:footnote w:id="112">
    <w:p w14:paraId="1A7CB85A"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sz w:val="16"/>
          <w:szCs w:val="16"/>
          <w:lang w:val="sr-Cyrl-RS"/>
        </w:rPr>
        <w:t>Важно је нагласити да увођење средњег образовања као обавезног захтева промену у Уставу РС. Члан 71. Устава РС наводи да је основно образовање обавезно и бесплатно, док за средње образовање наводи само да је бесплатно, па је тако потребно изменити Устав у смислу навођења да је и средње образовање обавезно и бесплатно.</w:t>
      </w:r>
    </w:p>
  </w:footnote>
  <w:footnote w:id="113">
    <w:p w14:paraId="3DB91C41"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bCs w:val="0"/>
          <w:sz w:val="16"/>
          <w:szCs w:val="16"/>
          <w:lang w:val="sr-Cyrl-RS"/>
        </w:rPr>
        <w:t>Пројекат Унапређење квалитета образовања кроз увођење испита на крају средњег образовања, ИПА 2015</w:t>
      </w:r>
      <w:r>
        <w:rPr>
          <w:rFonts w:ascii="Times New Roman" w:hAnsi="Times New Roman" w:cs="Times New Roman"/>
          <w:bCs w:val="0"/>
          <w:sz w:val="16"/>
          <w:szCs w:val="16"/>
          <w:lang w:val="sr-Cyrl-RS"/>
        </w:rPr>
        <w:t>.</w:t>
      </w:r>
    </w:p>
  </w:footnote>
  <w:footnote w:id="114">
    <w:p w14:paraId="017DAF00" w14:textId="77777777" w:rsidR="00B27103" w:rsidRPr="00500870" w:rsidRDefault="00B27103" w:rsidP="002B64C7">
      <w:pPr>
        <w:spacing w:after="0"/>
        <w:rPr>
          <w:rFonts w:cs="Times New Roman"/>
          <w:sz w:val="16"/>
          <w:szCs w:val="16"/>
          <w:lang w:val="sr-Cyrl-RS"/>
        </w:rPr>
      </w:pPr>
      <w:r w:rsidRPr="00500870">
        <w:rPr>
          <w:rStyle w:val="FootnoteReference"/>
          <w:rFonts w:cs="Times New Roman"/>
          <w:sz w:val="16"/>
          <w:szCs w:val="16"/>
          <w:lang w:val="sr-Cyrl-RS"/>
        </w:rPr>
        <w:footnoteRef/>
      </w:r>
      <w:r w:rsidRPr="00500870">
        <w:rPr>
          <w:rFonts w:cs="Times New Roman"/>
          <w:sz w:val="16"/>
          <w:szCs w:val="16"/>
          <w:lang w:val="sr-Cyrl-RS"/>
        </w:rPr>
        <w:t xml:space="preserve"> Извор:</w:t>
      </w:r>
      <w:r>
        <w:rPr>
          <w:rFonts w:cs="Times New Roman"/>
          <w:sz w:val="16"/>
          <w:szCs w:val="16"/>
          <w:lang w:val="sr-Cyrl-RS"/>
        </w:rPr>
        <w:t xml:space="preserve"> МФ,</w:t>
      </w:r>
      <w:r w:rsidRPr="00500870">
        <w:rPr>
          <w:rFonts w:cs="Times New Roman"/>
          <w:sz w:val="16"/>
          <w:szCs w:val="16"/>
          <w:lang w:val="sr-Cyrl-RS"/>
        </w:rPr>
        <w:t xml:space="preserve"> </w:t>
      </w:r>
      <w:hyperlink r:id="rId49" w:history="1">
        <w:r w:rsidRPr="00500870">
          <w:rPr>
            <w:rStyle w:val="Hyperlink"/>
            <w:rFonts w:cs="Times New Roman"/>
            <w:sz w:val="16"/>
            <w:szCs w:val="16"/>
            <w:lang w:val="sr-Cyrl-RS"/>
          </w:rPr>
          <w:t>https://www.mfin.gov.rs//upload/media/LJW4tX_60f00bcd5f5ef.pdf</w:t>
        </w:r>
      </w:hyperlink>
    </w:p>
  </w:footnote>
  <w:footnote w:id="115">
    <w:p w14:paraId="4DAF4E1E" w14:textId="77777777" w:rsidR="00B27103" w:rsidRPr="00E94537" w:rsidRDefault="00B27103" w:rsidP="00BE01F7">
      <w:pPr>
        <w:pStyle w:val="FootnoteText"/>
        <w:spacing w:after="0"/>
        <w:ind w:firstLine="0"/>
        <w:rPr>
          <w:rFonts w:ascii="Times New Roman" w:hAnsi="Times New Roman" w:cs="Times New Roman"/>
        </w:rPr>
      </w:pPr>
      <w:r w:rsidRPr="00E94537">
        <w:rPr>
          <w:rStyle w:val="FootnoteReference"/>
          <w:rFonts w:ascii="Times New Roman" w:hAnsi="Times New Roman" w:cs="Times New Roman"/>
        </w:rPr>
        <w:footnoteRef/>
      </w:r>
      <w:r w:rsidRPr="00E94537">
        <w:rPr>
          <w:rFonts w:ascii="Times New Roman" w:hAnsi="Times New Roman" w:cs="Times New Roman"/>
        </w:rPr>
        <w:t xml:space="preserve"> </w:t>
      </w:r>
      <w:r w:rsidRPr="00E94537">
        <w:rPr>
          <w:rFonts w:ascii="Times New Roman" w:hAnsi="Times New Roman" w:cs="Times New Roman"/>
          <w:sz w:val="16"/>
          <w:szCs w:val="16"/>
        </w:rPr>
        <w:t>Усвојен је Оквир дигиталних компетенција наставника – Наставник за дигитално доба, 2019. године, МПНТР и ЗУОВ.</w:t>
      </w:r>
    </w:p>
  </w:footnote>
  <w:footnote w:id="116">
    <w:p w14:paraId="5954BACD"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Проценат лица чији је еквивалентни приход мањи од релативне линије сиромаштва </w:t>
      </w:r>
    </w:p>
  </w:footnote>
  <w:footnote w:id="117">
    <w:p w14:paraId="228F30FA" w14:textId="77777777" w:rsidR="00B27103" w:rsidRPr="00CD161C" w:rsidRDefault="00B27103" w:rsidP="002B64C7">
      <w:pPr>
        <w:pStyle w:val="FootnoteText"/>
        <w:spacing w:after="0"/>
        <w:ind w:firstLine="0"/>
        <w:rPr>
          <w:rFonts w:ascii="Times New Roman" w:hAnsi="Times New Roman" w:cs="Times New Roman"/>
          <w:sz w:val="16"/>
          <w:szCs w:val="16"/>
        </w:rPr>
      </w:pPr>
      <w:r w:rsidRPr="003B30E6">
        <w:rPr>
          <w:rStyle w:val="FootnoteReference"/>
          <w:rFonts w:ascii="Times New Roman" w:hAnsi="Times New Roman" w:cs="Times New Roman"/>
          <w:sz w:val="16"/>
          <w:szCs w:val="16"/>
        </w:rPr>
        <w:footnoteRef/>
      </w:r>
      <w:r w:rsidRPr="003B30E6">
        <w:rPr>
          <w:rFonts w:ascii="Times New Roman" w:hAnsi="Times New Roman" w:cs="Times New Roman"/>
          <w:sz w:val="16"/>
          <w:szCs w:val="16"/>
          <w:lang w:val="sr-Cyrl-RS"/>
        </w:rPr>
        <w:t xml:space="preserve"> Извор: Анкета о приходима и условима живота 2020</w:t>
      </w:r>
      <w:r w:rsidRPr="003B30E6">
        <w:rPr>
          <w:rFonts w:ascii="Times New Roman" w:hAnsi="Times New Roman" w:cs="Times New Roman"/>
          <w:sz w:val="16"/>
          <w:szCs w:val="16"/>
          <w:lang w:val="sr-Latn-RS"/>
        </w:rPr>
        <w:t xml:space="preserve">. </w:t>
      </w:r>
      <w:hyperlink r:id="rId50" w:history="1">
        <w:r w:rsidRPr="00D029A5">
          <w:rPr>
            <w:rStyle w:val="Hyperlink"/>
            <w:rFonts w:ascii="Times New Roman" w:eastAsia="MS PGothic" w:hAnsi="Times New Roman" w:cs="Times New Roman"/>
            <w:sz w:val="16"/>
            <w:szCs w:val="16"/>
            <w:lang w:val="sr-Latn-RS"/>
          </w:rPr>
          <w:t>https://publikacije.stat.gov.rs/G2021/Pdf/G20211282.pdf</w:t>
        </w:r>
      </w:hyperlink>
      <w:r>
        <w:rPr>
          <w:rFonts w:ascii="Times New Roman" w:hAnsi="Times New Roman" w:cs="Times New Roman"/>
          <w:sz w:val="16"/>
          <w:szCs w:val="16"/>
          <w:lang w:val="sr-Cyrl-RS"/>
        </w:rPr>
        <w:t xml:space="preserve"> </w:t>
      </w:r>
    </w:p>
  </w:footnote>
  <w:footnote w:id="118">
    <w:p w14:paraId="6A56ACE0" w14:textId="77777777" w:rsidR="00B27103" w:rsidRPr="005735F0" w:rsidRDefault="00B27103" w:rsidP="002B64C7">
      <w:pPr>
        <w:pStyle w:val="FootnoteText"/>
        <w:spacing w:after="0"/>
        <w:ind w:firstLine="0"/>
        <w:rPr>
          <w:rFonts w:ascii="Times New Roman" w:hAnsi="Times New Roman" w:cs="Times New Roman"/>
          <w:sz w:val="16"/>
          <w:szCs w:val="16"/>
          <w:lang w:val="sr-Cyrl-RS"/>
        </w:rPr>
      </w:pPr>
      <w:r w:rsidRPr="005735F0">
        <w:rPr>
          <w:rStyle w:val="FootnoteReference"/>
          <w:rFonts w:ascii="Times New Roman" w:hAnsi="Times New Roman" w:cs="Times New Roman"/>
          <w:sz w:val="16"/>
          <w:szCs w:val="16"/>
        </w:rPr>
        <w:footnoteRef/>
      </w:r>
      <w:r w:rsidRPr="005735F0">
        <w:rPr>
          <w:rFonts w:ascii="Times New Roman" w:hAnsi="Times New Roman" w:cs="Times New Roman"/>
          <w:sz w:val="16"/>
          <w:szCs w:val="16"/>
          <w:lang w:val="sr-Latn-RS"/>
        </w:rPr>
        <w:t xml:space="preserve"> </w:t>
      </w:r>
      <w:r w:rsidRPr="005735F0">
        <w:rPr>
          <w:rFonts w:ascii="Times New Roman" w:hAnsi="Times New Roman" w:cs="Times New Roman"/>
          <w:sz w:val="16"/>
          <w:szCs w:val="16"/>
          <w:lang w:val="sr-Cyrl-RS"/>
        </w:rPr>
        <w:t>Извор:</w:t>
      </w:r>
      <w:r w:rsidRPr="005735F0">
        <w:rPr>
          <w:rFonts w:ascii="Times New Roman" w:hAnsi="Times New Roman" w:cs="Times New Roman"/>
          <w:sz w:val="16"/>
          <w:szCs w:val="16"/>
          <w:lang w:val="sr-Latn-RS"/>
        </w:rPr>
        <w:t xml:space="preserve"> </w:t>
      </w:r>
      <w:r w:rsidRPr="005735F0">
        <w:rPr>
          <w:rFonts w:ascii="Times New Roman" w:hAnsi="Times New Roman" w:cs="Times New Roman"/>
          <w:sz w:val="16"/>
          <w:szCs w:val="16"/>
          <w:lang w:val="sr-Cyrl-RS"/>
        </w:rPr>
        <w:t xml:space="preserve">ЕУРОСТАТ: </w:t>
      </w:r>
      <w:r w:rsidRPr="005735F0">
        <w:rPr>
          <w:rFonts w:ascii="Times New Roman" w:hAnsi="Times New Roman" w:cs="Times New Roman"/>
          <w:sz w:val="16"/>
          <w:szCs w:val="16"/>
        </w:rPr>
        <w:t xml:space="preserve">People at risk of poverty </w:t>
      </w:r>
      <w:hyperlink r:id="rId51" w:history="1">
        <w:r w:rsidRPr="005735F0">
          <w:rPr>
            <w:rStyle w:val="Hyperlink"/>
            <w:rFonts w:ascii="Times New Roman" w:eastAsia="MS PGothic" w:hAnsi="Times New Roman" w:cs="Times New Roman"/>
            <w:sz w:val="16"/>
            <w:szCs w:val="16"/>
          </w:rPr>
          <w:t>https://appsso.eurostat.ec.europa.eu/nui/submitViewTableAction.do</w:t>
        </w:r>
      </w:hyperlink>
      <w:r w:rsidRPr="005735F0">
        <w:rPr>
          <w:rFonts w:ascii="Times New Roman" w:hAnsi="Times New Roman" w:cs="Times New Roman"/>
          <w:sz w:val="16"/>
          <w:szCs w:val="16"/>
        </w:rPr>
        <w:t xml:space="preserve"> </w:t>
      </w:r>
    </w:p>
  </w:footnote>
  <w:footnote w:id="119">
    <w:p w14:paraId="1A330736" w14:textId="77777777" w:rsidR="00B27103" w:rsidRPr="0047544D" w:rsidRDefault="00B27103" w:rsidP="002B64C7">
      <w:pPr>
        <w:pStyle w:val="FootnoteText"/>
        <w:spacing w:after="0"/>
        <w:ind w:firstLine="0"/>
        <w:rPr>
          <w:lang w:val="sr-Latn-RS"/>
        </w:rPr>
      </w:pPr>
      <w:r w:rsidRPr="003B30E6">
        <w:rPr>
          <w:rStyle w:val="FootnoteReference"/>
          <w:rFonts w:ascii="Times New Roman" w:hAnsi="Times New Roman" w:cs="Times New Roman"/>
          <w:sz w:val="16"/>
          <w:szCs w:val="16"/>
        </w:rPr>
        <w:footnoteRef/>
      </w:r>
      <w:r w:rsidRPr="003B30E6">
        <w:rPr>
          <w:rFonts w:ascii="Times New Roman" w:hAnsi="Times New Roman" w:cs="Times New Roman"/>
          <w:sz w:val="16"/>
          <w:szCs w:val="16"/>
          <w:lang w:val="sr-Cyrl-RS"/>
        </w:rPr>
        <w:t xml:space="preserve"> Извор: Анкета о приходима и условима живота 2020</w:t>
      </w:r>
      <w:r w:rsidRPr="003B30E6">
        <w:rPr>
          <w:rFonts w:ascii="Times New Roman" w:hAnsi="Times New Roman" w:cs="Times New Roman"/>
          <w:sz w:val="16"/>
          <w:szCs w:val="16"/>
          <w:lang w:val="sr-Latn-RS"/>
        </w:rPr>
        <w:t xml:space="preserve">. </w:t>
      </w:r>
      <w:hyperlink r:id="rId52" w:history="1">
        <w:r w:rsidRPr="004C7E9A">
          <w:rPr>
            <w:rStyle w:val="Hyperlink"/>
            <w:rFonts w:ascii="Times New Roman" w:eastAsia="MS PGothic" w:hAnsi="Times New Roman" w:cs="Times New Roman"/>
            <w:sz w:val="16"/>
            <w:szCs w:val="16"/>
            <w:lang w:val="sr-Latn-RS"/>
          </w:rPr>
          <w:t>https://publikacije.stat.gov.rs/G2021/Pdf/G20211282.pdf</w:t>
        </w:r>
      </w:hyperlink>
      <w:r>
        <w:rPr>
          <w:rFonts w:ascii="Times New Roman" w:hAnsi="Times New Roman" w:cs="Times New Roman"/>
          <w:sz w:val="16"/>
          <w:szCs w:val="16"/>
          <w:lang w:val="sr-Latn-RS"/>
        </w:rPr>
        <w:t xml:space="preserve"> </w:t>
      </w:r>
    </w:p>
  </w:footnote>
  <w:footnote w:id="120">
    <w:p w14:paraId="32A8636E" w14:textId="77777777" w:rsidR="00B27103" w:rsidRPr="007A4DB0" w:rsidRDefault="00B27103" w:rsidP="002B64C7">
      <w:pPr>
        <w:pStyle w:val="FootnoteText"/>
        <w:spacing w:after="0"/>
        <w:ind w:firstLine="0"/>
        <w:rPr>
          <w:rFonts w:ascii="Times New Roman" w:hAnsi="Times New Roman" w:cs="Times New Roman"/>
          <w:sz w:val="16"/>
          <w:szCs w:val="16"/>
          <w:lang w:val="sr-Cyrl-RS"/>
        </w:rPr>
      </w:pPr>
      <w:r w:rsidRPr="007A4DB0">
        <w:rPr>
          <w:rStyle w:val="FootnoteReference"/>
          <w:rFonts w:ascii="Times New Roman" w:hAnsi="Times New Roman" w:cs="Times New Roman"/>
          <w:sz w:val="16"/>
          <w:szCs w:val="16"/>
        </w:rPr>
        <w:footnoteRef/>
      </w:r>
      <w:r w:rsidRPr="00CD61F0">
        <w:rPr>
          <w:rFonts w:ascii="Times New Roman" w:hAnsi="Times New Roman" w:cs="Times New Roman"/>
          <w:sz w:val="16"/>
          <w:szCs w:val="16"/>
          <w:lang w:val="fr-FR"/>
        </w:rPr>
        <w:t xml:space="preserve"> </w:t>
      </w:r>
      <w:r w:rsidRPr="007A4DB0">
        <w:rPr>
          <w:rFonts w:ascii="Times New Roman" w:hAnsi="Times New Roman" w:cs="Times New Roman"/>
          <w:sz w:val="16"/>
          <w:szCs w:val="16"/>
          <w:lang w:val="sr-Cyrl-RS"/>
        </w:rPr>
        <w:t>Извор:</w:t>
      </w:r>
      <w:r>
        <w:rPr>
          <w:rFonts w:ascii="Times New Roman" w:hAnsi="Times New Roman" w:cs="Times New Roman"/>
          <w:sz w:val="16"/>
          <w:szCs w:val="16"/>
          <w:lang w:val="sr-Latn-RS"/>
        </w:rPr>
        <w:t xml:space="preserve"> GINI </w:t>
      </w:r>
      <w:r w:rsidRPr="00994EF3">
        <w:rPr>
          <w:rFonts w:ascii="Times New Roman" w:hAnsi="Times New Roman" w:cs="Times New Roman"/>
          <w:sz w:val="16"/>
          <w:szCs w:val="16"/>
          <w:lang w:val="fr-FR"/>
        </w:rPr>
        <w:t xml:space="preserve">Coefficient. </w:t>
      </w:r>
      <w:hyperlink r:id="rId53" w:history="1">
        <w:r w:rsidRPr="00994EF3">
          <w:rPr>
            <w:rStyle w:val="Hyperlink"/>
            <w:rFonts w:ascii="Times New Roman" w:eastAsia="MS PGothic" w:hAnsi="Times New Roman" w:cs="Times New Roman"/>
            <w:sz w:val="16"/>
            <w:szCs w:val="16"/>
            <w:lang w:val="fr-FR"/>
          </w:rPr>
          <w:t>Statistics | Eurostat (europa.eu)</w:t>
        </w:r>
      </w:hyperlink>
    </w:p>
  </w:footnote>
  <w:footnote w:id="121">
    <w:p w14:paraId="00FB5160"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Извор:</w:t>
      </w:r>
      <w:r w:rsidRPr="00500870">
        <w:rPr>
          <w:rFonts w:ascii="Times New Roman" w:hAnsi="Times New Roman" w:cs="Times New Roman"/>
          <w:sz w:val="16"/>
          <w:szCs w:val="16"/>
          <w:lang w:val="sr-Latn-RS"/>
        </w:rPr>
        <w:t xml:space="preserve"> </w:t>
      </w:r>
      <w:r>
        <w:rPr>
          <w:rFonts w:ascii="Times New Roman" w:hAnsi="Times New Roman" w:cs="Times New Roman"/>
          <w:sz w:val="16"/>
          <w:szCs w:val="16"/>
          <w:lang w:val="sr-Cyrl-RS"/>
        </w:rPr>
        <w:t xml:space="preserve">МФ, </w:t>
      </w:r>
      <w:r w:rsidRPr="00500870">
        <w:rPr>
          <w:rFonts w:ascii="Times New Roman" w:hAnsi="Times New Roman" w:cs="Times New Roman"/>
          <w:sz w:val="16"/>
          <w:szCs w:val="16"/>
          <w:lang w:val="sr-Cyrl-RS"/>
        </w:rPr>
        <w:t xml:space="preserve">Консолидовани биланс државе. </w:t>
      </w:r>
      <w:hyperlink r:id="rId54" w:history="1">
        <w:r w:rsidRPr="004C05D6">
          <w:rPr>
            <w:rStyle w:val="Hyperlink"/>
            <w:rFonts w:ascii="Times New Roman" w:eastAsia="MS PGothic" w:hAnsi="Times New Roman" w:cs="Times New Roman"/>
            <w:sz w:val="16"/>
            <w:szCs w:val="16"/>
            <w:lang w:val="sr-Cyrl-RS"/>
          </w:rPr>
          <w:t>https://www.mfin.gov.rs/dokumenti2/makroekonomski-i-fiskalni-podaci</w:t>
        </w:r>
      </w:hyperlink>
      <w:r>
        <w:rPr>
          <w:rFonts w:ascii="Times New Roman" w:hAnsi="Times New Roman" w:cs="Times New Roman"/>
          <w:sz w:val="16"/>
          <w:szCs w:val="16"/>
          <w:lang w:val="sr-Cyrl-RS"/>
        </w:rPr>
        <w:t xml:space="preserve"> </w:t>
      </w:r>
    </w:p>
  </w:footnote>
  <w:footnote w:id="122">
    <w:p w14:paraId="446D7E41"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Извор: </w:t>
      </w:r>
      <w:r>
        <w:rPr>
          <w:rFonts w:ascii="Times New Roman" w:hAnsi="Times New Roman" w:cs="Times New Roman"/>
          <w:sz w:val="16"/>
          <w:szCs w:val="16"/>
          <w:lang w:val="sr-Cyrl-RS"/>
        </w:rPr>
        <w:t xml:space="preserve">МФ, </w:t>
      </w:r>
      <w:r w:rsidRPr="00500870">
        <w:rPr>
          <w:rFonts w:ascii="Times New Roman" w:hAnsi="Times New Roman" w:cs="Times New Roman"/>
          <w:sz w:val="16"/>
          <w:szCs w:val="16"/>
          <w:lang w:val="sr-Cyrl-RS"/>
        </w:rPr>
        <w:t xml:space="preserve">Консолидовани биланс државе. </w:t>
      </w:r>
      <w:hyperlink r:id="rId55" w:history="1">
        <w:r w:rsidRPr="004C05D6">
          <w:rPr>
            <w:rStyle w:val="Hyperlink"/>
            <w:rFonts w:ascii="Times New Roman" w:eastAsia="MS PGothic" w:hAnsi="Times New Roman" w:cs="Times New Roman"/>
            <w:sz w:val="16"/>
            <w:szCs w:val="16"/>
            <w:lang w:val="sr-Cyrl-RS"/>
          </w:rPr>
          <w:t>https://www.mfin.gov.rs/dokumenti2/makroekonomski-i-fiskalni-podaci</w:t>
        </w:r>
      </w:hyperlink>
      <w:r>
        <w:rPr>
          <w:rFonts w:ascii="Times New Roman" w:hAnsi="Times New Roman" w:cs="Times New Roman"/>
          <w:sz w:val="16"/>
          <w:szCs w:val="16"/>
          <w:lang w:val="sr-Cyrl-RS"/>
        </w:rPr>
        <w:t xml:space="preserve"> </w:t>
      </w:r>
    </w:p>
  </w:footnote>
  <w:footnote w:id="123">
    <w:p w14:paraId="37916E2A" w14:textId="77777777" w:rsidR="00B27103" w:rsidRPr="00CD28F6" w:rsidRDefault="00B27103" w:rsidP="002B64C7">
      <w:pPr>
        <w:pStyle w:val="FootnoteText"/>
        <w:spacing w:after="0"/>
        <w:ind w:firstLine="0"/>
        <w:rPr>
          <w:rFonts w:ascii="Times New Roman" w:hAnsi="Times New Roman" w:cs="Times New Roman"/>
          <w:sz w:val="16"/>
          <w:szCs w:val="16"/>
          <w:lang w:val="sr-Cyrl-RS"/>
        </w:rPr>
      </w:pPr>
      <w:r w:rsidRPr="00CD28F6">
        <w:rPr>
          <w:rStyle w:val="FootnoteReference"/>
          <w:rFonts w:ascii="Times New Roman" w:hAnsi="Times New Roman" w:cs="Times New Roman"/>
          <w:sz w:val="16"/>
          <w:szCs w:val="16"/>
        </w:rPr>
        <w:footnoteRef/>
      </w:r>
      <w:r w:rsidRPr="00CD28F6">
        <w:rPr>
          <w:rFonts w:ascii="Times New Roman" w:hAnsi="Times New Roman" w:cs="Times New Roman"/>
          <w:sz w:val="16"/>
          <w:szCs w:val="16"/>
        </w:rPr>
        <w:t xml:space="preserve"> </w:t>
      </w:r>
      <w:r w:rsidRPr="00CD28F6">
        <w:rPr>
          <w:rFonts w:ascii="Times New Roman" w:hAnsi="Times New Roman" w:cs="Times New Roman"/>
          <w:sz w:val="16"/>
          <w:szCs w:val="16"/>
          <w:lang w:val="sr-Cyrl-RS"/>
        </w:rPr>
        <w:t xml:space="preserve">Извор: МТТТ </w:t>
      </w:r>
      <w:hyperlink r:id="rId56" w:history="1">
        <w:r w:rsidRPr="00CD28F6">
          <w:rPr>
            <w:rStyle w:val="Hyperlink"/>
            <w:rFonts w:ascii="Times New Roman" w:eastAsia="MS PGothic" w:hAnsi="Times New Roman" w:cs="Times New Roman"/>
            <w:sz w:val="16"/>
            <w:szCs w:val="16"/>
            <w:lang w:val="sr-Cyrl-RS"/>
          </w:rPr>
          <w:t>https://mtt.gov.rs/informacije/potrosacka-korpa/?0=lat</w:t>
        </w:r>
      </w:hyperlink>
      <w:r w:rsidRPr="00CD28F6">
        <w:rPr>
          <w:rFonts w:ascii="Times New Roman" w:hAnsi="Times New Roman" w:cs="Times New Roman"/>
          <w:sz w:val="16"/>
          <w:szCs w:val="16"/>
          <w:lang w:val="sr-Cyrl-RS"/>
        </w:rPr>
        <w:t xml:space="preserve"> </w:t>
      </w:r>
    </w:p>
  </w:footnote>
  <w:footnote w:id="124">
    <w:p w14:paraId="613C0B6F" w14:textId="77777777" w:rsidR="00B27103" w:rsidRPr="00CD28F6" w:rsidRDefault="00B27103" w:rsidP="002B64C7">
      <w:pPr>
        <w:pStyle w:val="FootnoteText"/>
        <w:spacing w:after="0"/>
        <w:ind w:firstLine="0"/>
        <w:rPr>
          <w:rFonts w:ascii="Times New Roman" w:hAnsi="Times New Roman" w:cs="Times New Roman"/>
          <w:sz w:val="16"/>
          <w:szCs w:val="16"/>
          <w:lang w:val="sr-Cyrl-RS"/>
        </w:rPr>
      </w:pPr>
      <w:r w:rsidRPr="00CD28F6">
        <w:rPr>
          <w:rStyle w:val="FootnoteReference"/>
          <w:rFonts w:ascii="Times New Roman" w:hAnsi="Times New Roman" w:cs="Times New Roman"/>
          <w:sz w:val="16"/>
          <w:szCs w:val="16"/>
        </w:rPr>
        <w:footnoteRef/>
      </w:r>
      <w:r w:rsidRPr="00CD28F6">
        <w:rPr>
          <w:rFonts w:ascii="Times New Roman" w:hAnsi="Times New Roman" w:cs="Times New Roman"/>
          <w:sz w:val="16"/>
          <w:szCs w:val="16"/>
        </w:rPr>
        <w:t xml:space="preserve"> </w:t>
      </w:r>
      <w:r w:rsidRPr="00CD28F6">
        <w:rPr>
          <w:rFonts w:ascii="Times New Roman" w:hAnsi="Times New Roman" w:cs="Times New Roman"/>
          <w:sz w:val="16"/>
          <w:szCs w:val="16"/>
          <w:lang w:val="sr-Cyrl-RS"/>
        </w:rPr>
        <w:t xml:space="preserve">Извор: РЗС, Сиромаштво и социјална неједнакост, 2020. </w:t>
      </w:r>
      <w:hyperlink r:id="rId57" w:history="1">
        <w:r w:rsidRPr="00CD28F6">
          <w:rPr>
            <w:rStyle w:val="Hyperlink"/>
            <w:rFonts w:ascii="Times New Roman" w:eastAsia="MS PGothic" w:hAnsi="Times New Roman" w:cs="Times New Roman"/>
            <w:sz w:val="16"/>
            <w:szCs w:val="16"/>
            <w:lang w:val="sr-Cyrl-RS"/>
          </w:rPr>
          <w:t>https://publikacije.stat.gov.rs/G2021/Pdf/G20211282.pdf</w:t>
        </w:r>
      </w:hyperlink>
      <w:r w:rsidRPr="00CD28F6">
        <w:rPr>
          <w:rFonts w:ascii="Times New Roman" w:hAnsi="Times New Roman" w:cs="Times New Roman"/>
          <w:sz w:val="16"/>
          <w:szCs w:val="16"/>
          <w:lang w:val="sr-Cyrl-RS"/>
        </w:rPr>
        <w:t xml:space="preserve"> </w:t>
      </w:r>
    </w:p>
  </w:footnote>
  <w:footnote w:id="125">
    <w:p w14:paraId="578F9AC8" w14:textId="77777777" w:rsidR="00B27103" w:rsidRPr="00455C97" w:rsidRDefault="00B27103" w:rsidP="002B64C7">
      <w:pPr>
        <w:pStyle w:val="FootnoteText"/>
        <w:spacing w:after="0"/>
        <w:ind w:firstLine="0"/>
        <w:rPr>
          <w:rFonts w:ascii="Times New Roman" w:hAnsi="Times New Roman" w:cs="Times New Roman"/>
          <w:sz w:val="16"/>
          <w:szCs w:val="16"/>
          <w:lang w:val="sr-Cyrl-RS"/>
        </w:rPr>
      </w:pPr>
      <w:r w:rsidRPr="00455C97">
        <w:rPr>
          <w:rStyle w:val="FootnoteReference"/>
          <w:rFonts w:ascii="Times New Roman" w:hAnsi="Times New Roman" w:cs="Times New Roman"/>
          <w:sz w:val="16"/>
          <w:szCs w:val="16"/>
        </w:rPr>
        <w:footnoteRef/>
      </w:r>
      <w:r w:rsidRPr="00455C97">
        <w:rPr>
          <w:rFonts w:ascii="Times New Roman" w:hAnsi="Times New Roman" w:cs="Times New Roman"/>
          <w:sz w:val="16"/>
          <w:szCs w:val="16"/>
        </w:rPr>
        <w:t xml:space="preserve"> </w:t>
      </w:r>
      <w:hyperlink r:id="rId58" w:history="1">
        <w:r w:rsidRPr="00455C97">
          <w:rPr>
            <w:rStyle w:val="Hyperlink"/>
            <w:rFonts w:ascii="Times New Roman" w:eastAsia="MS PGothic" w:hAnsi="Times New Roman" w:cs="Times New Roman"/>
            <w:sz w:val="16"/>
            <w:szCs w:val="16"/>
            <w:lang w:val="sr-Cyrl-RS"/>
          </w:rPr>
          <w:t>https://healthpowerhouse.com/media/EHCI-2018/EHCI-2018-report.pdf</w:t>
        </w:r>
      </w:hyperlink>
      <w:r w:rsidRPr="00455C97">
        <w:rPr>
          <w:rFonts w:ascii="Times New Roman" w:hAnsi="Times New Roman" w:cs="Times New Roman"/>
          <w:sz w:val="16"/>
          <w:szCs w:val="16"/>
          <w:lang w:val="sr-Cyrl-RS"/>
        </w:rPr>
        <w:t xml:space="preserve"> </w:t>
      </w:r>
    </w:p>
  </w:footnote>
  <w:footnote w:id="126">
    <w:p w14:paraId="3B31D55B"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rPr>
        <w:t xml:space="preserve"> </w:t>
      </w:r>
      <w:r w:rsidRPr="007F747D">
        <w:rPr>
          <w:rFonts w:ascii="Times New Roman" w:hAnsi="Times New Roman" w:cs="Times New Roman"/>
          <w:sz w:val="16"/>
          <w:szCs w:val="16"/>
          <w:lang w:val="sr-Cyrl-RS"/>
        </w:rPr>
        <w:t xml:space="preserve">Сви наведени подаци се односе на 2019. годину. Извор: Институт за јавно здравље Србије „Др Милан Јовановић Батут“ – Статистички годишњак 2019. </w:t>
      </w:r>
      <w:hyperlink r:id="rId59" w:history="1">
        <w:r w:rsidRPr="007F747D">
          <w:rPr>
            <w:rStyle w:val="Hyperlink"/>
            <w:rFonts w:ascii="Times New Roman" w:eastAsia="MS PGothic" w:hAnsi="Times New Roman" w:cs="Times New Roman"/>
            <w:sz w:val="16"/>
            <w:szCs w:val="16"/>
            <w:lang w:val="sr-Cyrl-RS"/>
          </w:rPr>
          <w:t>https://www.batut.org.rs/download/publikacije/pub2019a.pdf</w:t>
        </w:r>
      </w:hyperlink>
    </w:p>
  </w:footnote>
  <w:footnote w:id="127">
    <w:p w14:paraId="01D2D0B7"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Институт за јавно здравље Србије „Др Милан Јовановић Батут“, Национални здравствени рачуни</w:t>
      </w:r>
      <w:r w:rsidRPr="007F747D">
        <w:rPr>
          <w:rFonts w:ascii="Times New Roman" w:hAnsi="Times New Roman" w:cs="Times New Roman"/>
          <w:sz w:val="16"/>
          <w:szCs w:val="16"/>
        </w:rPr>
        <w:t xml:space="preserve"> </w:t>
      </w:r>
      <w:hyperlink r:id="rId60" w:history="1">
        <w:r w:rsidRPr="007F747D">
          <w:rPr>
            <w:rStyle w:val="Hyperlink"/>
            <w:rFonts w:ascii="Times New Roman" w:eastAsia="MS PGothic" w:hAnsi="Times New Roman" w:cs="Times New Roman"/>
            <w:sz w:val="16"/>
            <w:szCs w:val="16"/>
          </w:rPr>
          <w:t>https://www.batut.org.rs/index.php?category_id=50</w:t>
        </w:r>
      </w:hyperlink>
    </w:p>
  </w:footnote>
  <w:footnote w:id="128">
    <w:p w14:paraId="0F9DA8FE" w14:textId="77777777" w:rsidR="00B27103" w:rsidRPr="007F747D" w:rsidRDefault="00B27103" w:rsidP="002B64C7">
      <w:pPr>
        <w:pStyle w:val="FootnoteText"/>
        <w:spacing w:after="0"/>
        <w:ind w:firstLine="0"/>
        <w:jc w:val="left"/>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 xml:space="preserve">Еуростат  </w:t>
      </w:r>
      <w:hyperlink r:id="rId61" w:history="1">
        <w:r w:rsidRPr="007F747D">
          <w:rPr>
            <w:rStyle w:val="Hyperlink"/>
            <w:rFonts w:ascii="Times New Roman" w:eastAsia="MS PGothic" w:hAnsi="Times New Roman" w:cs="Times New Roman"/>
            <w:sz w:val="16"/>
            <w:szCs w:val="16"/>
            <w:lang w:val="sr-Cyrl-RS"/>
          </w:rPr>
          <w:t>https://ec.europa.eu/eurostat/statistics-explained/index.php?title=File:Availability_of_treatment_equipment_%E2%80%94_radiation_therapy_equipment,_2018_Health20.png</w:t>
        </w:r>
      </w:hyperlink>
    </w:p>
  </w:footnote>
  <w:footnote w:id="129">
    <w:p w14:paraId="2E68C7B5" w14:textId="77777777" w:rsidR="00B27103" w:rsidRPr="007F747D" w:rsidRDefault="00B27103" w:rsidP="002B64C7">
      <w:pPr>
        <w:pStyle w:val="FootnoteText"/>
        <w:spacing w:after="0"/>
        <w:ind w:firstLine="0"/>
        <w:jc w:val="left"/>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Подаци за 2018. годину. Извор: Еуростат </w:t>
      </w:r>
      <w:hyperlink r:id="rId62" w:history="1">
        <w:r w:rsidRPr="007F747D">
          <w:rPr>
            <w:rStyle w:val="Hyperlink"/>
            <w:rFonts w:ascii="Times New Roman" w:eastAsia="MS PGothic" w:hAnsi="Times New Roman" w:cs="Times New Roman"/>
            <w:sz w:val="16"/>
            <w:szCs w:val="16"/>
            <w:lang w:val="sr-Cyrl-RS"/>
          </w:rPr>
          <w:t>https://ec.europa.eu/eurostat/statistics-explained/images/1/1e/Availability_of_medical_technology_%E2%80%94_imaging_equipment%2C_2018_Health20.png</w:t>
        </w:r>
      </w:hyperlink>
      <w:r w:rsidRPr="007F747D">
        <w:rPr>
          <w:rFonts w:ascii="Times New Roman" w:hAnsi="Times New Roman" w:cs="Times New Roman"/>
          <w:sz w:val="16"/>
          <w:szCs w:val="16"/>
          <w:lang w:val="sr-Cyrl-RS"/>
        </w:rPr>
        <w:t xml:space="preserve"> </w:t>
      </w:r>
    </w:p>
  </w:footnote>
  <w:footnote w:id="130">
    <w:p w14:paraId="04C2346A"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Лекарска комора Србије издаје сертификате о добром гласу (</w:t>
      </w:r>
      <w:r w:rsidRPr="007F747D">
        <w:rPr>
          <w:rFonts w:ascii="Times New Roman" w:hAnsi="Times New Roman" w:cs="Times New Roman"/>
          <w:i/>
          <w:sz w:val="16"/>
          <w:szCs w:val="16"/>
          <w:lang w:val="sr-Cyrl-RS"/>
        </w:rPr>
        <w:t>Good Standing certificate</w:t>
      </w:r>
      <w:r w:rsidRPr="007F747D">
        <w:rPr>
          <w:rFonts w:ascii="Times New Roman" w:hAnsi="Times New Roman" w:cs="Times New Roman"/>
          <w:sz w:val="16"/>
          <w:szCs w:val="16"/>
          <w:lang w:val="sr-Cyrl-RS"/>
        </w:rPr>
        <w:t>) који омогућавају докторима да раде у иностранству.</w:t>
      </w:r>
    </w:p>
  </w:footnote>
  <w:footnote w:id="131">
    <w:p w14:paraId="296168D4"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Извор: </w:t>
      </w:r>
      <w:hyperlink r:id="rId63" w:history="1">
        <w:r w:rsidRPr="007F747D">
          <w:rPr>
            <w:rStyle w:val="Hyperlink"/>
            <w:rFonts w:ascii="Times New Roman" w:eastAsia="MS PGothic" w:hAnsi="Times New Roman" w:cs="Times New Roman"/>
            <w:sz w:val="16"/>
            <w:szCs w:val="16"/>
          </w:rPr>
          <w:t>https</w:t>
        </w:r>
        <w:r w:rsidRPr="007F747D">
          <w:rPr>
            <w:rStyle w:val="Hyperlink"/>
            <w:rFonts w:ascii="Times New Roman" w:eastAsia="MS PGothic" w:hAnsi="Times New Roman" w:cs="Times New Roman"/>
            <w:sz w:val="16"/>
            <w:szCs w:val="16"/>
            <w:lang w:val="sr-Cyrl-RS"/>
          </w:rPr>
          <w:t>://</w:t>
        </w:r>
        <w:r w:rsidRPr="007F747D">
          <w:rPr>
            <w:rStyle w:val="Hyperlink"/>
            <w:rFonts w:ascii="Times New Roman" w:eastAsia="MS PGothic" w:hAnsi="Times New Roman" w:cs="Times New Roman"/>
            <w:sz w:val="16"/>
            <w:szCs w:val="16"/>
          </w:rPr>
          <w:t>www</w:t>
        </w:r>
        <w:r w:rsidRPr="007F747D">
          <w:rPr>
            <w:rStyle w:val="Hyperlink"/>
            <w:rFonts w:ascii="Times New Roman" w:eastAsia="MS PGothic" w:hAnsi="Times New Roman" w:cs="Times New Roman"/>
            <w:sz w:val="16"/>
            <w:szCs w:val="16"/>
            <w:lang w:val="sr-Cyrl-RS"/>
          </w:rPr>
          <w:t>.</w:t>
        </w:r>
        <w:r w:rsidRPr="007F747D">
          <w:rPr>
            <w:rStyle w:val="Hyperlink"/>
            <w:rFonts w:ascii="Times New Roman" w:eastAsia="MS PGothic" w:hAnsi="Times New Roman" w:cs="Times New Roman"/>
            <w:sz w:val="16"/>
            <w:szCs w:val="16"/>
            <w:lang w:val="sr-Latn-RS"/>
          </w:rPr>
          <w:t>rfzo.rs/index.php/osiguranalica/listecekanja/lc-dnevni-presek</w:t>
        </w:r>
      </w:hyperlink>
      <w:r w:rsidRPr="007F747D">
        <w:rPr>
          <w:rFonts w:ascii="Times New Roman" w:hAnsi="Times New Roman" w:cs="Times New Roman"/>
          <w:sz w:val="16"/>
          <w:szCs w:val="16"/>
          <w:lang w:val="sr-Cyrl-RS"/>
        </w:rPr>
        <w:t xml:space="preserve"> </w:t>
      </w:r>
    </w:p>
  </w:footnote>
  <w:footnote w:id="132">
    <w:p w14:paraId="18FF47D6"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Грађани имају опцију да изаберу вакцину којом желе да се вакцинишу, општину на којој ће се ванкцинисати, а могу и да изразе жељу после ког датума желе да приме вакцину.</w:t>
      </w:r>
    </w:p>
  </w:footnote>
  <w:footnote w:id="133">
    <w:p w14:paraId="1473A6C6"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Да би подстакла већи одзив на вакцинацију, Влада је увела стимулативну меру од 3.000 динара за сваког појединца који се барем једном дозом вакцинисао до 31.05.2021.</w:t>
      </w:r>
    </w:p>
  </w:footnote>
  <w:footnote w:id="134">
    <w:p w14:paraId="33D1BF17" w14:textId="1D29717E" w:rsidR="00B27103" w:rsidRPr="007F747D" w:rsidRDefault="00B27103" w:rsidP="002B64C7">
      <w:pPr>
        <w:pStyle w:val="FootnoteText"/>
        <w:spacing w:after="0"/>
        <w:ind w:firstLine="0"/>
        <w:rPr>
          <w:rFonts w:ascii="Times New Roman" w:hAnsi="Times New Roman" w:cs="Times New Roman"/>
          <w:sz w:val="16"/>
          <w:szCs w:val="16"/>
          <w:lang w:val="sr-Latn-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rPr>
        <w:t xml:space="preserve"> </w:t>
      </w:r>
      <w:r w:rsidRPr="007F747D">
        <w:rPr>
          <w:rFonts w:ascii="Times New Roman" w:hAnsi="Times New Roman" w:cs="Times New Roman"/>
          <w:sz w:val="16"/>
          <w:szCs w:val="16"/>
          <w:lang w:val="sr-Cyrl-RS"/>
        </w:rPr>
        <w:t>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rPr>
        <w:t>Our World in Data – Share of people vaccinated against</w:t>
      </w:r>
      <w:r w:rsidRPr="007F747D">
        <w:rPr>
          <w:rFonts w:ascii="Times New Roman" w:hAnsi="Times New Roman" w:cs="Times New Roman"/>
          <w:sz w:val="16"/>
          <w:szCs w:val="16"/>
          <w:lang w:val="sr-Latn-RS"/>
        </w:rPr>
        <w:t xml:space="preserve"> </w:t>
      </w:r>
      <w:r>
        <w:rPr>
          <w:rFonts w:ascii="Times New Roman" w:hAnsi="Times New Roman" w:cs="Times New Roman"/>
          <w:sz w:val="16"/>
          <w:szCs w:val="16"/>
          <w:lang w:val="sr-Cyrl-RS"/>
        </w:rPr>
        <w:t>Ковид</w:t>
      </w:r>
      <w:r w:rsidRPr="007F747D">
        <w:rPr>
          <w:rFonts w:ascii="Times New Roman" w:hAnsi="Times New Roman" w:cs="Times New Roman"/>
          <w:sz w:val="16"/>
          <w:szCs w:val="16"/>
          <w:lang w:val="sr-Latn-RS"/>
        </w:rPr>
        <w:t xml:space="preserve">-19. </w:t>
      </w:r>
      <w:hyperlink r:id="rId64" w:history="1">
        <w:r w:rsidRPr="007F747D">
          <w:rPr>
            <w:rStyle w:val="Hyperlink"/>
            <w:rFonts w:ascii="Times New Roman" w:eastAsia="MS PGothic" w:hAnsi="Times New Roman" w:cs="Times New Roman"/>
            <w:sz w:val="16"/>
            <w:szCs w:val="16"/>
            <w:lang w:val="sr-Latn-RS"/>
          </w:rPr>
          <w:t>https://ourworldindata.org/covid-vaccinations</w:t>
        </w:r>
      </w:hyperlink>
    </w:p>
  </w:footnote>
  <w:footnote w:id="135">
    <w:p w14:paraId="109CA1EF"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Дигитални зелени сертификат могуће је добити и на шалтерима пошта широм земље, уз важећи пасош.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AC56DA"/>
    <w:multiLevelType w:val="hybridMultilevel"/>
    <w:tmpl w:val="ECC26C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2"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36F6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27F7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6"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06A02"/>
    <w:multiLevelType w:val="hybridMultilevel"/>
    <w:tmpl w:val="211EBE32"/>
    <w:lvl w:ilvl="0" w:tplc="241A000D">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084523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0"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D52B87"/>
    <w:multiLevelType w:val="hybridMultilevel"/>
    <w:tmpl w:val="4A3C3092"/>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 w15:restartNumberingAfterBreak="0">
    <w:nsid w:val="12E1754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3"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871D35"/>
    <w:multiLevelType w:val="hybridMultilevel"/>
    <w:tmpl w:val="86FA9F7E"/>
    <w:lvl w:ilvl="0" w:tplc="241A0005">
      <w:start w:val="1"/>
      <w:numFmt w:val="bullet"/>
      <w:lvlText w:val=""/>
      <w:lvlJc w:val="left"/>
      <w:pPr>
        <w:ind w:left="360" w:hanging="360"/>
      </w:pPr>
      <w:rPr>
        <w:rFonts w:ascii="Wingdings" w:hAnsi="Wingdings" w:hint="default"/>
      </w:rPr>
    </w:lvl>
    <w:lvl w:ilvl="1" w:tplc="25BC08AE">
      <w:start w:val="1"/>
      <w:numFmt w:val="bullet"/>
      <w:lvlText w:val="-"/>
      <w:lvlJc w:val="left"/>
      <w:pPr>
        <w:ind w:left="1080" w:hanging="360"/>
      </w:pPr>
      <w:rPr>
        <w:rFonts w:ascii="Verdana" w:hAnsi="Verdana"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5" w15:restartNumberingAfterBreak="0">
    <w:nsid w:val="272317BC"/>
    <w:multiLevelType w:val="hybridMultilevel"/>
    <w:tmpl w:val="9190E800"/>
    <w:lvl w:ilvl="0" w:tplc="241A0005">
      <w:start w:val="1"/>
      <w:numFmt w:val="bullet"/>
      <w:lvlText w:val=""/>
      <w:lvlJc w:val="left"/>
      <w:pPr>
        <w:ind w:left="360" w:hanging="360"/>
      </w:pPr>
      <w:rPr>
        <w:rFonts w:ascii="Wingdings" w:hAnsi="Wingdings" w:hint="default"/>
      </w:rPr>
    </w:lvl>
    <w:lvl w:ilvl="1" w:tplc="241A000D">
      <w:start w:val="1"/>
      <w:numFmt w:val="bullet"/>
      <w:lvlText w:val=""/>
      <w:lvlJc w:val="left"/>
      <w:pPr>
        <w:ind w:left="1080" w:hanging="360"/>
      </w:pPr>
      <w:rPr>
        <w:rFonts w:ascii="Wingdings" w:hAnsi="Wingdings"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6" w15:restartNumberingAfterBreak="0">
    <w:nsid w:val="28B84BC9"/>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E49B8"/>
    <w:multiLevelType w:val="hybridMultilevel"/>
    <w:tmpl w:val="C2305E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8"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0" w15:restartNumberingAfterBreak="0">
    <w:nsid w:val="32121F1C"/>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22" w15:restartNumberingAfterBreak="0">
    <w:nsid w:val="34030896"/>
    <w:multiLevelType w:val="hybridMultilevel"/>
    <w:tmpl w:val="407AD9DC"/>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3" w15:restartNumberingAfterBreak="0">
    <w:nsid w:val="346B29AF"/>
    <w:multiLevelType w:val="hybridMultilevel"/>
    <w:tmpl w:val="8CBA48E8"/>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4" w15:restartNumberingAfterBreak="0">
    <w:nsid w:val="350B380A"/>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3C0422F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0" w15:restartNumberingAfterBreak="0">
    <w:nsid w:val="3EA2024A"/>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1" w15:restartNumberingAfterBreak="0">
    <w:nsid w:val="41C971A3"/>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2" w15:restartNumberingAfterBreak="0">
    <w:nsid w:val="487A235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3" w15:restartNumberingAfterBreak="0">
    <w:nsid w:val="4C017860"/>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4" w15:restartNumberingAfterBreak="0">
    <w:nsid w:val="50B56B20"/>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4469D8"/>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E1524"/>
    <w:multiLevelType w:val="hybridMultilevel"/>
    <w:tmpl w:val="5D9CAC56"/>
    <w:lvl w:ilvl="0" w:tplc="241A0005">
      <w:start w:val="1"/>
      <w:numFmt w:val="bullet"/>
      <w:lvlText w:val=""/>
      <w:lvlJc w:val="left"/>
      <w:pPr>
        <w:ind w:left="360" w:hanging="360"/>
      </w:pPr>
      <w:rPr>
        <w:rFonts w:ascii="Wingdings" w:hAnsi="Wingdings" w:hint="default"/>
      </w:rPr>
    </w:lvl>
    <w:lvl w:ilvl="1" w:tplc="AF3E70D4">
      <w:numFmt w:val="bullet"/>
      <w:lvlText w:val="•"/>
      <w:lvlJc w:val="left"/>
      <w:pPr>
        <w:ind w:left="1440" w:hanging="720"/>
      </w:pPr>
      <w:rPr>
        <w:rFonts w:ascii="Times New Roman" w:eastAsia="MS PGothic" w:hAnsi="Times New Roman" w:cs="Times New Roman" w:hint="default"/>
      </w:rPr>
    </w:lvl>
    <w:lvl w:ilvl="2" w:tplc="CAB2BA68">
      <w:numFmt w:val="bullet"/>
      <w:lvlText w:val=""/>
      <w:lvlJc w:val="left"/>
      <w:pPr>
        <w:ind w:left="2160" w:hanging="720"/>
      </w:pPr>
      <w:rPr>
        <w:rFonts w:ascii="Symbol" w:eastAsia="MS PGothic" w:hAnsi="Symbol"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7" w15:restartNumberingAfterBreak="0">
    <w:nsid w:val="66046B57"/>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27D7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C573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814AA"/>
    <w:multiLevelType w:val="hybridMultilevel"/>
    <w:tmpl w:val="7E88A552"/>
    <w:lvl w:ilvl="0" w:tplc="CDBC3A00">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3" w15:restartNumberingAfterBreak="0">
    <w:nsid w:val="79B73D7F"/>
    <w:multiLevelType w:val="hybridMultilevel"/>
    <w:tmpl w:val="E4A2CD30"/>
    <w:lvl w:ilvl="0" w:tplc="0409000D">
      <w:start w:val="1"/>
      <w:numFmt w:val="bullet"/>
      <w:lvlText w:val=""/>
      <w:lvlJc w:val="left"/>
      <w:pPr>
        <w:ind w:left="1080" w:hanging="360"/>
      </w:pPr>
      <w:rPr>
        <w:rFonts w:ascii="Wingdings" w:hAnsi="Wingdings"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44" w15:restartNumberingAfterBreak="0">
    <w:nsid w:val="7B7D38E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5" w15:restartNumberingAfterBreak="0">
    <w:nsid w:val="7E9578AF"/>
    <w:multiLevelType w:val="hybridMultilevel"/>
    <w:tmpl w:val="2B4EB2DE"/>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0"/>
  </w:num>
  <w:num w:numId="2">
    <w:abstractNumId w:val="25"/>
  </w:num>
  <w:num w:numId="3">
    <w:abstractNumId w:val="18"/>
  </w:num>
  <w:num w:numId="4">
    <w:abstractNumId w:val="21"/>
  </w:num>
  <w:num w:numId="5">
    <w:abstractNumId w:val="39"/>
  </w:num>
  <w:num w:numId="6">
    <w:abstractNumId w:val="2"/>
  </w:num>
  <w:num w:numId="7">
    <w:abstractNumId w:val="28"/>
  </w:num>
  <w:num w:numId="8">
    <w:abstractNumId w:val="13"/>
  </w:num>
  <w:num w:numId="9">
    <w:abstractNumId w:val="27"/>
  </w:num>
  <w:num w:numId="10">
    <w:abstractNumId w:val="10"/>
  </w:num>
  <w:num w:numId="11">
    <w:abstractNumId w:val="8"/>
  </w:num>
  <w:num w:numId="12">
    <w:abstractNumId w:val="6"/>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4"/>
  </w:num>
  <w:num w:numId="16">
    <w:abstractNumId w:val="26"/>
  </w:num>
  <w:num w:numId="17">
    <w:abstractNumId w:val="36"/>
  </w:num>
  <w:num w:numId="18">
    <w:abstractNumId w:val="15"/>
  </w:num>
  <w:num w:numId="19">
    <w:abstractNumId w:val="14"/>
  </w:num>
  <w:num w:numId="20">
    <w:abstractNumId w:val="45"/>
  </w:num>
  <w:num w:numId="21">
    <w:abstractNumId w:val="22"/>
  </w:num>
  <w:num w:numId="22">
    <w:abstractNumId w:val="11"/>
  </w:num>
  <w:num w:numId="23">
    <w:abstractNumId w:val="7"/>
  </w:num>
  <w:num w:numId="24">
    <w:abstractNumId w:val="34"/>
  </w:num>
  <w:num w:numId="25">
    <w:abstractNumId w:val="20"/>
  </w:num>
  <w:num w:numId="26">
    <w:abstractNumId w:val="41"/>
  </w:num>
  <w:num w:numId="27">
    <w:abstractNumId w:val="32"/>
  </w:num>
  <w:num w:numId="28">
    <w:abstractNumId w:val="30"/>
  </w:num>
  <w:num w:numId="29">
    <w:abstractNumId w:val="24"/>
  </w:num>
  <w:num w:numId="30">
    <w:abstractNumId w:val="35"/>
  </w:num>
  <w:num w:numId="31">
    <w:abstractNumId w:val="3"/>
  </w:num>
  <w:num w:numId="32">
    <w:abstractNumId w:val="17"/>
  </w:num>
  <w:num w:numId="33">
    <w:abstractNumId w:val="38"/>
  </w:num>
  <w:num w:numId="34">
    <w:abstractNumId w:val="5"/>
  </w:num>
  <w:num w:numId="35">
    <w:abstractNumId w:val="44"/>
  </w:num>
  <w:num w:numId="36">
    <w:abstractNumId w:val="9"/>
  </w:num>
  <w:num w:numId="37">
    <w:abstractNumId w:val="33"/>
  </w:num>
  <w:num w:numId="38">
    <w:abstractNumId w:val="31"/>
  </w:num>
  <w:num w:numId="39">
    <w:abstractNumId w:val="12"/>
  </w:num>
  <w:num w:numId="40">
    <w:abstractNumId w:val="42"/>
  </w:num>
  <w:num w:numId="41">
    <w:abstractNumId w:val="1"/>
  </w:num>
  <w:num w:numId="42">
    <w:abstractNumId w:val="29"/>
  </w:num>
  <w:num w:numId="43">
    <w:abstractNumId w:val="37"/>
  </w:num>
  <w:num w:numId="44">
    <w:abstractNumId w:val="16"/>
  </w:num>
  <w:num w:numId="45">
    <w:abstractNumId w:val="23"/>
  </w:num>
  <w:num w:numId="46">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de-DE" w:vendorID="64" w:dllVersion="6"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yMjE2NjY0NzUxMDFT0lEKTi0uzszPAykwrgUANtLyXCwAAAA="/>
  </w:docVars>
  <w:rsids>
    <w:rsidRoot w:val="00797049"/>
    <w:rsid w:val="000006E6"/>
    <w:rsid w:val="00000DE8"/>
    <w:rsid w:val="00001E72"/>
    <w:rsid w:val="000020A3"/>
    <w:rsid w:val="00002B05"/>
    <w:rsid w:val="00012D78"/>
    <w:rsid w:val="000137AC"/>
    <w:rsid w:val="00013A0B"/>
    <w:rsid w:val="00014DAA"/>
    <w:rsid w:val="00015AE1"/>
    <w:rsid w:val="00016066"/>
    <w:rsid w:val="00016287"/>
    <w:rsid w:val="000169B7"/>
    <w:rsid w:val="00017C48"/>
    <w:rsid w:val="00022AB8"/>
    <w:rsid w:val="00024FE3"/>
    <w:rsid w:val="000260F7"/>
    <w:rsid w:val="000272D5"/>
    <w:rsid w:val="000309BB"/>
    <w:rsid w:val="00030D5A"/>
    <w:rsid w:val="00031CC2"/>
    <w:rsid w:val="00032157"/>
    <w:rsid w:val="000324A5"/>
    <w:rsid w:val="00032945"/>
    <w:rsid w:val="000335F3"/>
    <w:rsid w:val="00033627"/>
    <w:rsid w:val="000336DF"/>
    <w:rsid w:val="00033E00"/>
    <w:rsid w:val="00035AD8"/>
    <w:rsid w:val="00036356"/>
    <w:rsid w:val="00036738"/>
    <w:rsid w:val="00036DD7"/>
    <w:rsid w:val="00040056"/>
    <w:rsid w:val="00040ACE"/>
    <w:rsid w:val="00041425"/>
    <w:rsid w:val="00042597"/>
    <w:rsid w:val="00043758"/>
    <w:rsid w:val="0004613A"/>
    <w:rsid w:val="0004623F"/>
    <w:rsid w:val="00046CA9"/>
    <w:rsid w:val="000520F8"/>
    <w:rsid w:val="000524AA"/>
    <w:rsid w:val="00052735"/>
    <w:rsid w:val="00052B37"/>
    <w:rsid w:val="00053A8F"/>
    <w:rsid w:val="00055B7C"/>
    <w:rsid w:val="000569AA"/>
    <w:rsid w:val="00057818"/>
    <w:rsid w:val="00057B4C"/>
    <w:rsid w:val="00057F4B"/>
    <w:rsid w:val="000604DA"/>
    <w:rsid w:val="0006370D"/>
    <w:rsid w:val="00063909"/>
    <w:rsid w:val="00065017"/>
    <w:rsid w:val="00065B13"/>
    <w:rsid w:val="00067011"/>
    <w:rsid w:val="00067709"/>
    <w:rsid w:val="0007083B"/>
    <w:rsid w:val="0007126F"/>
    <w:rsid w:val="00071E66"/>
    <w:rsid w:val="00072287"/>
    <w:rsid w:val="00072F40"/>
    <w:rsid w:val="000733FF"/>
    <w:rsid w:val="00074995"/>
    <w:rsid w:val="00074B8A"/>
    <w:rsid w:val="0007697A"/>
    <w:rsid w:val="00076C95"/>
    <w:rsid w:val="000770EA"/>
    <w:rsid w:val="00077C67"/>
    <w:rsid w:val="000840EF"/>
    <w:rsid w:val="00084834"/>
    <w:rsid w:val="0008543E"/>
    <w:rsid w:val="00092829"/>
    <w:rsid w:val="000962C5"/>
    <w:rsid w:val="0009697B"/>
    <w:rsid w:val="00096BBB"/>
    <w:rsid w:val="000971EA"/>
    <w:rsid w:val="000A195A"/>
    <w:rsid w:val="000A1B24"/>
    <w:rsid w:val="000A2ED6"/>
    <w:rsid w:val="000A3003"/>
    <w:rsid w:val="000A3531"/>
    <w:rsid w:val="000A4EC1"/>
    <w:rsid w:val="000A5857"/>
    <w:rsid w:val="000A663B"/>
    <w:rsid w:val="000A7001"/>
    <w:rsid w:val="000A78FC"/>
    <w:rsid w:val="000A7CED"/>
    <w:rsid w:val="000B0B28"/>
    <w:rsid w:val="000B0BD8"/>
    <w:rsid w:val="000B0C3C"/>
    <w:rsid w:val="000B10CF"/>
    <w:rsid w:val="000B241F"/>
    <w:rsid w:val="000B3461"/>
    <w:rsid w:val="000B38A6"/>
    <w:rsid w:val="000B39F2"/>
    <w:rsid w:val="000B4DB4"/>
    <w:rsid w:val="000B544A"/>
    <w:rsid w:val="000B5661"/>
    <w:rsid w:val="000B5A70"/>
    <w:rsid w:val="000B5EDA"/>
    <w:rsid w:val="000C01FD"/>
    <w:rsid w:val="000C3BEC"/>
    <w:rsid w:val="000C44D1"/>
    <w:rsid w:val="000C4B58"/>
    <w:rsid w:val="000C5935"/>
    <w:rsid w:val="000C5CF3"/>
    <w:rsid w:val="000C6FA1"/>
    <w:rsid w:val="000D0544"/>
    <w:rsid w:val="000D2C56"/>
    <w:rsid w:val="000D310F"/>
    <w:rsid w:val="000D3771"/>
    <w:rsid w:val="000D410C"/>
    <w:rsid w:val="000D5CE6"/>
    <w:rsid w:val="000D6108"/>
    <w:rsid w:val="000D6ED5"/>
    <w:rsid w:val="000D722D"/>
    <w:rsid w:val="000E0422"/>
    <w:rsid w:val="000E1C07"/>
    <w:rsid w:val="000E2A0C"/>
    <w:rsid w:val="000E3447"/>
    <w:rsid w:val="000E50E4"/>
    <w:rsid w:val="000E5CD1"/>
    <w:rsid w:val="000E6525"/>
    <w:rsid w:val="000E7DFE"/>
    <w:rsid w:val="000F26D4"/>
    <w:rsid w:val="000F28C3"/>
    <w:rsid w:val="000F44A7"/>
    <w:rsid w:val="000F4634"/>
    <w:rsid w:val="000F5304"/>
    <w:rsid w:val="000F569C"/>
    <w:rsid w:val="000F647E"/>
    <w:rsid w:val="000F67F8"/>
    <w:rsid w:val="000F6F06"/>
    <w:rsid w:val="00100974"/>
    <w:rsid w:val="00101E69"/>
    <w:rsid w:val="00105E58"/>
    <w:rsid w:val="001077E6"/>
    <w:rsid w:val="0011280A"/>
    <w:rsid w:val="00112B29"/>
    <w:rsid w:val="00112B6F"/>
    <w:rsid w:val="001148BC"/>
    <w:rsid w:val="00114C7A"/>
    <w:rsid w:val="0011558D"/>
    <w:rsid w:val="00115D0E"/>
    <w:rsid w:val="001162EE"/>
    <w:rsid w:val="00117995"/>
    <w:rsid w:val="00120EF7"/>
    <w:rsid w:val="001216F1"/>
    <w:rsid w:val="00123DB2"/>
    <w:rsid w:val="00123DFA"/>
    <w:rsid w:val="001242B4"/>
    <w:rsid w:val="00124DCA"/>
    <w:rsid w:val="001252B9"/>
    <w:rsid w:val="00125B23"/>
    <w:rsid w:val="00125E3B"/>
    <w:rsid w:val="00126765"/>
    <w:rsid w:val="00127CF3"/>
    <w:rsid w:val="00127F10"/>
    <w:rsid w:val="0013006E"/>
    <w:rsid w:val="001311AC"/>
    <w:rsid w:val="00131770"/>
    <w:rsid w:val="00131B9B"/>
    <w:rsid w:val="001341ED"/>
    <w:rsid w:val="001362F0"/>
    <w:rsid w:val="00136E03"/>
    <w:rsid w:val="00137728"/>
    <w:rsid w:val="00140B2E"/>
    <w:rsid w:val="00141FEF"/>
    <w:rsid w:val="00142AC7"/>
    <w:rsid w:val="00144B54"/>
    <w:rsid w:val="00145DF8"/>
    <w:rsid w:val="001460C0"/>
    <w:rsid w:val="00147A94"/>
    <w:rsid w:val="00150ED1"/>
    <w:rsid w:val="0015100B"/>
    <w:rsid w:val="0015261E"/>
    <w:rsid w:val="00152E92"/>
    <w:rsid w:val="0015349A"/>
    <w:rsid w:val="001550BB"/>
    <w:rsid w:val="001553F6"/>
    <w:rsid w:val="00155FA6"/>
    <w:rsid w:val="001578A1"/>
    <w:rsid w:val="001608D7"/>
    <w:rsid w:val="00162C43"/>
    <w:rsid w:val="0016454D"/>
    <w:rsid w:val="00165C22"/>
    <w:rsid w:val="00165F2B"/>
    <w:rsid w:val="001704C6"/>
    <w:rsid w:val="00170609"/>
    <w:rsid w:val="00170F63"/>
    <w:rsid w:val="001721D8"/>
    <w:rsid w:val="001737A3"/>
    <w:rsid w:val="00174752"/>
    <w:rsid w:val="00174D57"/>
    <w:rsid w:val="00174EDF"/>
    <w:rsid w:val="00175636"/>
    <w:rsid w:val="00176B54"/>
    <w:rsid w:val="00177DD2"/>
    <w:rsid w:val="00180D37"/>
    <w:rsid w:val="00181FA8"/>
    <w:rsid w:val="00183419"/>
    <w:rsid w:val="00184075"/>
    <w:rsid w:val="0018553E"/>
    <w:rsid w:val="00186479"/>
    <w:rsid w:val="001870DE"/>
    <w:rsid w:val="00187D83"/>
    <w:rsid w:val="00192E23"/>
    <w:rsid w:val="0019320C"/>
    <w:rsid w:val="00193EC0"/>
    <w:rsid w:val="00196B02"/>
    <w:rsid w:val="00196F94"/>
    <w:rsid w:val="001A00A7"/>
    <w:rsid w:val="001A1222"/>
    <w:rsid w:val="001A3D0D"/>
    <w:rsid w:val="001A3EE1"/>
    <w:rsid w:val="001A51FE"/>
    <w:rsid w:val="001B4CA8"/>
    <w:rsid w:val="001B6E46"/>
    <w:rsid w:val="001B6F54"/>
    <w:rsid w:val="001B7533"/>
    <w:rsid w:val="001C6A81"/>
    <w:rsid w:val="001C72D2"/>
    <w:rsid w:val="001C7B88"/>
    <w:rsid w:val="001C7C49"/>
    <w:rsid w:val="001D02F2"/>
    <w:rsid w:val="001D0341"/>
    <w:rsid w:val="001D0812"/>
    <w:rsid w:val="001D4171"/>
    <w:rsid w:val="001D5E1B"/>
    <w:rsid w:val="001D71BB"/>
    <w:rsid w:val="001E1744"/>
    <w:rsid w:val="001E1F98"/>
    <w:rsid w:val="001E3C95"/>
    <w:rsid w:val="001E558B"/>
    <w:rsid w:val="001E604A"/>
    <w:rsid w:val="001E71D5"/>
    <w:rsid w:val="001F2ECD"/>
    <w:rsid w:val="001F3146"/>
    <w:rsid w:val="001F4238"/>
    <w:rsid w:val="00200379"/>
    <w:rsid w:val="00200942"/>
    <w:rsid w:val="0020125C"/>
    <w:rsid w:val="00201456"/>
    <w:rsid w:val="00201BEA"/>
    <w:rsid w:val="00202977"/>
    <w:rsid w:val="00202F36"/>
    <w:rsid w:val="00203015"/>
    <w:rsid w:val="00204287"/>
    <w:rsid w:val="00204479"/>
    <w:rsid w:val="00205955"/>
    <w:rsid w:val="00206218"/>
    <w:rsid w:val="00210AD2"/>
    <w:rsid w:val="00210EBE"/>
    <w:rsid w:val="00211200"/>
    <w:rsid w:val="00211E9F"/>
    <w:rsid w:val="002122F3"/>
    <w:rsid w:val="00213E6E"/>
    <w:rsid w:val="002148DB"/>
    <w:rsid w:val="00215B72"/>
    <w:rsid w:val="00216595"/>
    <w:rsid w:val="0022028E"/>
    <w:rsid w:val="00222585"/>
    <w:rsid w:val="00224134"/>
    <w:rsid w:val="0022473D"/>
    <w:rsid w:val="00227AB9"/>
    <w:rsid w:val="00231E85"/>
    <w:rsid w:val="00234522"/>
    <w:rsid w:val="00236EF5"/>
    <w:rsid w:val="00240B61"/>
    <w:rsid w:val="00241912"/>
    <w:rsid w:val="00243B8E"/>
    <w:rsid w:val="00244AC7"/>
    <w:rsid w:val="002466EA"/>
    <w:rsid w:val="0025015E"/>
    <w:rsid w:val="00253A76"/>
    <w:rsid w:val="00253C01"/>
    <w:rsid w:val="00253E50"/>
    <w:rsid w:val="00254B25"/>
    <w:rsid w:val="00254ECD"/>
    <w:rsid w:val="00256703"/>
    <w:rsid w:val="002567A4"/>
    <w:rsid w:val="0026139F"/>
    <w:rsid w:val="00262C32"/>
    <w:rsid w:val="0026427F"/>
    <w:rsid w:val="002661A7"/>
    <w:rsid w:val="0026699A"/>
    <w:rsid w:val="00266F9F"/>
    <w:rsid w:val="00267430"/>
    <w:rsid w:val="00270295"/>
    <w:rsid w:val="002704DB"/>
    <w:rsid w:val="002716C6"/>
    <w:rsid w:val="00271C31"/>
    <w:rsid w:val="0027332F"/>
    <w:rsid w:val="00274030"/>
    <w:rsid w:val="00275739"/>
    <w:rsid w:val="0027579B"/>
    <w:rsid w:val="00275AE8"/>
    <w:rsid w:val="00276402"/>
    <w:rsid w:val="00280CDF"/>
    <w:rsid w:val="00280FC2"/>
    <w:rsid w:val="00282C9C"/>
    <w:rsid w:val="00284191"/>
    <w:rsid w:val="002860F8"/>
    <w:rsid w:val="002863C3"/>
    <w:rsid w:val="002879DB"/>
    <w:rsid w:val="002905C9"/>
    <w:rsid w:val="0029061D"/>
    <w:rsid w:val="00291CBC"/>
    <w:rsid w:val="00292BCF"/>
    <w:rsid w:val="00292DEF"/>
    <w:rsid w:val="00293EB8"/>
    <w:rsid w:val="002979AC"/>
    <w:rsid w:val="00297E37"/>
    <w:rsid w:val="002A1021"/>
    <w:rsid w:val="002A2B8C"/>
    <w:rsid w:val="002A409F"/>
    <w:rsid w:val="002A6857"/>
    <w:rsid w:val="002A6C79"/>
    <w:rsid w:val="002A7232"/>
    <w:rsid w:val="002B0CFF"/>
    <w:rsid w:val="002B14D4"/>
    <w:rsid w:val="002B1550"/>
    <w:rsid w:val="002B16E7"/>
    <w:rsid w:val="002B176D"/>
    <w:rsid w:val="002B1F42"/>
    <w:rsid w:val="002B3805"/>
    <w:rsid w:val="002B4647"/>
    <w:rsid w:val="002B52B8"/>
    <w:rsid w:val="002B54DB"/>
    <w:rsid w:val="002B5E97"/>
    <w:rsid w:val="002B64C7"/>
    <w:rsid w:val="002B6728"/>
    <w:rsid w:val="002B7BA0"/>
    <w:rsid w:val="002C0AD2"/>
    <w:rsid w:val="002C0C52"/>
    <w:rsid w:val="002C0CB5"/>
    <w:rsid w:val="002C13A3"/>
    <w:rsid w:val="002C1A76"/>
    <w:rsid w:val="002C3436"/>
    <w:rsid w:val="002C3EC4"/>
    <w:rsid w:val="002C3FEF"/>
    <w:rsid w:val="002C4928"/>
    <w:rsid w:val="002C5640"/>
    <w:rsid w:val="002C7197"/>
    <w:rsid w:val="002D0105"/>
    <w:rsid w:val="002D2BFB"/>
    <w:rsid w:val="002D318D"/>
    <w:rsid w:val="002D42E1"/>
    <w:rsid w:val="002D475F"/>
    <w:rsid w:val="002D47AE"/>
    <w:rsid w:val="002D49B9"/>
    <w:rsid w:val="002D7078"/>
    <w:rsid w:val="002E0420"/>
    <w:rsid w:val="002E04BB"/>
    <w:rsid w:val="002E0CE3"/>
    <w:rsid w:val="002E222C"/>
    <w:rsid w:val="002E248F"/>
    <w:rsid w:val="002E3364"/>
    <w:rsid w:val="002E3CFC"/>
    <w:rsid w:val="002E5484"/>
    <w:rsid w:val="002E5B35"/>
    <w:rsid w:val="002E6D1F"/>
    <w:rsid w:val="002E6D91"/>
    <w:rsid w:val="002E7E81"/>
    <w:rsid w:val="002F2911"/>
    <w:rsid w:val="002F2E15"/>
    <w:rsid w:val="002F4CC9"/>
    <w:rsid w:val="0030080C"/>
    <w:rsid w:val="0030089D"/>
    <w:rsid w:val="00301463"/>
    <w:rsid w:val="00301E35"/>
    <w:rsid w:val="0030288E"/>
    <w:rsid w:val="003030E9"/>
    <w:rsid w:val="00304202"/>
    <w:rsid w:val="003043FB"/>
    <w:rsid w:val="00304985"/>
    <w:rsid w:val="00306E5F"/>
    <w:rsid w:val="00307068"/>
    <w:rsid w:val="00310355"/>
    <w:rsid w:val="00310C45"/>
    <w:rsid w:val="0031123A"/>
    <w:rsid w:val="00312F4E"/>
    <w:rsid w:val="003155FE"/>
    <w:rsid w:val="00317FEC"/>
    <w:rsid w:val="003207C4"/>
    <w:rsid w:val="00320C35"/>
    <w:rsid w:val="003214F6"/>
    <w:rsid w:val="00323489"/>
    <w:rsid w:val="0032417B"/>
    <w:rsid w:val="003256E1"/>
    <w:rsid w:val="003276B1"/>
    <w:rsid w:val="003277A6"/>
    <w:rsid w:val="00330051"/>
    <w:rsid w:val="00330F5C"/>
    <w:rsid w:val="00330FF2"/>
    <w:rsid w:val="00332F5A"/>
    <w:rsid w:val="0033359C"/>
    <w:rsid w:val="00333BF3"/>
    <w:rsid w:val="00334FF8"/>
    <w:rsid w:val="00336757"/>
    <w:rsid w:val="00336AFC"/>
    <w:rsid w:val="00336E7A"/>
    <w:rsid w:val="00342334"/>
    <w:rsid w:val="00342655"/>
    <w:rsid w:val="00343A3D"/>
    <w:rsid w:val="00344830"/>
    <w:rsid w:val="00345C4A"/>
    <w:rsid w:val="0034615F"/>
    <w:rsid w:val="003461C2"/>
    <w:rsid w:val="003468CB"/>
    <w:rsid w:val="003479DE"/>
    <w:rsid w:val="0035065C"/>
    <w:rsid w:val="003510B9"/>
    <w:rsid w:val="00352812"/>
    <w:rsid w:val="003529A3"/>
    <w:rsid w:val="00354A01"/>
    <w:rsid w:val="003579AC"/>
    <w:rsid w:val="00360754"/>
    <w:rsid w:val="003616A1"/>
    <w:rsid w:val="00363A18"/>
    <w:rsid w:val="00366425"/>
    <w:rsid w:val="00366A11"/>
    <w:rsid w:val="00366CFD"/>
    <w:rsid w:val="0037056F"/>
    <w:rsid w:val="00371033"/>
    <w:rsid w:val="003711D8"/>
    <w:rsid w:val="00371A0E"/>
    <w:rsid w:val="00371F25"/>
    <w:rsid w:val="00373BE9"/>
    <w:rsid w:val="003756BB"/>
    <w:rsid w:val="00375C03"/>
    <w:rsid w:val="00376B1A"/>
    <w:rsid w:val="00377D9F"/>
    <w:rsid w:val="00377E1E"/>
    <w:rsid w:val="00380C07"/>
    <w:rsid w:val="00380F46"/>
    <w:rsid w:val="00381D4E"/>
    <w:rsid w:val="00381EDD"/>
    <w:rsid w:val="00382BAC"/>
    <w:rsid w:val="00383E1F"/>
    <w:rsid w:val="00384026"/>
    <w:rsid w:val="00384515"/>
    <w:rsid w:val="003852E0"/>
    <w:rsid w:val="0038541A"/>
    <w:rsid w:val="00385B7D"/>
    <w:rsid w:val="00386680"/>
    <w:rsid w:val="00386775"/>
    <w:rsid w:val="003869CF"/>
    <w:rsid w:val="00387094"/>
    <w:rsid w:val="00387A44"/>
    <w:rsid w:val="00387B35"/>
    <w:rsid w:val="0039015B"/>
    <w:rsid w:val="00390AA0"/>
    <w:rsid w:val="00393930"/>
    <w:rsid w:val="00395722"/>
    <w:rsid w:val="00396B9D"/>
    <w:rsid w:val="00396D62"/>
    <w:rsid w:val="00396F3D"/>
    <w:rsid w:val="0039768E"/>
    <w:rsid w:val="003A0AE3"/>
    <w:rsid w:val="003A1248"/>
    <w:rsid w:val="003A1974"/>
    <w:rsid w:val="003A39D4"/>
    <w:rsid w:val="003A39F4"/>
    <w:rsid w:val="003A3FB3"/>
    <w:rsid w:val="003A6ABA"/>
    <w:rsid w:val="003B0169"/>
    <w:rsid w:val="003B03B6"/>
    <w:rsid w:val="003B248B"/>
    <w:rsid w:val="003B3CCF"/>
    <w:rsid w:val="003B3D00"/>
    <w:rsid w:val="003B5B09"/>
    <w:rsid w:val="003B60E6"/>
    <w:rsid w:val="003B6C1F"/>
    <w:rsid w:val="003B758F"/>
    <w:rsid w:val="003C1037"/>
    <w:rsid w:val="003C1049"/>
    <w:rsid w:val="003C104E"/>
    <w:rsid w:val="003C2A0B"/>
    <w:rsid w:val="003C2A7D"/>
    <w:rsid w:val="003C5DC4"/>
    <w:rsid w:val="003D0D20"/>
    <w:rsid w:val="003D1113"/>
    <w:rsid w:val="003D2724"/>
    <w:rsid w:val="003D3394"/>
    <w:rsid w:val="003D55F3"/>
    <w:rsid w:val="003D5869"/>
    <w:rsid w:val="003D5FE3"/>
    <w:rsid w:val="003D7AAF"/>
    <w:rsid w:val="003E12CE"/>
    <w:rsid w:val="003E312F"/>
    <w:rsid w:val="003E3683"/>
    <w:rsid w:val="003E3750"/>
    <w:rsid w:val="003E3E51"/>
    <w:rsid w:val="003E640B"/>
    <w:rsid w:val="003E7A90"/>
    <w:rsid w:val="003E7D1D"/>
    <w:rsid w:val="003F01A2"/>
    <w:rsid w:val="003F1FDD"/>
    <w:rsid w:val="003F5310"/>
    <w:rsid w:val="003F5B19"/>
    <w:rsid w:val="003F6ECB"/>
    <w:rsid w:val="003F721E"/>
    <w:rsid w:val="00400538"/>
    <w:rsid w:val="004006D2"/>
    <w:rsid w:val="004013DE"/>
    <w:rsid w:val="00401C93"/>
    <w:rsid w:val="00403284"/>
    <w:rsid w:val="004050EB"/>
    <w:rsid w:val="00405898"/>
    <w:rsid w:val="00407172"/>
    <w:rsid w:val="00410D53"/>
    <w:rsid w:val="00410DB2"/>
    <w:rsid w:val="00410DEF"/>
    <w:rsid w:val="00411455"/>
    <w:rsid w:val="004118F0"/>
    <w:rsid w:val="004119EE"/>
    <w:rsid w:val="00411FBD"/>
    <w:rsid w:val="00415A12"/>
    <w:rsid w:val="00415B3D"/>
    <w:rsid w:val="004202A9"/>
    <w:rsid w:val="00421233"/>
    <w:rsid w:val="00421267"/>
    <w:rsid w:val="00421270"/>
    <w:rsid w:val="00421FAF"/>
    <w:rsid w:val="00422633"/>
    <w:rsid w:val="00422F3C"/>
    <w:rsid w:val="0042307B"/>
    <w:rsid w:val="00424517"/>
    <w:rsid w:val="004245AE"/>
    <w:rsid w:val="00424F05"/>
    <w:rsid w:val="00425264"/>
    <w:rsid w:val="004262B3"/>
    <w:rsid w:val="00426466"/>
    <w:rsid w:val="0042748E"/>
    <w:rsid w:val="00430371"/>
    <w:rsid w:val="0043062B"/>
    <w:rsid w:val="00431107"/>
    <w:rsid w:val="004314F0"/>
    <w:rsid w:val="0043218A"/>
    <w:rsid w:val="00432907"/>
    <w:rsid w:val="00433935"/>
    <w:rsid w:val="00434C03"/>
    <w:rsid w:val="004379F8"/>
    <w:rsid w:val="00440DD7"/>
    <w:rsid w:val="00442AEC"/>
    <w:rsid w:val="004442F2"/>
    <w:rsid w:val="00444542"/>
    <w:rsid w:val="004449E9"/>
    <w:rsid w:val="00445BF4"/>
    <w:rsid w:val="00446676"/>
    <w:rsid w:val="004468DB"/>
    <w:rsid w:val="00447339"/>
    <w:rsid w:val="004512D1"/>
    <w:rsid w:val="00451981"/>
    <w:rsid w:val="004527CB"/>
    <w:rsid w:val="0045341D"/>
    <w:rsid w:val="00453E27"/>
    <w:rsid w:val="00453F51"/>
    <w:rsid w:val="004546A2"/>
    <w:rsid w:val="00455182"/>
    <w:rsid w:val="00457C30"/>
    <w:rsid w:val="00464796"/>
    <w:rsid w:val="00464F5F"/>
    <w:rsid w:val="004652DD"/>
    <w:rsid w:val="00465CE2"/>
    <w:rsid w:val="0046775B"/>
    <w:rsid w:val="00467AFF"/>
    <w:rsid w:val="0047017C"/>
    <w:rsid w:val="00471ACC"/>
    <w:rsid w:val="0047302B"/>
    <w:rsid w:val="004739FD"/>
    <w:rsid w:val="0047512E"/>
    <w:rsid w:val="00475390"/>
    <w:rsid w:val="0047598D"/>
    <w:rsid w:val="0047749A"/>
    <w:rsid w:val="004777A4"/>
    <w:rsid w:val="004801D0"/>
    <w:rsid w:val="0048127C"/>
    <w:rsid w:val="004819DA"/>
    <w:rsid w:val="004825B8"/>
    <w:rsid w:val="0048287C"/>
    <w:rsid w:val="00482C63"/>
    <w:rsid w:val="00483284"/>
    <w:rsid w:val="0048553F"/>
    <w:rsid w:val="00485BCD"/>
    <w:rsid w:val="004874B7"/>
    <w:rsid w:val="004904B2"/>
    <w:rsid w:val="004905E2"/>
    <w:rsid w:val="0049158C"/>
    <w:rsid w:val="004938BE"/>
    <w:rsid w:val="00495EF3"/>
    <w:rsid w:val="00495F46"/>
    <w:rsid w:val="004A02EE"/>
    <w:rsid w:val="004A1D96"/>
    <w:rsid w:val="004A3031"/>
    <w:rsid w:val="004A3525"/>
    <w:rsid w:val="004A3CCD"/>
    <w:rsid w:val="004A4F9E"/>
    <w:rsid w:val="004A5A65"/>
    <w:rsid w:val="004A6D12"/>
    <w:rsid w:val="004A6EEE"/>
    <w:rsid w:val="004B03A0"/>
    <w:rsid w:val="004B0B23"/>
    <w:rsid w:val="004B1B7C"/>
    <w:rsid w:val="004B1F66"/>
    <w:rsid w:val="004B2A91"/>
    <w:rsid w:val="004B2F06"/>
    <w:rsid w:val="004B3192"/>
    <w:rsid w:val="004B3ED5"/>
    <w:rsid w:val="004B4045"/>
    <w:rsid w:val="004B4786"/>
    <w:rsid w:val="004B53A6"/>
    <w:rsid w:val="004B5EFA"/>
    <w:rsid w:val="004B6B15"/>
    <w:rsid w:val="004B77A8"/>
    <w:rsid w:val="004C07DE"/>
    <w:rsid w:val="004C1702"/>
    <w:rsid w:val="004C18C7"/>
    <w:rsid w:val="004C211C"/>
    <w:rsid w:val="004C2768"/>
    <w:rsid w:val="004C28EA"/>
    <w:rsid w:val="004C3A32"/>
    <w:rsid w:val="004C5146"/>
    <w:rsid w:val="004C541E"/>
    <w:rsid w:val="004C599B"/>
    <w:rsid w:val="004C7997"/>
    <w:rsid w:val="004D19A0"/>
    <w:rsid w:val="004D22FA"/>
    <w:rsid w:val="004D3F5B"/>
    <w:rsid w:val="004D4156"/>
    <w:rsid w:val="004D461F"/>
    <w:rsid w:val="004D6726"/>
    <w:rsid w:val="004D728F"/>
    <w:rsid w:val="004D7572"/>
    <w:rsid w:val="004D7E44"/>
    <w:rsid w:val="004E0984"/>
    <w:rsid w:val="004E16D2"/>
    <w:rsid w:val="004E2E5D"/>
    <w:rsid w:val="004E576E"/>
    <w:rsid w:val="004E57DB"/>
    <w:rsid w:val="004E5D95"/>
    <w:rsid w:val="004E601F"/>
    <w:rsid w:val="004E72CF"/>
    <w:rsid w:val="004E7B0F"/>
    <w:rsid w:val="004F1583"/>
    <w:rsid w:val="004F1AA1"/>
    <w:rsid w:val="004F1BF8"/>
    <w:rsid w:val="004F1C33"/>
    <w:rsid w:val="004F1EF3"/>
    <w:rsid w:val="004F287B"/>
    <w:rsid w:val="004F4240"/>
    <w:rsid w:val="004F4ADA"/>
    <w:rsid w:val="004F59B9"/>
    <w:rsid w:val="004F70CB"/>
    <w:rsid w:val="00501568"/>
    <w:rsid w:val="005021DB"/>
    <w:rsid w:val="005028F9"/>
    <w:rsid w:val="00503B0C"/>
    <w:rsid w:val="00504E10"/>
    <w:rsid w:val="005052DA"/>
    <w:rsid w:val="00505A5E"/>
    <w:rsid w:val="005060A6"/>
    <w:rsid w:val="005060D9"/>
    <w:rsid w:val="00506C1F"/>
    <w:rsid w:val="00506E75"/>
    <w:rsid w:val="00510260"/>
    <w:rsid w:val="005104C2"/>
    <w:rsid w:val="005104C6"/>
    <w:rsid w:val="005114E1"/>
    <w:rsid w:val="00512282"/>
    <w:rsid w:val="00513541"/>
    <w:rsid w:val="00514D6A"/>
    <w:rsid w:val="00515142"/>
    <w:rsid w:val="005153C0"/>
    <w:rsid w:val="00515E22"/>
    <w:rsid w:val="005164CE"/>
    <w:rsid w:val="0052044C"/>
    <w:rsid w:val="00524A98"/>
    <w:rsid w:val="00524AB1"/>
    <w:rsid w:val="00524E61"/>
    <w:rsid w:val="00525362"/>
    <w:rsid w:val="0052577F"/>
    <w:rsid w:val="00526094"/>
    <w:rsid w:val="00526F36"/>
    <w:rsid w:val="00527A51"/>
    <w:rsid w:val="00527B84"/>
    <w:rsid w:val="00527D14"/>
    <w:rsid w:val="0053028D"/>
    <w:rsid w:val="00530F17"/>
    <w:rsid w:val="005326D7"/>
    <w:rsid w:val="00534798"/>
    <w:rsid w:val="00534C06"/>
    <w:rsid w:val="00534F4E"/>
    <w:rsid w:val="005351A0"/>
    <w:rsid w:val="0053595C"/>
    <w:rsid w:val="005375DF"/>
    <w:rsid w:val="00537B19"/>
    <w:rsid w:val="00540609"/>
    <w:rsid w:val="00543E3A"/>
    <w:rsid w:val="005444CD"/>
    <w:rsid w:val="00545F19"/>
    <w:rsid w:val="00546453"/>
    <w:rsid w:val="005478EF"/>
    <w:rsid w:val="00547D89"/>
    <w:rsid w:val="00550474"/>
    <w:rsid w:val="00551263"/>
    <w:rsid w:val="0055152E"/>
    <w:rsid w:val="0055280A"/>
    <w:rsid w:val="005552E3"/>
    <w:rsid w:val="0055693E"/>
    <w:rsid w:val="005569E7"/>
    <w:rsid w:val="00560635"/>
    <w:rsid w:val="00560CAC"/>
    <w:rsid w:val="00562D11"/>
    <w:rsid w:val="00562D74"/>
    <w:rsid w:val="00563037"/>
    <w:rsid w:val="00563F10"/>
    <w:rsid w:val="00564155"/>
    <w:rsid w:val="00565BFB"/>
    <w:rsid w:val="005674A7"/>
    <w:rsid w:val="0057091A"/>
    <w:rsid w:val="005714F2"/>
    <w:rsid w:val="00571D45"/>
    <w:rsid w:val="00572619"/>
    <w:rsid w:val="00573009"/>
    <w:rsid w:val="005739CD"/>
    <w:rsid w:val="00574019"/>
    <w:rsid w:val="005744A5"/>
    <w:rsid w:val="00574FAA"/>
    <w:rsid w:val="00577C04"/>
    <w:rsid w:val="00577D6E"/>
    <w:rsid w:val="00580059"/>
    <w:rsid w:val="00580133"/>
    <w:rsid w:val="00580E99"/>
    <w:rsid w:val="005813EB"/>
    <w:rsid w:val="005817F0"/>
    <w:rsid w:val="005818F4"/>
    <w:rsid w:val="005820D7"/>
    <w:rsid w:val="005823F8"/>
    <w:rsid w:val="005834C6"/>
    <w:rsid w:val="00587133"/>
    <w:rsid w:val="00591CC0"/>
    <w:rsid w:val="0059589C"/>
    <w:rsid w:val="005965A2"/>
    <w:rsid w:val="00597425"/>
    <w:rsid w:val="00597FE3"/>
    <w:rsid w:val="00597FF7"/>
    <w:rsid w:val="005A0495"/>
    <w:rsid w:val="005A1859"/>
    <w:rsid w:val="005A1958"/>
    <w:rsid w:val="005A1E5D"/>
    <w:rsid w:val="005A3081"/>
    <w:rsid w:val="005A33CF"/>
    <w:rsid w:val="005A3946"/>
    <w:rsid w:val="005A4237"/>
    <w:rsid w:val="005A52A6"/>
    <w:rsid w:val="005A5F68"/>
    <w:rsid w:val="005A611A"/>
    <w:rsid w:val="005A6DD6"/>
    <w:rsid w:val="005A7265"/>
    <w:rsid w:val="005A7294"/>
    <w:rsid w:val="005B2030"/>
    <w:rsid w:val="005B2B94"/>
    <w:rsid w:val="005B2E1E"/>
    <w:rsid w:val="005B35F3"/>
    <w:rsid w:val="005B4B18"/>
    <w:rsid w:val="005B6AAF"/>
    <w:rsid w:val="005B6D11"/>
    <w:rsid w:val="005B70AB"/>
    <w:rsid w:val="005C11EC"/>
    <w:rsid w:val="005C2649"/>
    <w:rsid w:val="005C288D"/>
    <w:rsid w:val="005C2EFD"/>
    <w:rsid w:val="005C35FA"/>
    <w:rsid w:val="005C3ABF"/>
    <w:rsid w:val="005C40FB"/>
    <w:rsid w:val="005C756A"/>
    <w:rsid w:val="005C77E2"/>
    <w:rsid w:val="005D0D13"/>
    <w:rsid w:val="005D0E66"/>
    <w:rsid w:val="005D2EEE"/>
    <w:rsid w:val="005D77C7"/>
    <w:rsid w:val="005E2598"/>
    <w:rsid w:val="005E333F"/>
    <w:rsid w:val="005E65E7"/>
    <w:rsid w:val="005E78EA"/>
    <w:rsid w:val="005F0318"/>
    <w:rsid w:val="005F1B90"/>
    <w:rsid w:val="005F2182"/>
    <w:rsid w:val="005F26DA"/>
    <w:rsid w:val="005F2E61"/>
    <w:rsid w:val="005F3193"/>
    <w:rsid w:val="005F4510"/>
    <w:rsid w:val="005F5A7D"/>
    <w:rsid w:val="005F7CEE"/>
    <w:rsid w:val="005F7E08"/>
    <w:rsid w:val="0060016D"/>
    <w:rsid w:val="00600D1C"/>
    <w:rsid w:val="00601439"/>
    <w:rsid w:val="00602019"/>
    <w:rsid w:val="006039A4"/>
    <w:rsid w:val="0060423A"/>
    <w:rsid w:val="006047A9"/>
    <w:rsid w:val="00607145"/>
    <w:rsid w:val="00607898"/>
    <w:rsid w:val="006104B4"/>
    <w:rsid w:val="00610F9D"/>
    <w:rsid w:val="00611338"/>
    <w:rsid w:val="00611DA0"/>
    <w:rsid w:val="00611DAF"/>
    <w:rsid w:val="006125A9"/>
    <w:rsid w:val="00612D57"/>
    <w:rsid w:val="00613408"/>
    <w:rsid w:val="00613492"/>
    <w:rsid w:val="00613CB3"/>
    <w:rsid w:val="0061413A"/>
    <w:rsid w:val="0061418F"/>
    <w:rsid w:val="00615D63"/>
    <w:rsid w:val="00616221"/>
    <w:rsid w:val="00617CB9"/>
    <w:rsid w:val="006205D2"/>
    <w:rsid w:val="00620844"/>
    <w:rsid w:val="006215E8"/>
    <w:rsid w:val="00621B32"/>
    <w:rsid w:val="00623B24"/>
    <w:rsid w:val="006244BF"/>
    <w:rsid w:val="00625DBF"/>
    <w:rsid w:val="00626314"/>
    <w:rsid w:val="00626E55"/>
    <w:rsid w:val="0062763C"/>
    <w:rsid w:val="00630038"/>
    <w:rsid w:val="00631EAD"/>
    <w:rsid w:val="0063370F"/>
    <w:rsid w:val="00633BAF"/>
    <w:rsid w:val="0063502F"/>
    <w:rsid w:val="00636500"/>
    <w:rsid w:val="00637C64"/>
    <w:rsid w:val="00640567"/>
    <w:rsid w:val="0064146F"/>
    <w:rsid w:val="00642E17"/>
    <w:rsid w:val="006437C7"/>
    <w:rsid w:val="00643C8D"/>
    <w:rsid w:val="00646A9B"/>
    <w:rsid w:val="00647E8A"/>
    <w:rsid w:val="00650F7F"/>
    <w:rsid w:val="0065245F"/>
    <w:rsid w:val="00653585"/>
    <w:rsid w:val="0065364A"/>
    <w:rsid w:val="006566ED"/>
    <w:rsid w:val="0065728B"/>
    <w:rsid w:val="00657819"/>
    <w:rsid w:val="0066087D"/>
    <w:rsid w:val="00660CA2"/>
    <w:rsid w:val="006615AC"/>
    <w:rsid w:val="0066187F"/>
    <w:rsid w:val="00661D48"/>
    <w:rsid w:val="00663CE6"/>
    <w:rsid w:val="00665839"/>
    <w:rsid w:val="006666EF"/>
    <w:rsid w:val="0066789A"/>
    <w:rsid w:val="006703FC"/>
    <w:rsid w:val="006715CE"/>
    <w:rsid w:val="00671AC9"/>
    <w:rsid w:val="00671F4B"/>
    <w:rsid w:val="00672D1F"/>
    <w:rsid w:val="00674E64"/>
    <w:rsid w:val="006755A1"/>
    <w:rsid w:val="0067605A"/>
    <w:rsid w:val="00676837"/>
    <w:rsid w:val="00682BA0"/>
    <w:rsid w:val="00686BC1"/>
    <w:rsid w:val="00687260"/>
    <w:rsid w:val="00690051"/>
    <w:rsid w:val="006902A1"/>
    <w:rsid w:val="0069096A"/>
    <w:rsid w:val="00690C1F"/>
    <w:rsid w:val="00691D63"/>
    <w:rsid w:val="006940F1"/>
    <w:rsid w:val="0069425C"/>
    <w:rsid w:val="0069448E"/>
    <w:rsid w:val="00695770"/>
    <w:rsid w:val="00695C78"/>
    <w:rsid w:val="00696F78"/>
    <w:rsid w:val="00697382"/>
    <w:rsid w:val="00697724"/>
    <w:rsid w:val="006A0140"/>
    <w:rsid w:val="006A1BEF"/>
    <w:rsid w:val="006A28CE"/>
    <w:rsid w:val="006A48F5"/>
    <w:rsid w:val="006A4E10"/>
    <w:rsid w:val="006A60B5"/>
    <w:rsid w:val="006A619A"/>
    <w:rsid w:val="006A66F4"/>
    <w:rsid w:val="006A789C"/>
    <w:rsid w:val="006B041F"/>
    <w:rsid w:val="006B051D"/>
    <w:rsid w:val="006B0787"/>
    <w:rsid w:val="006B0889"/>
    <w:rsid w:val="006B1227"/>
    <w:rsid w:val="006B314E"/>
    <w:rsid w:val="006B3D79"/>
    <w:rsid w:val="006B5B76"/>
    <w:rsid w:val="006B69D6"/>
    <w:rsid w:val="006B76C3"/>
    <w:rsid w:val="006C0E63"/>
    <w:rsid w:val="006C2389"/>
    <w:rsid w:val="006C23AF"/>
    <w:rsid w:val="006C2F27"/>
    <w:rsid w:val="006C365B"/>
    <w:rsid w:val="006C4A33"/>
    <w:rsid w:val="006C547C"/>
    <w:rsid w:val="006C5944"/>
    <w:rsid w:val="006C5948"/>
    <w:rsid w:val="006C633C"/>
    <w:rsid w:val="006C63C9"/>
    <w:rsid w:val="006C7009"/>
    <w:rsid w:val="006D0C6D"/>
    <w:rsid w:val="006D0F50"/>
    <w:rsid w:val="006D131B"/>
    <w:rsid w:val="006D1CBD"/>
    <w:rsid w:val="006D2BE2"/>
    <w:rsid w:val="006D5474"/>
    <w:rsid w:val="006D6696"/>
    <w:rsid w:val="006D67F5"/>
    <w:rsid w:val="006D690A"/>
    <w:rsid w:val="006D6D1D"/>
    <w:rsid w:val="006D72AC"/>
    <w:rsid w:val="006E2776"/>
    <w:rsid w:val="006E6FF7"/>
    <w:rsid w:val="006F038E"/>
    <w:rsid w:val="006F09C2"/>
    <w:rsid w:val="006F2955"/>
    <w:rsid w:val="006F4A7D"/>
    <w:rsid w:val="006F4B61"/>
    <w:rsid w:val="006F4BDE"/>
    <w:rsid w:val="006F6891"/>
    <w:rsid w:val="006F6D53"/>
    <w:rsid w:val="006F759C"/>
    <w:rsid w:val="00700E5A"/>
    <w:rsid w:val="00701EC8"/>
    <w:rsid w:val="0070260A"/>
    <w:rsid w:val="0070276C"/>
    <w:rsid w:val="00703648"/>
    <w:rsid w:val="007042B6"/>
    <w:rsid w:val="00705918"/>
    <w:rsid w:val="00706959"/>
    <w:rsid w:val="00707304"/>
    <w:rsid w:val="00710F0A"/>
    <w:rsid w:val="00710FE9"/>
    <w:rsid w:val="007117C2"/>
    <w:rsid w:val="00711AF5"/>
    <w:rsid w:val="0071335A"/>
    <w:rsid w:val="007141C1"/>
    <w:rsid w:val="00714796"/>
    <w:rsid w:val="00715B79"/>
    <w:rsid w:val="00715B97"/>
    <w:rsid w:val="00715D28"/>
    <w:rsid w:val="00715EA2"/>
    <w:rsid w:val="007160BB"/>
    <w:rsid w:val="007160E5"/>
    <w:rsid w:val="00716DC6"/>
    <w:rsid w:val="00720961"/>
    <w:rsid w:val="00721B88"/>
    <w:rsid w:val="00722515"/>
    <w:rsid w:val="00722715"/>
    <w:rsid w:val="007236D3"/>
    <w:rsid w:val="00724541"/>
    <w:rsid w:val="007251A9"/>
    <w:rsid w:val="007262B8"/>
    <w:rsid w:val="007272B6"/>
    <w:rsid w:val="00727B35"/>
    <w:rsid w:val="00730771"/>
    <w:rsid w:val="00732445"/>
    <w:rsid w:val="007351E3"/>
    <w:rsid w:val="007357D6"/>
    <w:rsid w:val="00735870"/>
    <w:rsid w:val="00736876"/>
    <w:rsid w:val="0073704A"/>
    <w:rsid w:val="00740003"/>
    <w:rsid w:val="00740E58"/>
    <w:rsid w:val="00741267"/>
    <w:rsid w:val="00741890"/>
    <w:rsid w:val="00742053"/>
    <w:rsid w:val="007425E8"/>
    <w:rsid w:val="00743871"/>
    <w:rsid w:val="00747367"/>
    <w:rsid w:val="00747A4C"/>
    <w:rsid w:val="007505B1"/>
    <w:rsid w:val="00750ADF"/>
    <w:rsid w:val="007510F2"/>
    <w:rsid w:val="00753287"/>
    <w:rsid w:val="00753D07"/>
    <w:rsid w:val="0075409F"/>
    <w:rsid w:val="0075494B"/>
    <w:rsid w:val="007553DD"/>
    <w:rsid w:val="0075627A"/>
    <w:rsid w:val="00756FB1"/>
    <w:rsid w:val="007575CC"/>
    <w:rsid w:val="00757DEB"/>
    <w:rsid w:val="00760D38"/>
    <w:rsid w:val="007616DF"/>
    <w:rsid w:val="007629CA"/>
    <w:rsid w:val="00762DE5"/>
    <w:rsid w:val="00764B06"/>
    <w:rsid w:val="00765B8F"/>
    <w:rsid w:val="00766476"/>
    <w:rsid w:val="00766F9D"/>
    <w:rsid w:val="0076756B"/>
    <w:rsid w:val="0076760C"/>
    <w:rsid w:val="00770530"/>
    <w:rsid w:val="00770DE4"/>
    <w:rsid w:val="00772C60"/>
    <w:rsid w:val="00773B81"/>
    <w:rsid w:val="00773F74"/>
    <w:rsid w:val="00774AF1"/>
    <w:rsid w:val="00776BD7"/>
    <w:rsid w:val="007821FB"/>
    <w:rsid w:val="00782E21"/>
    <w:rsid w:val="00783C0A"/>
    <w:rsid w:val="00784623"/>
    <w:rsid w:val="00784ABE"/>
    <w:rsid w:val="00787889"/>
    <w:rsid w:val="007902D0"/>
    <w:rsid w:val="00791E6E"/>
    <w:rsid w:val="00792ABB"/>
    <w:rsid w:val="00795C03"/>
    <w:rsid w:val="00795D8E"/>
    <w:rsid w:val="007966E4"/>
    <w:rsid w:val="00796F9C"/>
    <w:rsid w:val="00797049"/>
    <w:rsid w:val="00797AE0"/>
    <w:rsid w:val="007A07E7"/>
    <w:rsid w:val="007A0E6C"/>
    <w:rsid w:val="007A0EB8"/>
    <w:rsid w:val="007A14A2"/>
    <w:rsid w:val="007A1539"/>
    <w:rsid w:val="007A17B7"/>
    <w:rsid w:val="007A2188"/>
    <w:rsid w:val="007A2496"/>
    <w:rsid w:val="007A25D3"/>
    <w:rsid w:val="007A25F4"/>
    <w:rsid w:val="007A4B5B"/>
    <w:rsid w:val="007A4C17"/>
    <w:rsid w:val="007B2B5E"/>
    <w:rsid w:val="007B2ED1"/>
    <w:rsid w:val="007B59FE"/>
    <w:rsid w:val="007B61E5"/>
    <w:rsid w:val="007B69F9"/>
    <w:rsid w:val="007B6F29"/>
    <w:rsid w:val="007B73C8"/>
    <w:rsid w:val="007C013F"/>
    <w:rsid w:val="007C0F14"/>
    <w:rsid w:val="007C1F34"/>
    <w:rsid w:val="007C2486"/>
    <w:rsid w:val="007C29DD"/>
    <w:rsid w:val="007C3538"/>
    <w:rsid w:val="007C56AD"/>
    <w:rsid w:val="007C56B7"/>
    <w:rsid w:val="007C5AB6"/>
    <w:rsid w:val="007C78CB"/>
    <w:rsid w:val="007C7DAA"/>
    <w:rsid w:val="007D09C0"/>
    <w:rsid w:val="007D1257"/>
    <w:rsid w:val="007D1B05"/>
    <w:rsid w:val="007D2445"/>
    <w:rsid w:val="007D322B"/>
    <w:rsid w:val="007D3416"/>
    <w:rsid w:val="007D4DEA"/>
    <w:rsid w:val="007D74AC"/>
    <w:rsid w:val="007E139D"/>
    <w:rsid w:val="007E1B95"/>
    <w:rsid w:val="007E1DAE"/>
    <w:rsid w:val="007E7295"/>
    <w:rsid w:val="007F285F"/>
    <w:rsid w:val="007F3B95"/>
    <w:rsid w:val="007F3F19"/>
    <w:rsid w:val="007F4277"/>
    <w:rsid w:val="007F4B6E"/>
    <w:rsid w:val="007F4E06"/>
    <w:rsid w:val="007F547C"/>
    <w:rsid w:val="007F7EB2"/>
    <w:rsid w:val="008023BD"/>
    <w:rsid w:val="0080326F"/>
    <w:rsid w:val="00803EE5"/>
    <w:rsid w:val="008044C8"/>
    <w:rsid w:val="0080459A"/>
    <w:rsid w:val="00807C35"/>
    <w:rsid w:val="00807E41"/>
    <w:rsid w:val="008105F9"/>
    <w:rsid w:val="00810C28"/>
    <w:rsid w:val="008116A7"/>
    <w:rsid w:val="008147CA"/>
    <w:rsid w:val="00816D03"/>
    <w:rsid w:val="008171A7"/>
    <w:rsid w:val="00817867"/>
    <w:rsid w:val="008207C1"/>
    <w:rsid w:val="00820CEB"/>
    <w:rsid w:val="008226BC"/>
    <w:rsid w:val="00823AA0"/>
    <w:rsid w:val="00823CAB"/>
    <w:rsid w:val="00823DF1"/>
    <w:rsid w:val="00824676"/>
    <w:rsid w:val="00824C9A"/>
    <w:rsid w:val="00826441"/>
    <w:rsid w:val="00827887"/>
    <w:rsid w:val="00831C8B"/>
    <w:rsid w:val="00831FF9"/>
    <w:rsid w:val="00832BE1"/>
    <w:rsid w:val="00832DF3"/>
    <w:rsid w:val="00832EE5"/>
    <w:rsid w:val="008332B5"/>
    <w:rsid w:val="0083361C"/>
    <w:rsid w:val="008343A6"/>
    <w:rsid w:val="008365D0"/>
    <w:rsid w:val="008375C8"/>
    <w:rsid w:val="00841704"/>
    <w:rsid w:val="00841D37"/>
    <w:rsid w:val="00842861"/>
    <w:rsid w:val="00842EFE"/>
    <w:rsid w:val="0084393C"/>
    <w:rsid w:val="00845CB0"/>
    <w:rsid w:val="0084640C"/>
    <w:rsid w:val="0085116E"/>
    <w:rsid w:val="008528E5"/>
    <w:rsid w:val="00853323"/>
    <w:rsid w:val="00854598"/>
    <w:rsid w:val="00854FCC"/>
    <w:rsid w:val="00854FFB"/>
    <w:rsid w:val="0085510B"/>
    <w:rsid w:val="00855174"/>
    <w:rsid w:val="00855B48"/>
    <w:rsid w:val="00856857"/>
    <w:rsid w:val="00861631"/>
    <w:rsid w:val="00861649"/>
    <w:rsid w:val="00862232"/>
    <w:rsid w:val="008636AC"/>
    <w:rsid w:val="008641D5"/>
    <w:rsid w:val="00864523"/>
    <w:rsid w:val="00866085"/>
    <w:rsid w:val="00866D9B"/>
    <w:rsid w:val="0087003E"/>
    <w:rsid w:val="00872089"/>
    <w:rsid w:val="008725AF"/>
    <w:rsid w:val="0087346D"/>
    <w:rsid w:val="00874F24"/>
    <w:rsid w:val="0087526E"/>
    <w:rsid w:val="00877A7B"/>
    <w:rsid w:val="00880510"/>
    <w:rsid w:val="00881254"/>
    <w:rsid w:val="008821DB"/>
    <w:rsid w:val="008822C7"/>
    <w:rsid w:val="00882DE6"/>
    <w:rsid w:val="00883BA2"/>
    <w:rsid w:val="0088400F"/>
    <w:rsid w:val="008840E0"/>
    <w:rsid w:val="00885300"/>
    <w:rsid w:val="00885330"/>
    <w:rsid w:val="0088590A"/>
    <w:rsid w:val="00885D1E"/>
    <w:rsid w:val="00886871"/>
    <w:rsid w:val="0089038A"/>
    <w:rsid w:val="00892A98"/>
    <w:rsid w:val="00893374"/>
    <w:rsid w:val="008933D8"/>
    <w:rsid w:val="008943C8"/>
    <w:rsid w:val="008A012D"/>
    <w:rsid w:val="008A0C9D"/>
    <w:rsid w:val="008A11FA"/>
    <w:rsid w:val="008A1E98"/>
    <w:rsid w:val="008A1ECC"/>
    <w:rsid w:val="008A1EF9"/>
    <w:rsid w:val="008A38D8"/>
    <w:rsid w:val="008A3D21"/>
    <w:rsid w:val="008A4F01"/>
    <w:rsid w:val="008A5639"/>
    <w:rsid w:val="008A67EC"/>
    <w:rsid w:val="008A7E85"/>
    <w:rsid w:val="008B0404"/>
    <w:rsid w:val="008B15E9"/>
    <w:rsid w:val="008B2FE3"/>
    <w:rsid w:val="008B587D"/>
    <w:rsid w:val="008B75A0"/>
    <w:rsid w:val="008C17E2"/>
    <w:rsid w:val="008C213A"/>
    <w:rsid w:val="008C2B1A"/>
    <w:rsid w:val="008C3E07"/>
    <w:rsid w:val="008C40F2"/>
    <w:rsid w:val="008C478F"/>
    <w:rsid w:val="008C50EA"/>
    <w:rsid w:val="008C55A2"/>
    <w:rsid w:val="008C56A3"/>
    <w:rsid w:val="008C5D77"/>
    <w:rsid w:val="008C61FB"/>
    <w:rsid w:val="008D1A79"/>
    <w:rsid w:val="008D22C0"/>
    <w:rsid w:val="008D3366"/>
    <w:rsid w:val="008D39C4"/>
    <w:rsid w:val="008D4802"/>
    <w:rsid w:val="008D5B8D"/>
    <w:rsid w:val="008D691E"/>
    <w:rsid w:val="008D70DC"/>
    <w:rsid w:val="008D7594"/>
    <w:rsid w:val="008D78F3"/>
    <w:rsid w:val="008E197B"/>
    <w:rsid w:val="008E2E8D"/>
    <w:rsid w:val="008E5060"/>
    <w:rsid w:val="008E6A75"/>
    <w:rsid w:val="008E74F9"/>
    <w:rsid w:val="008F1F0C"/>
    <w:rsid w:val="008F22E0"/>
    <w:rsid w:val="008F48D8"/>
    <w:rsid w:val="008F521E"/>
    <w:rsid w:val="008F657A"/>
    <w:rsid w:val="00900A02"/>
    <w:rsid w:val="0090303B"/>
    <w:rsid w:val="00903A11"/>
    <w:rsid w:val="00903F69"/>
    <w:rsid w:val="00904640"/>
    <w:rsid w:val="00905A9F"/>
    <w:rsid w:val="0090611F"/>
    <w:rsid w:val="00906D02"/>
    <w:rsid w:val="009078BB"/>
    <w:rsid w:val="009103FF"/>
    <w:rsid w:val="009105E8"/>
    <w:rsid w:val="00912340"/>
    <w:rsid w:val="00912C05"/>
    <w:rsid w:val="00913C14"/>
    <w:rsid w:val="00914076"/>
    <w:rsid w:val="00916E48"/>
    <w:rsid w:val="00916F31"/>
    <w:rsid w:val="00921113"/>
    <w:rsid w:val="009235C5"/>
    <w:rsid w:val="00923D8E"/>
    <w:rsid w:val="00923E25"/>
    <w:rsid w:val="009241A2"/>
    <w:rsid w:val="0092468C"/>
    <w:rsid w:val="00924BCA"/>
    <w:rsid w:val="00925F0C"/>
    <w:rsid w:val="00926192"/>
    <w:rsid w:val="009308CE"/>
    <w:rsid w:val="00930F9D"/>
    <w:rsid w:val="00932F88"/>
    <w:rsid w:val="009333E2"/>
    <w:rsid w:val="0093362A"/>
    <w:rsid w:val="00933E3D"/>
    <w:rsid w:val="00933F5C"/>
    <w:rsid w:val="00935ECF"/>
    <w:rsid w:val="00937854"/>
    <w:rsid w:val="00941155"/>
    <w:rsid w:val="00941F82"/>
    <w:rsid w:val="00942077"/>
    <w:rsid w:val="0094261C"/>
    <w:rsid w:val="00945CCC"/>
    <w:rsid w:val="00946500"/>
    <w:rsid w:val="00950C47"/>
    <w:rsid w:val="009511B5"/>
    <w:rsid w:val="009517A7"/>
    <w:rsid w:val="00951FE0"/>
    <w:rsid w:val="00953198"/>
    <w:rsid w:val="00954295"/>
    <w:rsid w:val="00954D52"/>
    <w:rsid w:val="009551C8"/>
    <w:rsid w:val="0095591A"/>
    <w:rsid w:val="00955EB4"/>
    <w:rsid w:val="00956282"/>
    <w:rsid w:val="0095794A"/>
    <w:rsid w:val="0096014E"/>
    <w:rsid w:val="009613EF"/>
    <w:rsid w:val="00961D5A"/>
    <w:rsid w:val="00963514"/>
    <w:rsid w:val="0096436C"/>
    <w:rsid w:val="009653F7"/>
    <w:rsid w:val="009655A3"/>
    <w:rsid w:val="00966D98"/>
    <w:rsid w:val="00966F0C"/>
    <w:rsid w:val="00967283"/>
    <w:rsid w:val="00967A5D"/>
    <w:rsid w:val="00967E21"/>
    <w:rsid w:val="00970039"/>
    <w:rsid w:val="00970EFE"/>
    <w:rsid w:val="00971211"/>
    <w:rsid w:val="0097183A"/>
    <w:rsid w:val="009720B6"/>
    <w:rsid w:val="009720D6"/>
    <w:rsid w:val="009727B0"/>
    <w:rsid w:val="00973B05"/>
    <w:rsid w:val="00975218"/>
    <w:rsid w:val="009754B4"/>
    <w:rsid w:val="009760C3"/>
    <w:rsid w:val="0098003B"/>
    <w:rsid w:val="009807AD"/>
    <w:rsid w:val="0098166D"/>
    <w:rsid w:val="00981B55"/>
    <w:rsid w:val="00981FDD"/>
    <w:rsid w:val="0098256F"/>
    <w:rsid w:val="009829C5"/>
    <w:rsid w:val="00982B31"/>
    <w:rsid w:val="00983920"/>
    <w:rsid w:val="00984CFE"/>
    <w:rsid w:val="009902EB"/>
    <w:rsid w:val="009910C5"/>
    <w:rsid w:val="00992527"/>
    <w:rsid w:val="009927D3"/>
    <w:rsid w:val="00992B51"/>
    <w:rsid w:val="00992B59"/>
    <w:rsid w:val="0099332A"/>
    <w:rsid w:val="0099370B"/>
    <w:rsid w:val="009943B4"/>
    <w:rsid w:val="00995DD8"/>
    <w:rsid w:val="009A032C"/>
    <w:rsid w:val="009A1280"/>
    <w:rsid w:val="009A1321"/>
    <w:rsid w:val="009A1E48"/>
    <w:rsid w:val="009A2B9A"/>
    <w:rsid w:val="009A4EE8"/>
    <w:rsid w:val="009A5C25"/>
    <w:rsid w:val="009B0814"/>
    <w:rsid w:val="009B4A55"/>
    <w:rsid w:val="009B4C7F"/>
    <w:rsid w:val="009B5AAF"/>
    <w:rsid w:val="009B5C04"/>
    <w:rsid w:val="009B7C2D"/>
    <w:rsid w:val="009C01B4"/>
    <w:rsid w:val="009C32E3"/>
    <w:rsid w:val="009C38FE"/>
    <w:rsid w:val="009C39F8"/>
    <w:rsid w:val="009C3E78"/>
    <w:rsid w:val="009C7740"/>
    <w:rsid w:val="009D0423"/>
    <w:rsid w:val="009D04A6"/>
    <w:rsid w:val="009D0C40"/>
    <w:rsid w:val="009D2C37"/>
    <w:rsid w:val="009D6472"/>
    <w:rsid w:val="009D6798"/>
    <w:rsid w:val="009D6B48"/>
    <w:rsid w:val="009D7580"/>
    <w:rsid w:val="009D7735"/>
    <w:rsid w:val="009D7A09"/>
    <w:rsid w:val="009D7DCD"/>
    <w:rsid w:val="009E0321"/>
    <w:rsid w:val="009E104C"/>
    <w:rsid w:val="009E1B88"/>
    <w:rsid w:val="009E3DAA"/>
    <w:rsid w:val="009E4346"/>
    <w:rsid w:val="009E51E9"/>
    <w:rsid w:val="009E5366"/>
    <w:rsid w:val="009E62DF"/>
    <w:rsid w:val="009E6E81"/>
    <w:rsid w:val="009E774C"/>
    <w:rsid w:val="009E7843"/>
    <w:rsid w:val="009F2129"/>
    <w:rsid w:val="009F2410"/>
    <w:rsid w:val="009F2AAD"/>
    <w:rsid w:val="009F5B62"/>
    <w:rsid w:val="009F66D5"/>
    <w:rsid w:val="009F7FB9"/>
    <w:rsid w:val="00A00CD6"/>
    <w:rsid w:val="00A0108B"/>
    <w:rsid w:val="00A023EB"/>
    <w:rsid w:val="00A0299F"/>
    <w:rsid w:val="00A02C36"/>
    <w:rsid w:val="00A03A46"/>
    <w:rsid w:val="00A044A7"/>
    <w:rsid w:val="00A045E8"/>
    <w:rsid w:val="00A054A5"/>
    <w:rsid w:val="00A10098"/>
    <w:rsid w:val="00A1019B"/>
    <w:rsid w:val="00A121A1"/>
    <w:rsid w:val="00A13A51"/>
    <w:rsid w:val="00A13C50"/>
    <w:rsid w:val="00A13F5E"/>
    <w:rsid w:val="00A14016"/>
    <w:rsid w:val="00A14517"/>
    <w:rsid w:val="00A17481"/>
    <w:rsid w:val="00A20FB9"/>
    <w:rsid w:val="00A21968"/>
    <w:rsid w:val="00A22E60"/>
    <w:rsid w:val="00A242BF"/>
    <w:rsid w:val="00A258B2"/>
    <w:rsid w:val="00A2635B"/>
    <w:rsid w:val="00A30655"/>
    <w:rsid w:val="00A3375F"/>
    <w:rsid w:val="00A34CAE"/>
    <w:rsid w:val="00A34F5F"/>
    <w:rsid w:val="00A364FA"/>
    <w:rsid w:val="00A36CC0"/>
    <w:rsid w:val="00A37F3E"/>
    <w:rsid w:val="00A41C9C"/>
    <w:rsid w:val="00A431D6"/>
    <w:rsid w:val="00A43A99"/>
    <w:rsid w:val="00A4536F"/>
    <w:rsid w:val="00A45393"/>
    <w:rsid w:val="00A4561D"/>
    <w:rsid w:val="00A458D7"/>
    <w:rsid w:val="00A46D95"/>
    <w:rsid w:val="00A47630"/>
    <w:rsid w:val="00A477DE"/>
    <w:rsid w:val="00A47C2C"/>
    <w:rsid w:val="00A50E42"/>
    <w:rsid w:val="00A528EF"/>
    <w:rsid w:val="00A551AC"/>
    <w:rsid w:val="00A55675"/>
    <w:rsid w:val="00A55A8A"/>
    <w:rsid w:val="00A56DC9"/>
    <w:rsid w:val="00A61B6A"/>
    <w:rsid w:val="00A63134"/>
    <w:rsid w:val="00A63AB9"/>
    <w:rsid w:val="00A6621F"/>
    <w:rsid w:val="00A662C8"/>
    <w:rsid w:val="00A67515"/>
    <w:rsid w:val="00A70329"/>
    <w:rsid w:val="00A70672"/>
    <w:rsid w:val="00A71BD7"/>
    <w:rsid w:val="00A724F1"/>
    <w:rsid w:val="00A74A7D"/>
    <w:rsid w:val="00A751A7"/>
    <w:rsid w:val="00A7557E"/>
    <w:rsid w:val="00A76A23"/>
    <w:rsid w:val="00A80025"/>
    <w:rsid w:val="00A8050B"/>
    <w:rsid w:val="00A82C5B"/>
    <w:rsid w:val="00A83CB0"/>
    <w:rsid w:val="00A85219"/>
    <w:rsid w:val="00A85E0D"/>
    <w:rsid w:val="00A86097"/>
    <w:rsid w:val="00A90E23"/>
    <w:rsid w:val="00A9385D"/>
    <w:rsid w:val="00A93DA8"/>
    <w:rsid w:val="00A9505F"/>
    <w:rsid w:val="00A9529F"/>
    <w:rsid w:val="00A97BD9"/>
    <w:rsid w:val="00AA03C0"/>
    <w:rsid w:val="00AA0C6A"/>
    <w:rsid w:val="00AA0F94"/>
    <w:rsid w:val="00AA1092"/>
    <w:rsid w:val="00AA1BAE"/>
    <w:rsid w:val="00AA2AB7"/>
    <w:rsid w:val="00AA338B"/>
    <w:rsid w:val="00AA5193"/>
    <w:rsid w:val="00AA52D5"/>
    <w:rsid w:val="00AA5AD3"/>
    <w:rsid w:val="00AA7490"/>
    <w:rsid w:val="00AA7B76"/>
    <w:rsid w:val="00AB00F9"/>
    <w:rsid w:val="00AB02CD"/>
    <w:rsid w:val="00AB2254"/>
    <w:rsid w:val="00AB2715"/>
    <w:rsid w:val="00AB2E92"/>
    <w:rsid w:val="00AB3AC5"/>
    <w:rsid w:val="00AB3B78"/>
    <w:rsid w:val="00AB3F77"/>
    <w:rsid w:val="00AB4A7F"/>
    <w:rsid w:val="00AB4F73"/>
    <w:rsid w:val="00AB5071"/>
    <w:rsid w:val="00AB53BF"/>
    <w:rsid w:val="00AB7442"/>
    <w:rsid w:val="00AC0746"/>
    <w:rsid w:val="00AC0E3C"/>
    <w:rsid w:val="00AC12B4"/>
    <w:rsid w:val="00AC1FEE"/>
    <w:rsid w:val="00AC2F68"/>
    <w:rsid w:val="00AC3EBB"/>
    <w:rsid w:val="00AC4AAC"/>
    <w:rsid w:val="00AC4F6B"/>
    <w:rsid w:val="00AC7033"/>
    <w:rsid w:val="00AC74BB"/>
    <w:rsid w:val="00AC7A21"/>
    <w:rsid w:val="00AC7CC1"/>
    <w:rsid w:val="00AD08D6"/>
    <w:rsid w:val="00AD1A67"/>
    <w:rsid w:val="00AD229E"/>
    <w:rsid w:val="00AD3149"/>
    <w:rsid w:val="00AD32FB"/>
    <w:rsid w:val="00AD6447"/>
    <w:rsid w:val="00AD69CC"/>
    <w:rsid w:val="00AD6C7C"/>
    <w:rsid w:val="00AD7EA0"/>
    <w:rsid w:val="00AE0752"/>
    <w:rsid w:val="00AE0C88"/>
    <w:rsid w:val="00AE21EC"/>
    <w:rsid w:val="00AE26FF"/>
    <w:rsid w:val="00AE28AE"/>
    <w:rsid w:val="00AE2E25"/>
    <w:rsid w:val="00AE3D4D"/>
    <w:rsid w:val="00AE44EB"/>
    <w:rsid w:val="00AE7305"/>
    <w:rsid w:val="00AE7A62"/>
    <w:rsid w:val="00AE7B50"/>
    <w:rsid w:val="00AF05A3"/>
    <w:rsid w:val="00AF1691"/>
    <w:rsid w:val="00AF1831"/>
    <w:rsid w:val="00AF1BF1"/>
    <w:rsid w:val="00AF1C6C"/>
    <w:rsid w:val="00AF3143"/>
    <w:rsid w:val="00AF643F"/>
    <w:rsid w:val="00AF6B80"/>
    <w:rsid w:val="00AF6FA9"/>
    <w:rsid w:val="00AF76EC"/>
    <w:rsid w:val="00AF77D7"/>
    <w:rsid w:val="00B01746"/>
    <w:rsid w:val="00B03F96"/>
    <w:rsid w:val="00B046C3"/>
    <w:rsid w:val="00B061AE"/>
    <w:rsid w:val="00B119FB"/>
    <w:rsid w:val="00B11D4D"/>
    <w:rsid w:val="00B12A7C"/>
    <w:rsid w:val="00B13B77"/>
    <w:rsid w:val="00B1454A"/>
    <w:rsid w:val="00B157B3"/>
    <w:rsid w:val="00B175E1"/>
    <w:rsid w:val="00B20677"/>
    <w:rsid w:val="00B20F0C"/>
    <w:rsid w:val="00B21972"/>
    <w:rsid w:val="00B2262A"/>
    <w:rsid w:val="00B24D6C"/>
    <w:rsid w:val="00B27103"/>
    <w:rsid w:val="00B2747B"/>
    <w:rsid w:val="00B27953"/>
    <w:rsid w:val="00B31645"/>
    <w:rsid w:val="00B318F2"/>
    <w:rsid w:val="00B3196F"/>
    <w:rsid w:val="00B31C28"/>
    <w:rsid w:val="00B326DA"/>
    <w:rsid w:val="00B32A2B"/>
    <w:rsid w:val="00B3663A"/>
    <w:rsid w:val="00B373A7"/>
    <w:rsid w:val="00B376D0"/>
    <w:rsid w:val="00B4065C"/>
    <w:rsid w:val="00B425B2"/>
    <w:rsid w:val="00B42C76"/>
    <w:rsid w:val="00B43F64"/>
    <w:rsid w:val="00B4473E"/>
    <w:rsid w:val="00B45889"/>
    <w:rsid w:val="00B46507"/>
    <w:rsid w:val="00B46DED"/>
    <w:rsid w:val="00B5275E"/>
    <w:rsid w:val="00B53011"/>
    <w:rsid w:val="00B5488A"/>
    <w:rsid w:val="00B54D1D"/>
    <w:rsid w:val="00B622F1"/>
    <w:rsid w:val="00B63947"/>
    <w:rsid w:val="00B64436"/>
    <w:rsid w:val="00B649CF"/>
    <w:rsid w:val="00B64D4E"/>
    <w:rsid w:val="00B656B5"/>
    <w:rsid w:val="00B658B7"/>
    <w:rsid w:val="00B65911"/>
    <w:rsid w:val="00B662E5"/>
    <w:rsid w:val="00B67094"/>
    <w:rsid w:val="00B70382"/>
    <w:rsid w:val="00B704D2"/>
    <w:rsid w:val="00B70953"/>
    <w:rsid w:val="00B72DDF"/>
    <w:rsid w:val="00B74096"/>
    <w:rsid w:val="00B7525C"/>
    <w:rsid w:val="00B75F26"/>
    <w:rsid w:val="00B764CB"/>
    <w:rsid w:val="00B76D0C"/>
    <w:rsid w:val="00B77252"/>
    <w:rsid w:val="00B779CC"/>
    <w:rsid w:val="00B77F00"/>
    <w:rsid w:val="00B80649"/>
    <w:rsid w:val="00B80B66"/>
    <w:rsid w:val="00B819B2"/>
    <w:rsid w:val="00B8525C"/>
    <w:rsid w:val="00B86876"/>
    <w:rsid w:val="00B86E7C"/>
    <w:rsid w:val="00B87532"/>
    <w:rsid w:val="00B905D4"/>
    <w:rsid w:val="00B9068E"/>
    <w:rsid w:val="00B94141"/>
    <w:rsid w:val="00B957F7"/>
    <w:rsid w:val="00BA08C0"/>
    <w:rsid w:val="00BA138D"/>
    <w:rsid w:val="00BA1533"/>
    <w:rsid w:val="00BA4E0B"/>
    <w:rsid w:val="00BA503E"/>
    <w:rsid w:val="00BA5980"/>
    <w:rsid w:val="00BA5C1D"/>
    <w:rsid w:val="00BA5F63"/>
    <w:rsid w:val="00BA6853"/>
    <w:rsid w:val="00BA7099"/>
    <w:rsid w:val="00BB0FE1"/>
    <w:rsid w:val="00BB1F17"/>
    <w:rsid w:val="00BB400A"/>
    <w:rsid w:val="00BB4C2D"/>
    <w:rsid w:val="00BB4CD7"/>
    <w:rsid w:val="00BB7178"/>
    <w:rsid w:val="00BB756F"/>
    <w:rsid w:val="00BB7EA2"/>
    <w:rsid w:val="00BB7FAC"/>
    <w:rsid w:val="00BC0D07"/>
    <w:rsid w:val="00BC14AE"/>
    <w:rsid w:val="00BC1A50"/>
    <w:rsid w:val="00BC21D1"/>
    <w:rsid w:val="00BC2E87"/>
    <w:rsid w:val="00BC354B"/>
    <w:rsid w:val="00BC4BF7"/>
    <w:rsid w:val="00BC4DAD"/>
    <w:rsid w:val="00BC62E9"/>
    <w:rsid w:val="00BC7CAB"/>
    <w:rsid w:val="00BD0E08"/>
    <w:rsid w:val="00BD2CB6"/>
    <w:rsid w:val="00BD3296"/>
    <w:rsid w:val="00BD3E0E"/>
    <w:rsid w:val="00BD4639"/>
    <w:rsid w:val="00BD5593"/>
    <w:rsid w:val="00BD6D39"/>
    <w:rsid w:val="00BD78F3"/>
    <w:rsid w:val="00BE01F7"/>
    <w:rsid w:val="00BE08E2"/>
    <w:rsid w:val="00BE0BCF"/>
    <w:rsid w:val="00BE0C7F"/>
    <w:rsid w:val="00BE1ED5"/>
    <w:rsid w:val="00BE21D4"/>
    <w:rsid w:val="00BE27DA"/>
    <w:rsid w:val="00BE3EF3"/>
    <w:rsid w:val="00BE461A"/>
    <w:rsid w:val="00BE462E"/>
    <w:rsid w:val="00BE638B"/>
    <w:rsid w:val="00BF1087"/>
    <w:rsid w:val="00BF16F3"/>
    <w:rsid w:val="00BF1715"/>
    <w:rsid w:val="00BF1B06"/>
    <w:rsid w:val="00BF23E7"/>
    <w:rsid w:val="00BF3A1B"/>
    <w:rsid w:val="00BF524A"/>
    <w:rsid w:val="00BF555C"/>
    <w:rsid w:val="00BF6B0B"/>
    <w:rsid w:val="00C00109"/>
    <w:rsid w:val="00C01F15"/>
    <w:rsid w:val="00C035EB"/>
    <w:rsid w:val="00C06295"/>
    <w:rsid w:val="00C07058"/>
    <w:rsid w:val="00C0794B"/>
    <w:rsid w:val="00C10331"/>
    <w:rsid w:val="00C1056F"/>
    <w:rsid w:val="00C125E2"/>
    <w:rsid w:val="00C12765"/>
    <w:rsid w:val="00C1281D"/>
    <w:rsid w:val="00C1320A"/>
    <w:rsid w:val="00C13880"/>
    <w:rsid w:val="00C13F68"/>
    <w:rsid w:val="00C147B8"/>
    <w:rsid w:val="00C156D8"/>
    <w:rsid w:val="00C20CBF"/>
    <w:rsid w:val="00C22CD3"/>
    <w:rsid w:val="00C242BA"/>
    <w:rsid w:val="00C249A2"/>
    <w:rsid w:val="00C25DC7"/>
    <w:rsid w:val="00C261B0"/>
    <w:rsid w:val="00C26B1D"/>
    <w:rsid w:val="00C2704A"/>
    <w:rsid w:val="00C27BEE"/>
    <w:rsid w:val="00C27E19"/>
    <w:rsid w:val="00C306BF"/>
    <w:rsid w:val="00C30FCC"/>
    <w:rsid w:val="00C31FA7"/>
    <w:rsid w:val="00C34300"/>
    <w:rsid w:val="00C34526"/>
    <w:rsid w:val="00C35528"/>
    <w:rsid w:val="00C35BA1"/>
    <w:rsid w:val="00C36118"/>
    <w:rsid w:val="00C361D8"/>
    <w:rsid w:val="00C3637E"/>
    <w:rsid w:val="00C36E49"/>
    <w:rsid w:val="00C37509"/>
    <w:rsid w:val="00C40FBA"/>
    <w:rsid w:val="00C41821"/>
    <w:rsid w:val="00C4230C"/>
    <w:rsid w:val="00C4277B"/>
    <w:rsid w:val="00C43DEA"/>
    <w:rsid w:val="00C4495C"/>
    <w:rsid w:val="00C44A1B"/>
    <w:rsid w:val="00C45972"/>
    <w:rsid w:val="00C45A4C"/>
    <w:rsid w:val="00C46ACC"/>
    <w:rsid w:val="00C4765D"/>
    <w:rsid w:val="00C51327"/>
    <w:rsid w:val="00C558A1"/>
    <w:rsid w:val="00C5767D"/>
    <w:rsid w:val="00C60566"/>
    <w:rsid w:val="00C60F76"/>
    <w:rsid w:val="00C61C3E"/>
    <w:rsid w:val="00C61D9F"/>
    <w:rsid w:val="00C62CD8"/>
    <w:rsid w:val="00C62FA5"/>
    <w:rsid w:val="00C6388D"/>
    <w:rsid w:val="00C63D0D"/>
    <w:rsid w:val="00C64D11"/>
    <w:rsid w:val="00C67554"/>
    <w:rsid w:val="00C67FF3"/>
    <w:rsid w:val="00C7077E"/>
    <w:rsid w:val="00C708BF"/>
    <w:rsid w:val="00C72270"/>
    <w:rsid w:val="00C722AB"/>
    <w:rsid w:val="00C73DC9"/>
    <w:rsid w:val="00C769DE"/>
    <w:rsid w:val="00C77A6F"/>
    <w:rsid w:val="00C77FFD"/>
    <w:rsid w:val="00C807A7"/>
    <w:rsid w:val="00C810F8"/>
    <w:rsid w:val="00C82765"/>
    <w:rsid w:val="00C83A6F"/>
    <w:rsid w:val="00C83B48"/>
    <w:rsid w:val="00C84C3A"/>
    <w:rsid w:val="00C85064"/>
    <w:rsid w:val="00C86A6C"/>
    <w:rsid w:val="00C86AE1"/>
    <w:rsid w:val="00C90F5D"/>
    <w:rsid w:val="00C92761"/>
    <w:rsid w:val="00C9304C"/>
    <w:rsid w:val="00C95577"/>
    <w:rsid w:val="00C964DC"/>
    <w:rsid w:val="00CA10B2"/>
    <w:rsid w:val="00CA1334"/>
    <w:rsid w:val="00CA2960"/>
    <w:rsid w:val="00CA2F2C"/>
    <w:rsid w:val="00CA38DE"/>
    <w:rsid w:val="00CA4343"/>
    <w:rsid w:val="00CA5273"/>
    <w:rsid w:val="00CA58B1"/>
    <w:rsid w:val="00CA65CB"/>
    <w:rsid w:val="00CA6EAA"/>
    <w:rsid w:val="00CA71AD"/>
    <w:rsid w:val="00CB0487"/>
    <w:rsid w:val="00CB04AA"/>
    <w:rsid w:val="00CB13F0"/>
    <w:rsid w:val="00CB157C"/>
    <w:rsid w:val="00CB26DC"/>
    <w:rsid w:val="00CB4EE7"/>
    <w:rsid w:val="00CB663F"/>
    <w:rsid w:val="00CB6B4B"/>
    <w:rsid w:val="00CC3C45"/>
    <w:rsid w:val="00CC463E"/>
    <w:rsid w:val="00CC4C3E"/>
    <w:rsid w:val="00CC58DC"/>
    <w:rsid w:val="00CC5A27"/>
    <w:rsid w:val="00CC6AB4"/>
    <w:rsid w:val="00CC6AD0"/>
    <w:rsid w:val="00CD0522"/>
    <w:rsid w:val="00CD0961"/>
    <w:rsid w:val="00CD0A41"/>
    <w:rsid w:val="00CD199E"/>
    <w:rsid w:val="00CD266A"/>
    <w:rsid w:val="00CD37E4"/>
    <w:rsid w:val="00CD63A0"/>
    <w:rsid w:val="00CD66A7"/>
    <w:rsid w:val="00CD67A4"/>
    <w:rsid w:val="00CD700E"/>
    <w:rsid w:val="00CD7581"/>
    <w:rsid w:val="00CE19E3"/>
    <w:rsid w:val="00CE3280"/>
    <w:rsid w:val="00CE410E"/>
    <w:rsid w:val="00CE5D27"/>
    <w:rsid w:val="00CE6C76"/>
    <w:rsid w:val="00CF058E"/>
    <w:rsid w:val="00CF1796"/>
    <w:rsid w:val="00CF26CA"/>
    <w:rsid w:val="00CF3C92"/>
    <w:rsid w:val="00CF653D"/>
    <w:rsid w:val="00CF67AF"/>
    <w:rsid w:val="00CF6FC1"/>
    <w:rsid w:val="00D00208"/>
    <w:rsid w:val="00D00C58"/>
    <w:rsid w:val="00D01252"/>
    <w:rsid w:val="00D01D34"/>
    <w:rsid w:val="00D02F1E"/>
    <w:rsid w:val="00D02FEC"/>
    <w:rsid w:val="00D0315E"/>
    <w:rsid w:val="00D0357C"/>
    <w:rsid w:val="00D041E0"/>
    <w:rsid w:val="00D04D54"/>
    <w:rsid w:val="00D0583B"/>
    <w:rsid w:val="00D07445"/>
    <w:rsid w:val="00D10323"/>
    <w:rsid w:val="00D112EF"/>
    <w:rsid w:val="00D13EEF"/>
    <w:rsid w:val="00D14E5A"/>
    <w:rsid w:val="00D15564"/>
    <w:rsid w:val="00D15A88"/>
    <w:rsid w:val="00D15C8D"/>
    <w:rsid w:val="00D1696C"/>
    <w:rsid w:val="00D202B1"/>
    <w:rsid w:val="00D209BD"/>
    <w:rsid w:val="00D21022"/>
    <w:rsid w:val="00D211B8"/>
    <w:rsid w:val="00D21506"/>
    <w:rsid w:val="00D216E4"/>
    <w:rsid w:val="00D21BA5"/>
    <w:rsid w:val="00D23C5B"/>
    <w:rsid w:val="00D248CF"/>
    <w:rsid w:val="00D250E5"/>
    <w:rsid w:val="00D25519"/>
    <w:rsid w:val="00D26602"/>
    <w:rsid w:val="00D269D5"/>
    <w:rsid w:val="00D270FD"/>
    <w:rsid w:val="00D274D3"/>
    <w:rsid w:val="00D30997"/>
    <w:rsid w:val="00D318A2"/>
    <w:rsid w:val="00D323D9"/>
    <w:rsid w:val="00D3291F"/>
    <w:rsid w:val="00D338AB"/>
    <w:rsid w:val="00D33A35"/>
    <w:rsid w:val="00D34D85"/>
    <w:rsid w:val="00D35F7F"/>
    <w:rsid w:val="00D36231"/>
    <w:rsid w:val="00D36E83"/>
    <w:rsid w:val="00D4062E"/>
    <w:rsid w:val="00D42CB8"/>
    <w:rsid w:val="00D43588"/>
    <w:rsid w:val="00D442B5"/>
    <w:rsid w:val="00D4470B"/>
    <w:rsid w:val="00D450FE"/>
    <w:rsid w:val="00D4531C"/>
    <w:rsid w:val="00D46041"/>
    <w:rsid w:val="00D46214"/>
    <w:rsid w:val="00D46416"/>
    <w:rsid w:val="00D4645B"/>
    <w:rsid w:val="00D46F86"/>
    <w:rsid w:val="00D47A50"/>
    <w:rsid w:val="00D47AB1"/>
    <w:rsid w:val="00D50624"/>
    <w:rsid w:val="00D50791"/>
    <w:rsid w:val="00D525F9"/>
    <w:rsid w:val="00D53ED3"/>
    <w:rsid w:val="00D54F4B"/>
    <w:rsid w:val="00D55301"/>
    <w:rsid w:val="00D569F4"/>
    <w:rsid w:val="00D60408"/>
    <w:rsid w:val="00D623D0"/>
    <w:rsid w:val="00D640BF"/>
    <w:rsid w:val="00D644C6"/>
    <w:rsid w:val="00D64B3B"/>
    <w:rsid w:val="00D6500B"/>
    <w:rsid w:val="00D6652E"/>
    <w:rsid w:val="00D6757F"/>
    <w:rsid w:val="00D67F27"/>
    <w:rsid w:val="00D72DC3"/>
    <w:rsid w:val="00D7433D"/>
    <w:rsid w:val="00D752AF"/>
    <w:rsid w:val="00D75AF2"/>
    <w:rsid w:val="00D763B2"/>
    <w:rsid w:val="00D76C9A"/>
    <w:rsid w:val="00D76E42"/>
    <w:rsid w:val="00D7730A"/>
    <w:rsid w:val="00D77908"/>
    <w:rsid w:val="00D77FFE"/>
    <w:rsid w:val="00D80591"/>
    <w:rsid w:val="00D80D6C"/>
    <w:rsid w:val="00D818AE"/>
    <w:rsid w:val="00D8272B"/>
    <w:rsid w:val="00D829A4"/>
    <w:rsid w:val="00D82E28"/>
    <w:rsid w:val="00D835A8"/>
    <w:rsid w:val="00D837CF"/>
    <w:rsid w:val="00D83A89"/>
    <w:rsid w:val="00D84756"/>
    <w:rsid w:val="00D85007"/>
    <w:rsid w:val="00D85FE2"/>
    <w:rsid w:val="00D863F1"/>
    <w:rsid w:val="00D8649F"/>
    <w:rsid w:val="00D8796F"/>
    <w:rsid w:val="00D90ADE"/>
    <w:rsid w:val="00D91882"/>
    <w:rsid w:val="00D9202B"/>
    <w:rsid w:val="00D93158"/>
    <w:rsid w:val="00D94708"/>
    <w:rsid w:val="00D954A4"/>
    <w:rsid w:val="00D96EE0"/>
    <w:rsid w:val="00DA1485"/>
    <w:rsid w:val="00DA1C9D"/>
    <w:rsid w:val="00DA22CA"/>
    <w:rsid w:val="00DA2DBE"/>
    <w:rsid w:val="00DA3058"/>
    <w:rsid w:val="00DA428B"/>
    <w:rsid w:val="00DA4674"/>
    <w:rsid w:val="00DA46DB"/>
    <w:rsid w:val="00DA50E8"/>
    <w:rsid w:val="00DA545E"/>
    <w:rsid w:val="00DA5BE6"/>
    <w:rsid w:val="00DA75E1"/>
    <w:rsid w:val="00DA794D"/>
    <w:rsid w:val="00DB40F6"/>
    <w:rsid w:val="00DB5637"/>
    <w:rsid w:val="00DB68FD"/>
    <w:rsid w:val="00DB734D"/>
    <w:rsid w:val="00DC0BE2"/>
    <w:rsid w:val="00DC161B"/>
    <w:rsid w:val="00DC1811"/>
    <w:rsid w:val="00DC24F7"/>
    <w:rsid w:val="00DC3EE8"/>
    <w:rsid w:val="00DC4E9A"/>
    <w:rsid w:val="00DC650C"/>
    <w:rsid w:val="00DC7F92"/>
    <w:rsid w:val="00DC7FFE"/>
    <w:rsid w:val="00DD00FA"/>
    <w:rsid w:val="00DD09B6"/>
    <w:rsid w:val="00DD0D72"/>
    <w:rsid w:val="00DD19D1"/>
    <w:rsid w:val="00DD28C8"/>
    <w:rsid w:val="00DD2A2C"/>
    <w:rsid w:val="00DD2BF4"/>
    <w:rsid w:val="00DD4D6B"/>
    <w:rsid w:val="00DD5561"/>
    <w:rsid w:val="00DD5800"/>
    <w:rsid w:val="00DD5899"/>
    <w:rsid w:val="00DD5F03"/>
    <w:rsid w:val="00DE298C"/>
    <w:rsid w:val="00DE6D62"/>
    <w:rsid w:val="00DF1296"/>
    <w:rsid w:val="00DF2170"/>
    <w:rsid w:val="00DF30B7"/>
    <w:rsid w:val="00DF4F3C"/>
    <w:rsid w:val="00DF5495"/>
    <w:rsid w:val="00DF6379"/>
    <w:rsid w:val="00DF64DA"/>
    <w:rsid w:val="00DF6D66"/>
    <w:rsid w:val="00DF7352"/>
    <w:rsid w:val="00DF78BF"/>
    <w:rsid w:val="00E0001B"/>
    <w:rsid w:val="00E014F8"/>
    <w:rsid w:val="00E02533"/>
    <w:rsid w:val="00E02D11"/>
    <w:rsid w:val="00E039EB"/>
    <w:rsid w:val="00E0589E"/>
    <w:rsid w:val="00E05D7C"/>
    <w:rsid w:val="00E07A8E"/>
    <w:rsid w:val="00E1090B"/>
    <w:rsid w:val="00E12434"/>
    <w:rsid w:val="00E12EB2"/>
    <w:rsid w:val="00E140DB"/>
    <w:rsid w:val="00E1429B"/>
    <w:rsid w:val="00E14751"/>
    <w:rsid w:val="00E14F16"/>
    <w:rsid w:val="00E153C4"/>
    <w:rsid w:val="00E1545D"/>
    <w:rsid w:val="00E1583B"/>
    <w:rsid w:val="00E15F14"/>
    <w:rsid w:val="00E1668B"/>
    <w:rsid w:val="00E1677E"/>
    <w:rsid w:val="00E16A62"/>
    <w:rsid w:val="00E23D2B"/>
    <w:rsid w:val="00E2451D"/>
    <w:rsid w:val="00E24EB1"/>
    <w:rsid w:val="00E26058"/>
    <w:rsid w:val="00E26144"/>
    <w:rsid w:val="00E27158"/>
    <w:rsid w:val="00E2729B"/>
    <w:rsid w:val="00E27977"/>
    <w:rsid w:val="00E27F39"/>
    <w:rsid w:val="00E30D57"/>
    <w:rsid w:val="00E31ACA"/>
    <w:rsid w:val="00E32AE8"/>
    <w:rsid w:val="00E3327C"/>
    <w:rsid w:val="00E33B54"/>
    <w:rsid w:val="00E36DEB"/>
    <w:rsid w:val="00E37BDB"/>
    <w:rsid w:val="00E406CC"/>
    <w:rsid w:val="00E40E8B"/>
    <w:rsid w:val="00E4128D"/>
    <w:rsid w:val="00E41E98"/>
    <w:rsid w:val="00E433BD"/>
    <w:rsid w:val="00E44F0F"/>
    <w:rsid w:val="00E459C7"/>
    <w:rsid w:val="00E47D91"/>
    <w:rsid w:val="00E50019"/>
    <w:rsid w:val="00E50055"/>
    <w:rsid w:val="00E5089F"/>
    <w:rsid w:val="00E51C9C"/>
    <w:rsid w:val="00E51F5C"/>
    <w:rsid w:val="00E52B4C"/>
    <w:rsid w:val="00E52D3E"/>
    <w:rsid w:val="00E52D98"/>
    <w:rsid w:val="00E53429"/>
    <w:rsid w:val="00E53A0A"/>
    <w:rsid w:val="00E53C21"/>
    <w:rsid w:val="00E54670"/>
    <w:rsid w:val="00E55638"/>
    <w:rsid w:val="00E55D2B"/>
    <w:rsid w:val="00E5741A"/>
    <w:rsid w:val="00E575DD"/>
    <w:rsid w:val="00E575E1"/>
    <w:rsid w:val="00E60968"/>
    <w:rsid w:val="00E64214"/>
    <w:rsid w:val="00E66C6C"/>
    <w:rsid w:val="00E67663"/>
    <w:rsid w:val="00E700E6"/>
    <w:rsid w:val="00E71860"/>
    <w:rsid w:val="00E71D91"/>
    <w:rsid w:val="00E72659"/>
    <w:rsid w:val="00E726B3"/>
    <w:rsid w:val="00E7497A"/>
    <w:rsid w:val="00E753FC"/>
    <w:rsid w:val="00E75BB3"/>
    <w:rsid w:val="00E7729B"/>
    <w:rsid w:val="00E7734C"/>
    <w:rsid w:val="00E77B40"/>
    <w:rsid w:val="00E77BE8"/>
    <w:rsid w:val="00E807FE"/>
    <w:rsid w:val="00E81606"/>
    <w:rsid w:val="00E82BE5"/>
    <w:rsid w:val="00E83E97"/>
    <w:rsid w:val="00E8422A"/>
    <w:rsid w:val="00E84619"/>
    <w:rsid w:val="00E85A00"/>
    <w:rsid w:val="00E90E60"/>
    <w:rsid w:val="00E93687"/>
    <w:rsid w:val="00E937C2"/>
    <w:rsid w:val="00E939B0"/>
    <w:rsid w:val="00E95568"/>
    <w:rsid w:val="00E9628E"/>
    <w:rsid w:val="00E96DBA"/>
    <w:rsid w:val="00E975CA"/>
    <w:rsid w:val="00E97FD0"/>
    <w:rsid w:val="00EA11A2"/>
    <w:rsid w:val="00EA1561"/>
    <w:rsid w:val="00EA2646"/>
    <w:rsid w:val="00EA3025"/>
    <w:rsid w:val="00EA488B"/>
    <w:rsid w:val="00EA6A83"/>
    <w:rsid w:val="00EA734A"/>
    <w:rsid w:val="00EA737D"/>
    <w:rsid w:val="00EB273C"/>
    <w:rsid w:val="00EB77D8"/>
    <w:rsid w:val="00EC19EB"/>
    <w:rsid w:val="00EC241D"/>
    <w:rsid w:val="00EC4A63"/>
    <w:rsid w:val="00EC6003"/>
    <w:rsid w:val="00EC7F4F"/>
    <w:rsid w:val="00ED0753"/>
    <w:rsid w:val="00ED07A4"/>
    <w:rsid w:val="00ED0ADE"/>
    <w:rsid w:val="00ED1E46"/>
    <w:rsid w:val="00ED1EC0"/>
    <w:rsid w:val="00ED20F2"/>
    <w:rsid w:val="00ED2E5D"/>
    <w:rsid w:val="00ED31EE"/>
    <w:rsid w:val="00ED400C"/>
    <w:rsid w:val="00ED5224"/>
    <w:rsid w:val="00ED527E"/>
    <w:rsid w:val="00ED5741"/>
    <w:rsid w:val="00EE0D88"/>
    <w:rsid w:val="00EE1DD0"/>
    <w:rsid w:val="00EE36F7"/>
    <w:rsid w:val="00EE4336"/>
    <w:rsid w:val="00EE446A"/>
    <w:rsid w:val="00EE595D"/>
    <w:rsid w:val="00EE663B"/>
    <w:rsid w:val="00EE6A49"/>
    <w:rsid w:val="00EE7027"/>
    <w:rsid w:val="00EE783E"/>
    <w:rsid w:val="00EF22AE"/>
    <w:rsid w:val="00EF2D8F"/>
    <w:rsid w:val="00EF2E51"/>
    <w:rsid w:val="00EF3959"/>
    <w:rsid w:val="00EF3D13"/>
    <w:rsid w:val="00EF41A9"/>
    <w:rsid w:val="00EF68A3"/>
    <w:rsid w:val="00EF6C48"/>
    <w:rsid w:val="00EF7B41"/>
    <w:rsid w:val="00F01073"/>
    <w:rsid w:val="00F014D3"/>
    <w:rsid w:val="00F016D5"/>
    <w:rsid w:val="00F01CDA"/>
    <w:rsid w:val="00F04545"/>
    <w:rsid w:val="00F04A47"/>
    <w:rsid w:val="00F04A4C"/>
    <w:rsid w:val="00F07EC8"/>
    <w:rsid w:val="00F07ED6"/>
    <w:rsid w:val="00F07F87"/>
    <w:rsid w:val="00F10015"/>
    <w:rsid w:val="00F11013"/>
    <w:rsid w:val="00F11E3F"/>
    <w:rsid w:val="00F12DC9"/>
    <w:rsid w:val="00F13198"/>
    <w:rsid w:val="00F131A8"/>
    <w:rsid w:val="00F13218"/>
    <w:rsid w:val="00F140B9"/>
    <w:rsid w:val="00F151A3"/>
    <w:rsid w:val="00F15A96"/>
    <w:rsid w:val="00F218D5"/>
    <w:rsid w:val="00F21A1B"/>
    <w:rsid w:val="00F21C75"/>
    <w:rsid w:val="00F22361"/>
    <w:rsid w:val="00F231E6"/>
    <w:rsid w:val="00F23795"/>
    <w:rsid w:val="00F23F46"/>
    <w:rsid w:val="00F24384"/>
    <w:rsid w:val="00F245A5"/>
    <w:rsid w:val="00F25059"/>
    <w:rsid w:val="00F2545C"/>
    <w:rsid w:val="00F27814"/>
    <w:rsid w:val="00F27C01"/>
    <w:rsid w:val="00F30985"/>
    <w:rsid w:val="00F31B66"/>
    <w:rsid w:val="00F32C0A"/>
    <w:rsid w:val="00F3386C"/>
    <w:rsid w:val="00F34425"/>
    <w:rsid w:val="00F34D00"/>
    <w:rsid w:val="00F36DE1"/>
    <w:rsid w:val="00F41F9A"/>
    <w:rsid w:val="00F428EC"/>
    <w:rsid w:val="00F42CEA"/>
    <w:rsid w:val="00F43B0A"/>
    <w:rsid w:val="00F46178"/>
    <w:rsid w:val="00F466E3"/>
    <w:rsid w:val="00F478E2"/>
    <w:rsid w:val="00F5291B"/>
    <w:rsid w:val="00F5405B"/>
    <w:rsid w:val="00F55583"/>
    <w:rsid w:val="00F56B3A"/>
    <w:rsid w:val="00F60542"/>
    <w:rsid w:val="00F6081C"/>
    <w:rsid w:val="00F608AD"/>
    <w:rsid w:val="00F60CC7"/>
    <w:rsid w:val="00F621C9"/>
    <w:rsid w:val="00F623AD"/>
    <w:rsid w:val="00F623B2"/>
    <w:rsid w:val="00F62C40"/>
    <w:rsid w:val="00F63B8C"/>
    <w:rsid w:val="00F66001"/>
    <w:rsid w:val="00F67128"/>
    <w:rsid w:val="00F705F7"/>
    <w:rsid w:val="00F7206D"/>
    <w:rsid w:val="00F72E77"/>
    <w:rsid w:val="00F73B38"/>
    <w:rsid w:val="00F743AC"/>
    <w:rsid w:val="00F75933"/>
    <w:rsid w:val="00F76258"/>
    <w:rsid w:val="00F81DC7"/>
    <w:rsid w:val="00F81F1E"/>
    <w:rsid w:val="00F82EF2"/>
    <w:rsid w:val="00F848A9"/>
    <w:rsid w:val="00F84A67"/>
    <w:rsid w:val="00F84EE4"/>
    <w:rsid w:val="00F86166"/>
    <w:rsid w:val="00F868E7"/>
    <w:rsid w:val="00F86F51"/>
    <w:rsid w:val="00F87974"/>
    <w:rsid w:val="00F9073C"/>
    <w:rsid w:val="00F90DAD"/>
    <w:rsid w:val="00F91081"/>
    <w:rsid w:val="00F919AD"/>
    <w:rsid w:val="00F92DD7"/>
    <w:rsid w:val="00F93F07"/>
    <w:rsid w:val="00F94CCF"/>
    <w:rsid w:val="00F96753"/>
    <w:rsid w:val="00F96AC8"/>
    <w:rsid w:val="00FA12D4"/>
    <w:rsid w:val="00FA1749"/>
    <w:rsid w:val="00FA1908"/>
    <w:rsid w:val="00FA3BF4"/>
    <w:rsid w:val="00FA4023"/>
    <w:rsid w:val="00FA455C"/>
    <w:rsid w:val="00FA5572"/>
    <w:rsid w:val="00FA774D"/>
    <w:rsid w:val="00FA791E"/>
    <w:rsid w:val="00FA7949"/>
    <w:rsid w:val="00FB19CB"/>
    <w:rsid w:val="00FB1F1C"/>
    <w:rsid w:val="00FB2678"/>
    <w:rsid w:val="00FB3F23"/>
    <w:rsid w:val="00FB6D14"/>
    <w:rsid w:val="00FB7475"/>
    <w:rsid w:val="00FB761B"/>
    <w:rsid w:val="00FB7C1C"/>
    <w:rsid w:val="00FC0EEB"/>
    <w:rsid w:val="00FC3CF1"/>
    <w:rsid w:val="00FC43B6"/>
    <w:rsid w:val="00FC59AC"/>
    <w:rsid w:val="00FD102F"/>
    <w:rsid w:val="00FD292F"/>
    <w:rsid w:val="00FD36F4"/>
    <w:rsid w:val="00FD463D"/>
    <w:rsid w:val="00FD4FB8"/>
    <w:rsid w:val="00FD5B8D"/>
    <w:rsid w:val="00FD634B"/>
    <w:rsid w:val="00FD7D39"/>
    <w:rsid w:val="00FE0130"/>
    <w:rsid w:val="00FE097C"/>
    <w:rsid w:val="00FE1550"/>
    <w:rsid w:val="00FE16F8"/>
    <w:rsid w:val="00FE2B9C"/>
    <w:rsid w:val="00FE30E3"/>
    <w:rsid w:val="00FE4CC7"/>
    <w:rsid w:val="00FE593E"/>
    <w:rsid w:val="00FE59A5"/>
    <w:rsid w:val="00FE59BD"/>
    <w:rsid w:val="00FE7789"/>
    <w:rsid w:val="00FE7A48"/>
    <w:rsid w:val="00FF060B"/>
    <w:rsid w:val="00FF354A"/>
    <w:rsid w:val="00FF3D52"/>
    <w:rsid w:val="00FF404B"/>
    <w:rsid w:val="00FF5D1A"/>
    <w:rsid w:val="00FF6D02"/>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1A224"/>
  <w15:docId w15:val="{B4D2E140-75F6-4C89-8851-C03D21F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6DA"/>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1"/>
    <w:qFormat/>
    <w:rsid w:val="0079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iPriority w:val="9"/>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nhideWhenUsed/>
    <w:qFormat/>
    <w:rsid w:val="00797049"/>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semiHidden/>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797049"/>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basedOn w:val="DefaultParagraphFont"/>
    <w:link w:val="Footer1"/>
    <w:uiPriority w:val="99"/>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F46178"/>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
    <w:name w:val="Heading 1 Char"/>
    <w:basedOn w:val="DefaultParagraphFont"/>
    <w:link w:val="Heading11"/>
    <w:uiPriority w:val="1"/>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79704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uiPriority w:val="9"/>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semiHidden/>
    <w:unhideWhenUsed/>
    <w:rsid w:val="00797049"/>
    <w:rPr>
      <w:b/>
      <w:bCs/>
    </w:rPr>
  </w:style>
  <w:style w:type="character" w:customStyle="1" w:styleId="CommentSubjectChar">
    <w:name w:val="Comment Subject Char"/>
    <w:basedOn w:val="CommentTextChar"/>
    <w:link w:val="CommentSubject"/>
    <w:uiPriority w:val="99"/>
    <w:semiHidden/>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DE298C"/>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rsid w:val="00797049"/>
    <w:rPr>
      <w:rFonts w:ascii="Arial" w:eastAsia="MS PGothic" w:hAnsi="Arial" w:cs="Arial"/>
      <w:color w:val="000000"/>
      <w:sz w:val="24"/>
      <w:szCs w:val="24"/>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semiHidden/>
    <w:rsid w:val="00797049"/>
    <w:rPr>
      <w:rFonts w:ascii="Arial" w:eastAsia="MS PGothic" w:hAnsi="Arial" w:cs="Arial"/>
      <w:b/>
      <w:bCs/>
      <w:color w:val="000000"/>
    </w:rPr>
  </w:style>
  <w:style w:type="character" w:customStyle="1" w:styleId="Heading9Char">
    <w:name w:val="Heading 9 Char"/>
    <w:basedOn w:val="DefaultParagraphFont"/>
    <w:link w:val="Heading9"/>
    <w:uiPriority w:val="9"/>
    <w:semiHidden/>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OOTNOTES,fn,Footnote Text Char1 Char,Footnote Text Char Char Char Char Char,f"/>
    <w:basedOn w:val="Normal"/>
    <w:link w:val="FootnoteTextChar"/>
    <w:uiPriority w:val="99"/>
    <w:unhideWhenUsed/>
    <w:qFormat/>
    <w:rsid w:val="00797049"/>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OOTNOTES Char,fn Char,f Char"/>
    <w:basedOn w:val="DefaultParagraphFont"/>
    <w:link w:val="FootnoteText"/>
    <w:uiPriority w:val="99"/>
    <w:rsid w:val="00797049"/>
    <w:rPr>
      <w:rFonts w:ascii="Cambria" w:eastAsia="Times New Roman" w:hAnsi="Cambria" w:cs="Tahoma"/>
      <w:bCs/>
      <w:color w:val="404040"/>
      <w:sz w:val="20"/>
      <w:szCs w:val="20"/>
      <w:lang w:val="sr-Cyrl-CS"/>
    </w:rPr>
  </w:style>
  <w:style w:type="character" w:styleId="FootnoteReference">
    <w:name w:val="footnote reference"/>
    <w:aliases w:val="ftref,BVI fnr,Footnote za GI,16 Point,Superscript 6 Point,Footnote Reference Number,nota pié di pagina,Footnote symbol,Footnote reference number,Times 10 Point,Exposant 3 Point,EN Footnote Reference,note TESI,Footnotes refss,4_G,fr"/>
    <w:link w:val="BVIfnrChar"/>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semiHidden/>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ascii="Times New Roman" w:eastAsia="MS PGothic" w:hAnsi="Times New Roman"/>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basedOn w:val="Normal"/>
    <w:link w:val="FooterChar1"/>
    <w:uiPriority w:val="99"/>
    <w:unhideWhenUsed/>
    <w:rsid w:val="00797049"/>
    <w:pPr>
      <w:tabs>
        <w:tab w:val="center" w:pos="4680"/>
        <w:tab w:val="right" w:pos="9360"/>
      </w:tabs>
      <w:spacing w:after="0"/>
    </w:pPr>
  </w:style>
  <w:style w:type="character" w:customStyle="1" w:styleId="FooterChar1">
    <w:name w:val="Footer Char1"/>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semiHidden/>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uiPriority w:val="35"/>
    <w:unhideWhenUsed/>
    <w:qFormat/>
    <w:rsid w:val="002C0A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0">
    <w:name w:val="Grid Table 6 Colorful - Accent 54"/>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0">
    <w:name w:val="Grid Table 6 Colorful - Accent 13"/>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0">
    <w:name w:val="Grid Table 6 Colorful - Accent 43"/>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0">
    <w:name w:val="Grid Table 6 Colorful - Accent 33"/>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0">
    <w:name w:val="Grid Table 4 - Accent 53"/>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0">
    <w:name w:val="Grid Table 5 Dark - Accent 53"/>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0">
    <w:name w:val="List Table 6 Colorful - Accent 33"/>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0">
    <w:name w:val="Grid Table 1 Light - Accent 13"/>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0">
    <w:name w:val="List Table 1 Light - Accent 13"/>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0">
    <w:name w:val="List Table 2 - Accent 13"/>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0">
    <w:name w:val="List Table 2 - Accent 53"/>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0">
    <w:name w:val="Grid Table 2 - Accent 53"/>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FOOTNOTES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5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1">
    <w:name w:val="f1"/>
    <w:basedOn w:val="Normal"/>
    <w:next w:val="FootnoteText"/>
    <w:uiPriority w:val="99"/>
    <w:unhideWhenUsed/>
    <w:qFormat/>
    <w:rsid w:val="00DC7F92"/>
    <w:pPr>
      <w:spacing w:after="0"/>
      <w:jc w:val="left"/>
    </w:pPr>
    <w:rPr>
      <w:rFonts w:asciiTheme="minorHAnsi" w:hAnsiTheme="minorHAnsi"/>
      <w:sz w:val="20"/>
      <w:szCs w:val="20"/>
      <w:lang w:val="en-GB"/>
    </w:rPr>
  </w:style>
  <w:style w:type="paragraph" w:customStyle="1" w:styleId="Standard">
    <w:name w:val="Standard"/>
    <w:rsid w:val="00DC7F92"/>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gmail-western">
    <w:name w:val="gmail-western"/>
    <w:basedOn w:val="Normal"/>
    <w:rsid w:val="00DC7F92"/>
    <w:pPr>
      <w:spacing w:before="100" w:beforeAutospacing="1" w:after="100" w:afterAutospacing="1"/>
      <w:jc w:val="left"/>
    </w:pPr>
    <w:rPr>
      <w:rFonts w:cs="Times New Roman"/>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DC7F92"/>
    <w:pPr>
      <w:spacing w:after="160" w:line="240" w:lineRule="exact"/>
      <w:jc w:val="left"/>
    </w:pPr>
    <w:rPr>
      <w:rFonts w:asciiTheme="minorHAnsi" w:hAnsiTheme="minorHAnsi"/>
      <w:sz w:val="22"/>
      <w:vertAlign w:val="superscript"/>
    </w:rPr>
  </w:style>
  <w:style w:type="paragraph" w:customStyle="1" w:styleId="cSListParagraph1">
    <w:name w:val="cS List Paragraph1"/>
    <w:basedOn w:val="Normal"/>
    <w:next w:val="ListParagraph"/>
    <w:uiPriority w:val="34"/>
    <w:qFormat/>
    <w:rsid w:val="00DC7F92"/>
    <w:pPr>
      <w:ind w:left="720"/>
      <w:contextualSpacing/>
      <w:jc w:val="left"/>
    </w:pPr>
    <w:rPr>
      <w:rFonts w:asciiTheme="minorHAnsi" w:hAnsiTheme="minorHAnsi"/>
      <w:sz w:val="22"/>
    </w:rPr>
  </w:style>
  <w:style w:type="paragraph" w:customStyle="1" w:styleId="BalloonText1">
    <w:name w:val="Balloon Text1"/>
    <w:basedOn w:val="Normal"/>
    <w:next w:val="BalloonText"/>
    <w:uiPriority w:val="99"/>
    <w:semiHidden/>
    <w:unhideWhenUsed/>
    <w:rsid w:val="00DC7F92"/>
    <w:pPr>
      <w:spacing w:after="0"/>
      <w:jc w:val="left"/>
    </w:pPr>
    <w:rPr>
      <w:rFonts w:ascii="Segoe UI" w:hAnsi="Segoe UI" w:cs="Segoe UI"/>
      <w:sz w:val="18"/>
      <w:szCs w:val="18"/>
      <w:lang w:val="en-GB"/>
    </w:rPr>
  </w:style>
  <w:style w:type="paragraph" w:customStyle="1" w:styleId="CommentText1">
    <w:name w:val="Comment Text1"/>
    <w:basedOn w:val="Normal"/>
    <w:next w:val="CommentText"/>
    <w:uiPriority w:val="99"/>
    <w:unhideWhenUsed/>
    <w:rsid w:val="00DC7F92"/>
    <w:pPr>
      <w:jc w:val="left"/>
    </w:pPr>
    <w:rPr>
      <w:rFonts w:asciiTheme="minorHAnsi" w:hAnsiTheme="minorHAnsi"/>
      <w:sz w:val="20"/>
      <w:szCs w:val="20"/>
      <w:lang w:val="en-GB"/>
    </w:rPr>
  </w:style>
  <w:style w:type="paragraph" w:customStyle="1" w:styleId="CommentSubject1">
    <w:name w:val="Comment Subject1"/>
    <w:basedOn w:val="CommentText"/>
    <w:next w:val="CommentText"/>
    <w:uiPriority w:val="99"/>
    <w:semiHidden/>
    <w:unhideWhenUsed/>
    <w:rsid w:val="00DC7F92"/>
    <w:pPr>
      <w:spacing w:line="240" w:lineRule="auto"/>
      <w:jc w:val="left"/>
    </w:pPr>
    <w:rPr>
      <w:rFonts w:asciiTheme="minorHAnsi" w:eastAsiaTheme="minorHAnsi" w:hAnsiTheme="minorHAnsi"/>
      <w:b/>
      <w:bCs/>
      <w:lang w:eastAsia="en-US"/>
    </w:rPr>
  </w:style>
  <w:style w:type="paragraph" w:customStyle="1" w:styleId="BodyText1">
    <w:name w:val="Body Text1"/>
    <w:basedOn w:val="Normal"/>
    <w:next w:val="BodyText"/>
    <w:uiPriority w:val="99"/>
    <w:unhideWhenUsed/>
    <w:rsid w:val="00DC7F92"/>
    <w:rPr>
      <w:rFonts w:cs="Times New Roman"/>
      <w:b/>
      <w:szCs w:val="24"/>
      <w:lang w:val="en-GB"/>
    </w:rPr>
  </w:style>
  <w:style w:type="paragraph" w:customStyle="1" w:styleId="Header1">
    <w:name w:val="Header1"/>
    <w:basedOn w:val="Normal"/>
    <w:next w:val="Header"/>
    <w:uiPriority w:val="99"/>
    <w:unhideWhenUsed/>
    <w:rsid w:val="00DC7F92"/>
    <w:pPr>
      <w:tabs>
        <w:tab w:val="center" w:pos="4513"/>
        <w:tab w:val="right" w:pos="9026"/>
      </w:tabs>
      <w:spacing w:after="0"/>
      <w:jc w:val="left"/>
    </w:pPr>
    <w:rPr>
      <w:rFonts w:asciiTheme="minorHAnsi" w:hAnsiTheme="minorHAnsi"/>
      <w:sz w:val="22"/>
      <w:lang w:val="en-GB"/>
    </w:rPr>
  </w:style>
  <w:style w:type="paragraph" w:customStyle="1" w:styleId="Revision1">
    <w:name w:val="Revision1"/>
    <w:next w:val="Revision"/>
    <w:hidden/>
    <w:uiPriority w:val="99"/>
    <w:semiHidden/>
    <w:rsid w:val="00DC7F92"/>
    <w:pPr>
      <w:spacing w:after="0" w:line="240" w:lineRule="auto"/>
    </w:pPr>
  </w:style>
  <w:style w:type="character" w:customStyle="1" w:styleId="BalloonTextChar1">
    <w:name w:val="Balloon Text Char1"/>
    <w:basedOn w:val="DefaultParagraphFont"/>
    <w:uiPriority w:val="99"/>
    <w:semiHidden/>
    <w:rsid w:val="00DC7F92"/>
    <w:rPr>
      <w:rFonts w:ascii="Segoe UI" w:hAnsi="Segoe UI" w:cs="Segoe UI"/>
      <w:sz w:val="18"/>
      <w:szCs w:val="18"/>
      <w:lang w:val="en-GB"/>
    </w:rPr>
  </w:style>
  <w:style w:type="character" w:customStyle="1" w:styleId="CommentTextChar1">
    <w:name w:val="Comment Text Char1"/>
    <w:basedOn w:val="DefaultParagraphFont"/>
    <w:uiPriority w:val="99"/>
    <w:rsid w:val="00DC7F92"/>
    <w:rPr>
      <w:sz w:val="20"/>
      <w:szCs w:val="20"/>
      <w:lang w:val="en-GB"/>
    </w:rPr>
  </w:style>
  <w:style w:type="character" w:customStyle="1" w:styleId="CommentSubjectChar1">
    <w:name w:val="Comment Subject Char1"/>
    <w:basedOn w:val="CommentTextChar1"/>
    <w:uiPriority w:val="99"/>
    <w:semiHidden/>
    <w:rsid w:val="00DC7F92"/>
    <w:rPr>
      <w:b/>
      <w:bCs/>
      <w:sz w:val="20"/>
      <w:szCs w:val="20"/>
      <w:lang w:val="en-GB"/>
    </w:rPr>
  </w:style>
  <w:style w:type="character" w:customStyle="1" w:styleId="BodyTextChar1">
    <w:name w:val="Body Text Char1"/>
    <w:basedOn w:val="DefaultParagraphFont"/>
    <w:uiPriority w:val="99"/>
    <w:rsid w:val="00DC7F92"/>
    <w:rPr>
      <w:lang w:val="en-GB"/>
    </w:rPr>
  </w:style>
  <w:style w:type="character" w:customStyle="1" w:styleId="HeaderChar1">
    <w:name w:val="Header Char1"/>
    <w:basedOn w:val="DefaultParagraphFont"/>
    <w:uiPriority w:val="99"/>
    <w:rsid w:val="00DC7F92"/>
    <w:rPr>
      <w:lang w:val="en-GB"/>
    </w:rPr>
  </w:style>
  <w:style w:type="paragraph" w:customStyle="1" w:styleId="basic-paragraph">
    <w:name w:val="basic-paragraph"/>
    <w:basedOn w:val="Normal"/>
    <w:rsid w:val="00DC7F92"/>
    <w:pPr>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jn.gov.rs/propisi/podzakonski-akti/" TargetMode="External"/><Relationship Id="rId13" Type="http://schemas.openxmlformats.org/officeDocument/2006/relationships/chart" Target="charts/chart5.xml"/><Relationship Id="rId18" Type="http://schemas.openxmlformats.org/officeDocument/2006/relationships/chart" Target="charts/chart6.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gif"/><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chart" Target="charts/chart8.xml"/><Relationship Id="rId29" Type="http://schemas.openxmlformats.org/officeDocument/2006/relationships/hyperlink" Target="http://kodekssifara.minrzs.gov.rs/sifarnici/sifarnik-zaniman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chart" Target="charts/chart11.xml"/><Relationship Id="rId28"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image" Target="media/image3.png"/><Relationship Id="rId30" Type="http://schemas.openxmlformats.org/officeDocument/2006/relationships/hyperlink" Target="https://noks.azk.gov.r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ers.rs/Files/Izvestaji/Godisnji/Izvestaj%20Agencije%202020.pdf" TargetMode="External"/><Relationship Id="rId18" Type="http://schemas.openxmlformats.org/officeDocument/2006/relationships/hyperlink" Target="https://ec.europa.eu/info/research-and-innovation/statistics/performance-indicators/european-innovation-scoreboard_en" TargetMode="External"/><Relationship Id="rId26" Type="http://schemas.openxmlformats.org/officeDocument/2006/relationships/hyperlink" Target="https://www.putevi-srbije.rs/images/pdf/suiss/UISS_godisnji_izvestaj_2020.pdf" TargetMode="External"/><Relationship Id="rId39" Type="http://schemas.openxmlformats.org/officeDocument/2006/relationships/hyperlink" Target="https://beg.aero/sites/belgrade/files/pdf/beg_izvestaj_o_aktivnostima_2020.pdf" TargetMode="External"/><Relationship Id="rId21" Type="http://schemas.openxmlformats.org/officeDocument/2006/relationships/hyperlink" Target="https://webgate.ec.europa.eu/dashboard/sense/app/a976d168-2023-41d8-acec-e77640154726/sheet/0c8af38b-b73c-4da2-ba41-73ea34ab7ac4/state/analysis" TargetMode="External"/><Relationship Id="rId34" Type="http://schemas.openxmlformats.org/officeDocument/2006/relationships/hyperlink" Target="https://www.stat.gov.rs/sr-latn/vesti/20210312-registrovana-drumska-motorna-i-prikljucna-vozila-i-saobracajne-nezgode-na-putevima-2020/" TargetMode="External"/><Relationship Id="rId42" Type="http://schemas.openxmlformats.org/officeDocument/2006/relationships/hyperlink" Target="https://publikacije.stat.gov.rs/G2021/Pdf/G20215671.pdf" TargetMode="External"/><Relationship Id="rId47" Type="http://schemas.openxmlformats.org/officeDocument/2006/relationships/hyperlink" Target="https://mtt.gov.rs/download/Izve%C5%A1taj%20o%20radu%20Nacionalnog%20registra%20potro%C5%A1a%C4%8Dkih%20prigovora%20za%202020.%20godinu.pdf" TargetMode="External"/><Relationship Id="rId50" Type="http://schemas.openxmlformats.org/officeDocument/2006/relationships/hyperlink" Target="https://publikacije.stat.gov.rs/G2021/Pdf/G20211282.pdf" TargetMode="External"/><Relationship Id="rId55" Type="http://schemas.openxmlformats.org/officeDocument/2006/relationships/hyperlink" Target="https://www.mfin.gov.rs/dokumenti2/makroekonomski-i-fiskalni-podaci" TargetMode="External"/><Relationship Id="rId63" Type="http://schemas.openxmlformats.org/officeDocument/2006/relationships/hyperlink" Target="https://www.rfzo.rs/index.php/osiguranalica/listecekanja/lc-dnevni-presek" TargetMode="External"/><Relationship Id="rId7" Type="http://schemas.openxmlformats.org/officeDocument/2006/relationships/hyperlink" Target="http://www.ujn.gov.rs/izvestaji/izvestaji-uprave-za-javne-nabavke/" TargetMode="External"/><Relationship Id="rId2" Type="http://schemas.openxmlformats.org/officeDocument/2006/relationships/hyperlink" Target="https://publikacije.stat.gov.rs/G2021/Pdf/G202122002.pdf" TargetMode="External"/><Relationship Id="rId16" Type="http://schemas.openxmlformats.org/officeDocument/2006/relationships/hyperlink" Target="https://networkreadinessindex.org/countries/serbia/" TargetMode="External"/><Relationship Id="rId29" Type="http://schemas.openxmlformats.org/officeDocument/2006/relationships/hyperlink" Target="http://www.raildir.gov.rs/doc/izvestaji/Izvestaj%20_o_regulisanju_trzista_zeleznickih_usluga_za_2020_godinu.pdf" TargetMode="External"/><Relationship Id="rId11" Type="http://schemas.openxmlformats.org/officeDocument/2006/relationships/hyperlink" Target="https://www.mre.gov.rs/dokumenta/sektor-za-medjunarodnu-saradnju-i-evropske-integracije/ostalo/akcioni-plan-za-sprovodjenje-aktivnosti-u-cilju-reorganizacije-jp-srbijagas-novi-sad" TargetMode="External"/><Relationship Id="rId24" Type="http://schemas.openxmlformats.org/officeDocument/2006/relationships/hyperlink" Target="https://www.mgsi.gov.rs/cir/aktuelnosti/momirovitsh-digitalizacijom-rada-rgz-i-jachanjem-kadrovskih-kapaciteta-do-efikasnijeg" TargetMode="External"/><Relationship Id="rId32" Type="http://schemas.openxmlformats.org/officeDocument/2006/relationships/hyperlink" Target="https://infrazs.rs/2021/07/pocelo-uklanjanje-starih-sina-u-okviru-pripremnih-radova-i-uredjenja-gradilista-za-pocetak-rekonstrukcije-pruge-subotica-horgos/2/" TargetMode="External"/><Relationship Id="rId37" Type="http://schemas.openxmlformats.org/officeDocument/2006/relationships/hyperlink" Target="https://www.mgsi.gov.rs/cir/aktuelnosti/otvoren-rekonstruisani-rechni-putnichki-terminal-u-novom-sadu" TargetMode="External"/><Relationship Id="rId40" Type="http://schemas.openxmlformats.org/officeDocument/2006/relationships/hyperlink" Target="https://nis-airport.com/statistika/" TargetMode="External"/><Relationship Id="rId45" Type="http://schemas.openxmlformats.org/officeDocument/2006/relationships/hyperlink" Target="https://publikacije.stat.gov.rs/G2019/Pdf/G201922002.pdf" TargetMode="External"/><Relationship Id="rId53" Type="http://schemas.openxmlformats.org/officeDocument/2006/relationships/hyperlink" Target="https://ec.europa.eu/eurostat/databrowser/view/ilc_di12/default/table?lang=en" TargetMode="External"/><Relationship Id="rId58" Type="http://schemas.openxmlformats.org/officeDocument/2006/relationships/hyperlink" Target="https://healthpowerhouse.com/media/EHCI-2018/EHCI-2018-report.pdf" TargetMode="External"/><Relationship Id="rId5" Type="http://schemas.openxmlformats.org/officeDocument/2006/relationships/hyperlink" Target="http://www.mpn.gov.rs/wp-content/uploads/2021/03/Izvestaj-GPOO-u-2020-god-final-2.pdf" TargetMode="External"/><Relationship Id="rId61" Type="http://schemas.openxmlformats.org/officeDocument/2006/relationships/hyperlink" Target="https://ec.europa.eu/eurostat/statistics-explained/index.php?title=File:Availability_of_treatment_equipment_%E2%80%94_radiation_therapy_equipment,_2018_Health20.png" TargetMode="External"/><Relationship Id="rId19" Type="http://schemas.openxmlformats.org/officeDocument/2006/relationships/hyperlink" Target="https://data.stat.gov.rs/Home/Result/100109?languageCode=sr-Cyrl" TargetMode="External"/><Relationship Id="rId14" Type="http://schemas.openxmlformats.org/officeDocument/2006/relationships/hyperlink" Target="https://www.mre.gov.rs/aktuelnosti/saopstenja/mihajloviceva-o-novim-zakonima-vise-energije-iz-oie-i-pomoc-drzave-gradjanima-za-zamenu-stolarije-i-individualnih-lozista" TargetMode="External"/><Relationship Id="rId22" Type="http://schemas.openxmlformats.org/officeDocument/2006/relationships/hyperlink" Target="https://startupgenome.com/reports/gser2020" TargetMode="External"/><Relationship Id="rId27" Type="http://schemas.openxmlformats.org/officeDocument/2006/relationships/hyperlink" Target="https://publikacije.stat.gov.rs/G2021/Pdf/G20211166.pdf" TargetMode="External"/><Relationship Id="rId30" Type="http://schemas.openxmlformats.org/officeDocument/2006/relationships/hyperlink" Target="https://publikacije.stat.gov.rs/G2021/Pdf/G20211166.pdf" TargetMode="External"/><Relationship Id="rId35" Type="http://schemas.openxmlformats.org/officeDocument/2006/relationships/hyperlink" Target="https://www.aul.gov.rs/na-rekama-u-srbiji-pretovareno-15-miliona-tona-tereta" TargetMode="External"/><Relationship Id="rId43" Type="http://schemas.openxmlformats.org/officeDocument/2006/relationships/hyperlink" Target="https://publikacije.stat.gov.rs/G2019/Pdf/G20196002.pdf" TargetMode="External"/><Relationship Id="rId48" Type="http://schemas.openxmlformats.org/officeDocument/2006/relationships/hyperlink" Target="https://nbs.rs/export/sites/NBS_site/documents/platni-sistem/statistika/el_novac/prihvatna_mreza.xlsx" TargetMode="External"/><Relationship Id="rId56" Type="http://schemas.openxmlformats.org/officeDocument/2006/relationships/hyperlink" Target="https://mtt.gov.rs/informacije/potrosacka-korpa/?0=lat" TargetMode="External"/><Relationship Id="rId64" Type="http://schemas.openxmlformats.org/officeDocument/2006/relationships/hyperlink" Target="https://ourworldindata.org/covid-vaccinations" TargetMode="External"/><Relationship Id="rId8" Type="http://schemas.openxmlformats.org/officeDocument/2006/relationships/hyperlink" Target="https://jnportal.ujn.gov.rs/annual-reports-ppo-public" TargetMode="External"/><Relationship Id="rId51" Type="http://schemas.openxmlformats.org/officeDocument/2006/relationships/hyperlink" Target="https://appsso.eurostat.ec.europa.eu/nui/submitViewTableAction.do" TargetMode="External"/><Relationship Id="rId3" Type="http://schemas.openxmlformats.org/officeDocument/2006/relationships/hyperlink" Target="https://www.ilo.org/employment/areas/youth-employment/work-for-youth/publications/national-reports/WCMS_488799/lang--en/index.htm" TargetMode="External"/><Relationship Id="rId12" Type="http://schemas.openxmlformats.org/officeDocument/2006/relationships/hyperlink" Target="https://www.aers.rs/Files/Izvestaji/Godisnji/Izvestaj%20Agencije%202020.pdf" TargetMode="External"/><Relationship Id="rId17" Type="http://schemas.openxmlformats.org/officeDocument/2006/relationships/hyperlink" Target="https://naled.rs/projekti-startech-program-podrske-za-inovaciju-i-transformaciju-malih-i-srednjih-preduzeca-4697" TargetMode="External"/><Relationship Id="rId25" Type="http://schemas.openxmlformats.org/officeDocument/2006/relationships/hyperlink" Target="https://www.mgsi.gov.rs/cir/aktuelnosti/momirovitsh-najznachajniji-projekat-izgradnje-komunalne-infrastrukture-u-srbiji" TargetMode="External"/><Relationship Id="rId33" Type="http://schemas.openxmlformats.org/officeDocument/2006/relationships/hyperlink" Target="https://infrazs.rs/2021/07/objavljeno-obavestenje-o-novim-projektima-modernizacije-zeleznice-vrednim-102-miliona-evra/2/" TargetMode="External"/><Relationship Id="rId38" Type="http://schemas.openxmlformats.org/officeDocument/2006/relationships/hyperlink" Target="https://www.aul.gov.rs/medjunarodno-putnicko-pristaniste-kostolac-dobilo-operatera" TargetMode="External"/><Relationship Id="rId46" Type="http://schemas.openxmlformats.org/officeDocument/2006/relationships/hyperlink" Target="https://www.trezor.gov.rs/files/services/rpg/statistika/Broj%20registrovanih%20poljoprivrednih%20gazdinstava.pdf" TargetMode="External"/><Relationship Id="rId59" Type="http://schemas.openxmlformats.org/officeDocument/2006/relationships/hyperlink" Target="https://www.batut.org.rs/download/publikacije/pub2019a.pdf" TargetMode="External"/><Relationship Id="rId20" Type="http://schemas.openxmlformats.org/officeDocument/2006/relationships/hyperlink" Target="https://ec.europa.eu/eurostat/databrowser/view/tsc00001/default/table?lang=en" TargetMode="External"/><Relationship Id="rId41" Type="http://schemas.openxmlformats.org/officeDocument/2006/relationships/hyperlink" Target="https://www.mgsi.gov.rs/cir/aktuelnosti/momirovitsh-uz-subvencije-sachuvatshemo-radna-mesta-autobuskim-prevoznicima" TargetMode="External"/><Relationship Id="rId54" Type="http://schemas.openxmlformats.org/officeDocument/2006/relationships/hyperlink" Target="https://www.mfin.gov.rs/dokumenti2/makroekonomski-i-fiskalni-podaci" TargetMode="External"/><Relationship Id="rId62" Type="http://schemas.openxmlformats.org/officeDocument/2006/relationships/hyperlink" Target="https://ec.europa.eu/eurostat/statistics-explained/images/1/1e/Availability_of_medical_technology_%E2%80%94_imaging_equipment%2C_2018_Health20.png" TargetMode="External"/><Relationship Id="rId1" Type="http://schemas.openxmlformats.org/officeDocument/2006/relationships/hyperlink" Target="http://www.mfin.gov.rs/pages/article.php?id=8626" TargetMode="External"/><Relationship Id="rId6" Type="http://schemas.openxmlformats.org/officeDocument/2006/relationships/hyperlink" Target="https://rsjp.gov.rs/wp-content/uploads/Final-Public-Consultation-Manual-16-07-2020-for-publication-1.pdf" TargetMode="External"/><Relationship Id="rId15" Type="http://schemas.openxmlformats.org/officeDocument/2006/relationships/hyperlink" Target="https://publikacije.stat.gov.rs/G2021/Pdf/G20211014.pdf" TargetMode="External"/><Relationship Id="rId23" Type="http://schemas.openxmlformats.org/officeDocument/2006/relationships/hyperlink" Target="https://ec.europa.eu/eurostat/databrowser/view/rd_p_perslf/default/table?lang=en" TargetMode="External"/><Relationship Id="rId28" Type="http://schemas.openxmlformats.org/officeDocument/2006/relationships/hyperlink" Target="https://publikacije.stat.gov.rs/G2021/Pdf/G20211146.pdf" TargetMode="External"/><Relationship Id="rId36" Type="http://schemas.openxmlformats.org/officeDocument/2006/relationships/hyperlink" Target="https://www.aul.gov.rs/porast-pretovara-tereta-na-rekama-u-srbiji" TargetMode="External"/><Relationship Id="rId49" Type="http://schemas.openxmlformats.org/officeDocument/2006/relationships/hyperlink" Target="https://www.mfin.gov.rs//upload/media/LJW4tX_60f00bcd5f5ef.pdf" TargetMode="External"/><Relationship Id="rId57" Type="http://schemas.openxmlformats.org/officeDocument/2006/relationships/hyperlink" Target="https://publikacije.stat.gov.rs/G2021/Pdf/G20211282.pdf" TargetMode="External"/><Relationship Id="rId10" Type="http://schemas.openxmlformats.org/officeDocument/2006/relationships/hyperlink" Target="https://www.aers.rs/Files/Izvestaji/Godisnji/Izvestaj%20Agencije%202020.pdf" TargetMode="External"/><Relationship Id="rId31" Type="http://schemas.openxmlformats.org/officeDocument/2006/relationships/hyperlink" Target="http://www.raildir.gov.rs/doc/izvestaji/Izvestaj%20_o_regulisanju_trzista_zeleznickih_usluga_za_2020_godinu.pdf" TargetMode="External"/><Relationship Id="rId44" Type="http://schemas.openxmlformats.org/officeDocument/2006/relationships/hyperlink" Target="https://naled.rs/htdocs/Files/01428/Komasacija-vodic-web.pdf" TargetMode="External"/><Relationship Id="rId52" Type="http://schemas.openxmlformats.org/officeDocument/2006/relationships/hyperlink" Target="https://publikacije.stat.gov.rs/G2021/Pdf/G20211282.pdf" TargetMode="External"/><Relationship Id="rId60" Type="http://schemas.openxmlformats.org/officeDocument/2006/relationships/hyperlink" Target="https://www.batut.org.rs/index.php?category_id=50" TargetMode="External"/><Relationship Id="rId4" Type="http://schemas.openxmlformats.org/officeDocument/2006/relationships/hyperlink" Target="https://appsso.eurostat.ec.europa.eu/nui/show.do?dataset=trng_lfse_01&amp;lang=en" TargetMode="External"/><Relationship Id="rId9" Type="http://schemas.openxmlformats.org/officeDocument/2006/relationships/hyperlink" Target="https://www.aers.rs/Files/Izvestaji/Godisnji/Izvestaj%20Agencije%20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Oliver\Desktop\STRATEGIJA%202022-2024\STRAT2022-2024.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jovana.djeric\Dropbox\Makro%20sektor\FISKALNA%20STRATEGIJA%202022-2024%20-%20revidirana\Makro%20radni%20fajlovi\GRAFIKONI_MAKRO_okt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vladimir.malbasic\Desktop\Za%20bazu-%20GFS,%20SS%20bs%20,%20MMF%20table\GFS%20CONSOLIDATION_za%20analizu%20radni%20fajl-2080mq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C:\Users\valentina.osmajlic\Dropbox\Makro%20sektor\FISKALNA%20STRATEGIJA%202022-2024\Fiskal%20radni%20fajlovi\S0%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jancic\Dropbox\Makro%20sektor\FISKALNA%20STRATEGIJA%202022-2024%20-%20revidirana\Fiskal%20radni%20fajlovi\ognjen\za%20grafikone%20def,dug%20baseline%20i%20sa%20merama.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7.0236607987885669E-2"/>
          <c:w val="0.90740810185185183"/>
          <c:h val="0.66834989589248528"/>
        </c:manualLayout>
      </c:layout>
      <c:barChart>
        <c:barDir val="col"/>
        <c:grouping val="stacked"/>
        <c:varyColors val="0"/>
        <c:ser>
          <c:idx val="0"/>
          <c:order val="0"/>
          <c:tx>
            <c:strRef>
              <c:f>BDP_doprinosi!$R$34</c:f>
              <c:strCache>
                <c:ptCount val="1"/>
                <c:pt idx="0">
                  <c:v>Пољопривреда</c:v>
                </c:pt>
              </c:strCache>
            </c:strRef>
          </c:tx>
          <c:spPr>
            <a:solidFill>
              <a:srgbClr val="10103C"/>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BDP_doprinosi!$AC$34:$AI$34</c:f>
              <c:numCache>
                <c:formatCode>0.0</c:formatCode>
                <c:ptCount val="6"/>
                <c:pt idx="0">
                  <c:v>-0.10470276360889522</c:v>
                </c:pt>
                <c:pt idx="1">
                  <c:v>0.12991134356799292</c:v>
                </c:pt>
                <c:pt idx="2">
                  <c:v>-0.24</c:v>
                </c:pt>
                <c:pt idx="3">
                  <c:v>3.1331984183785314E-2</c:v>
                </c:pt>
                <c:pt idx="4">
                  <c:v>0</c:v>
                </c:pt>
                <c:pt idx="5">
                  <c:v>0</c:v>
                </c:pt>
              </c:numCache>
            </c:numRef>
          </c:val>
          <c:extLst>
            <c:ext xmlns:c16="http://schemas.microsoft.com/office/drawing/2014/chart" uri="{C3380CC4-5D6E-409C-BE32-E72D297353CC}">
              <c16:uniqueId val="{00000000-5A2F-4D7A-AD34-496C2520D15A}"/>
            </c:ext>
          </c:extLst>
        </c:ser>
        <c:ser>
          <c:idx val="1"/>
          <c:order val="1"/>
          <c:tx>
            <c:strRef>
              <c:f>BDP_doprinosi!$R$35</c:f>
              <c:strCache>
                <c:ptCount val="1"/>
                <c:pt idx="0">
                  <c:v>Индустрија</c:v>
                </c:pt>
              </c:strCache>
            </c:strRef>
          </c:tx>
          <c:spPr>
            <a:solidFill>
              <a:srgbClr val="29489A"/>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BDP_doprinosi!$AC$35:$AI$35</c:f>
              <c:numCache>
                <c:formatCode>0.0</c:formatCode>
                <c:ptCount val="6"/>
                <c:pt idx="0">
                  <c:v>6.9803813652535865E-2</c:v>
                </c:pt>
                <c:pt idx="1">
                  <c:v>5.3216139416875453E-2</c:v>
                </c:pt>
                <c:pt idx="2">
                  <c:v>0.86</c:v>
                </c:pt>
                <c:pt idx="3">
                  <c:v>1.308687038077738</c:v>
                </c:pt>
                <c:pt idx="4">
                  <c:v>1.397275083732231</c:v>
                </c:pt>
                <c:pt idx="5">
                  <c:v>1.4697562119949981</c:v>
                </c:pt>
              </c:numCache>
            </c:numRef>
          </c:val>
          <c:extLst>
            <c:ext xmlns:c16="http://schemas.microsoft.com/office/drawing/2014/chart" uri="{C3380CC4-5D6E-409C-BE32-E72D297353CC}">
              <c16:uniqueId val="{00000001-5A2F-4D7A-AD34-496C2520D15A}"/>
            </c:ext>
          </c:extLst>
        </c:ser>
        <c:ser>
          <c:idx val="2"/>
          <c:order val="2"/>
          <c:tx>
            <c:strRef>
              <c:f>BDP_doprinosi!$R$36</c:f>
              <c:strCache>
                <c:ptCount val="1"/>
                <c:pt idx="0">
                  <c:v>Грађевинарство</c:v>
                </c:pt>
              </c:strCache>
            </c:strRef>
          </c:tx>
          <c:spPr>
            <a:solidFill>
              <a:srgbClr val="2183C4"/>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BDP_doprinosi!$AC$36:$AI$36</c:f>
              <c:numCache>
                <c:formatCode>0.0</c:formatCode>
                <c:ptCount val="6"/>
                <c:pt idx="0">
                  <c:v>1.4979384702968617</c:v>
                </c:pt>
                <c:pt idx="1">
                  <c:v>-0.20542798351131497</c:v>
                </c:pt>
                <c:pt idx="2">
                  <c:v>0.97</c:v>
                </c:pt>
                <c:pt idx="3">
                  <c:v>0.40455607032397095</c:v>
                </c:pt>
                <c:pt idx="4">
                  <c:v>0.54341720797571225</c:v>
                </c:pt>
                <c:pt idx="5">
                  <c:v>0.59590015763936255</c:v>
                </c:pt>
              </c:numCache>
            </c:numRef>
          </c:val>
          <c:extLst>
            <c:ext xmlns:c16="http://schemas.microsoft.com/office/drawing/2014/chart" uri="{C3380CC4-5D6E-409C-BE32-E72D297353CC}">
              <c16:uniqueId val="{00000002-5A2F-4D7A-AD34-496C2520D15A}"/>
            </c:ext>
          </c:extLst>
        </c:ser>
        <c:ser>
          <c:idx val="3"/>
          <c:order val="3"/>
          <c:tx>
            <c:strRef>
              <c:f>BDP_doprinosi!$R$37</c:f>
              <c:strCache>
                <c:ptCount val="1"/>
                <c:pt idx="0">
                  <c:v>Услуге</c:v>
                </c:pt>
              </c:strCache>
            </c:strRef>
          </c:tx>
          <c:spPr>
            <a:solidFill>
              <a:srgbClr val="51BBE7"/>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BDP_doprinosi!$AC$37:$AI$37</c:f>
              <c:numCache>
                <c:formatCode>0.0</c:formatCode>
                <c:ptCount val="6"/>
                <c:pt idx="0">
                  <c:v>2.1454456712607226</c:v>
                </c:pt>
                <c:pt idx="1">
                  <c:v>-0.61231851540600202</c:v>
                </c:pt>
                <c:pt idx="2">
                  <c:v>4.26</c:v>
                </c:pt>
                <c:pt idx="3">
                  <c:v>2.0581286886840777</c:v>
                </c:pt>
                <c:pt idx="4">
                  <c:v>2.3434138534521676</c:v>
                </c:pt>
                <c:pt idx="5">
                  <c:v>2.3230363416830184</c:v>
                </c:pt>
              </c:numCache>
            </c:numRef>
          </c:val>
          <c:extLst>
            <c:ext xmlns:c16="http://schemas.microsoft.com/office/drawing/2014/chart" uri="{C3380CC4-5D6E-409C-BE32-E72D297353CC}">
              <c16:uniqueId val="{00000003-5A2F-4D7A-AD34-496C2520D15A}"/>
            </c:ext>
          </c:extLst>
        </c:ser>
        <c:ser>
          <c:idx val="4"/>
          <c:order val="4"/>
          <c:tx>
            <c:strRef>
              <c:f>BDP_doprinosi!$R$38</c:f>
              <c:strCache>
                <c:ptCount val="1"/>
                <c:pt idx="0">
                  <c:v>Нето порези</c:v>
                </c:pt>
              </c:strCache>
            </c:strRef>
          </c:tx>
          <c:spPr>
            <a:solidFill>
              <a:srgbClr val="9ED1E6"/>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BDP_doprinosi!$AC$38:$AI$38</c:f>
              <c:numCache>
                <c:formatCode>0.0</c:formatCode>
                <c:ptCount val="6"/>
                <c:pt idx="0">
                  <c:v>0.72325826563415441</c:v>
                </c:pt>
                <c:pt idx="1">
                  <c:v>-0.30997898614484298</c:v>
                </c:pt>
                <c:pt idx="2">
                  <c:v>1.1599999999999999</c:v>
                </c:pt>
                <c:pt idx="3">
                  <c:v>0.68756812309661253</c:v>
                </c:pt>
                <c:pt idx="4">
                  <c:v>0.67725460125016335</c:v>
                </c:pt>
                <c:pt idx="5">
                  <c:v>0.63600051386436662</c:v>
                </c:pt>
              </c:numCache>
            </c:numRef>
          </c:val>
          <c:extLst>
            <c:ext xmlns:c16="http://schemas.microsoft.com/office/drawing/2014/chart" uri="{C3380CC4-5D6E-409C-BE32-E72D297353CC}">
              <c16:uniqueId val="{00000004-5A2F-4D7A-AD34-496C2520D15A}"/>
            </c:ext>
          </c:extLst>
        </c:ser>
        <c:dLbls>
          <c:showLegendKey val="0"/>
          <c:showVal val="0"/>
          <c:showCatName val="0"/>
          <c:showSerName val="0"/>
          <c:showPercent val="0"/>
          <c:showBubbleSize val="0"/>
        </c:dLbls>
        <c:gapWidth val="60"/>
        <c:overlap val="100"/>
        <c:axId val="-422391056"/>
        <c:axId val="-422386016"/>
      </c:barChart>
      <c:lineChart>
        <c:grouping val="standard"/>
        <c:varyColors val="0"/>
        <c:ser>
          <c:idx val="5"/>
          <c:order val="5"/>
          <c:tx>
            <c:strRef>
              <c:f>BDP_doprinosi!$R$39</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497823206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F-4D7A-AD34-496C2520D15A}"/>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BDP_doprinosi!$AC$39:$AI$39</c:f>
              <c:numCache>
                <c:formatCode>0.0</c:formatCode>
                <c:ptCount val="6"/>
                <c:pt idx="0">
                  <c:v>4.3317434572353886</c:v>
                </c:pt>
                <c:pt idx="1">
                  <c:v>-0.94459800207730116</c:v>
                </c:pt>
                <c:pt idx="2">
                  <c:v>7.01</c:v>
                </c:pt>
                <c:pt idx="3">
                  <c:v>4.4902719043661845</c:v>
                </c:pt>
                <c:pt idx="4">
                  <c:v>5</c:v>
                </c:pt>
                <c:pt idx="5">
                  <c:v>5</c:v>
                </c:pt>
              </c:numCache>
            </c:numRef>
          </c:val>
          <c:smooth val="0"/>
          <c:extLst>
            <c:ext xmlns:c16="http://schemas.microsoft.com/office/drawing/2014/chart" uri="{C3380CC4-5D6E-409C-BE32-E72D297353CC}">
              <c16:uniqueId val="{00000006-5A2F-4D7A-AD34-496C2520D15A}"/>
            </c:ext>
          </c:extLst>
        </c:ser>
        <c:dLbls>
          <c:showLegendKey val="0"/>
          <c:showVal val="0"/>
          <c:showCatName val="0"/>
          <c:showSerName val="0"/>
          <c:showPercent val="0"/>
          <c:showBubbleSize val="0"/>
        </c:dLbls>
        <c:marker val="1"/>
        <c:smooth val="0"/>
        <c:axId val="-422391056"/>
        <c:axId val="-422386016"/>
      </c:lineChart>
      <c:catAx>
        <c:axId val="-42239105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6016"/>
        <c:crosses val="autoZero"/>
        <c:auto val="1"/>
        <c:lblAlgn val="ctr"/>
        <c:lblOffset val="100"/>
        <c:noMultiLvlLbl val="0"/>
      </c:catAx>
      <c:valAx>
        <c:axId val="-422386016"/>
        <c:scaling>
          <c:orientation val="minMax"/>
          <c:max val="8"/>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91056"/>
        <c:crosses val="autoZero"/>
        <c:crossBetween val="between"/>
        <c:majorUnit val="2"/>
      </c:valAx>
      <c:spPr>
        <a:noFill/>
        <a:ln>
          <a:noFill/>
        </a:ln>
        <a:effectLst/>
      </c:spPr>
    </c:plotArea>
    <c:legend>
      <c:legendPos val="b"/>
      <c:layout>
        <c:manualLayout>
          <c:xMode val="edge"/>
          <c:yMode val="edge"/>
          <c:x val="2.9349664625255175E-2"/>
          <c:y val="0.84945769449176611"/>
          <c:w val="0.93586103820355804"/>
          <c:h val="0.1475728752602688"/>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Karakter'!$G$10</c:f>
              <c:strCache>
                <c:ptCount val="1"/>
                <c:pt idx="0">
                  <c:v>Производни јаз </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Karakter'!$G$11:$G$29,'Grafikoni, CAB, Karakter'!$G$30)</c:f>
              <c:numCache>
                <c:formatCode>#,##0.0</c:formatCode>
                <c:ptCount val="20"/>
                <c:pt idx="0">
                  <c:v>3.4939700056136114E-2</c:v>
                </c:pt>
                <c:pt idx="1">
                  <c:v>-2.6691119954877238</c:v>
                </c:pt>
                <c:pt idx="2">
                  <c:v>0.76238577225363635</c:v>
                </c:pt>
                <c:pt idx="3">
                  <c:v>4.0468165152257942</c:v>
                </c:pt>
                <c:pt idx="4">
                  <c:v>-0.39138729729837957</c:v>
                </c:pt>
                <c:pt idx="5">
                  <c:v>-0.72479913568008913</c:v>
                </c:pt>
                <c:pt idx="6">
                  <c:v>0.50975763682390063</c:v>
                </c:pt>
                <c:pt idx="7">
                  <c:v>-0.85240798425823205</c:v>
                </c:pt>
                <c:pt idx="8">
                  <c:v>1.2292084183139753</c:v>
                </c:pt>
                <c:pt idx="9">
                  <c:v>-1.4047616586894149</c:v>
                </c:pt>
                <c:pt idx="10">
                  <c:v>-1.1245778807696636</c:v>
                </c:pt>
                <c:pt idx="11">
                  <c:v>8.1063151685040302E-2</c:v>
                </c:pt>
                <c:pt idx="12">
                  <c:v>-0.4159186341528765</c:v>
                </c:pt>
                <c:pt idx="13">
                  <c:v>1.0107659401915881</c:v>
                </c:pt>
                <c:pt idx="14">
                  <c:v>1.9175492019454687</c:v>
                </c:pt>
                <c:pt idx="15">
                  <c:v>-2.6273288332443103</c:v>
                </c:pt>
                <c:pt idx="16">
                  <c:v>4.947281816201466E-2</c:v>
                </c:pt>
                <c:pt idx="17">
                  <c:v>3.6535932479672371E-2</c:v>
                </c:pt>
                <c:pt idx="18">
                  <c:v>0.22828350202301279</c:v>
                </c:pt>
                <c:pt idx="19">
                  <c:v>0.31501471150738092</c:v>
                </c:pt>
              </c:numCache>
            </c:numRef>
          </c:val>
          <c:extLst>
            <c:ext xmlns:c16="http://schemas.microsoft.com/office/drawing/2014/chart" uri="{C3380CC4-5D6E-409C-BE32-E72D297353CC}">
              <c16:uniqueId val="{00000000-0D3C-4F81-ACB8-A165E88FDB4A}"/>
            </c:ext>
          </c:extLst>
        </c:ser>
        <c:dLbls>
          <c:showLegendKey val="0"/>
          <c:showVal val="0"/>
          <c:showCatName val="0"/>
          <c:showSerName val="0"/>
          <c:showPercent val="0"/>
          <c:showBubbleSize val="0"/>
        </c:dLbls>
        <c:axId val="342946768"/>
        <c:axId val="410610880"/>
      </c:areaChart>
      <c:lineChart>
        <c:grouping val="standard"/>
        <c:varyColors val="0"/>
        <c:ser>
          <c:idx val="0"/>
          <c:order val="0"/>
          <c:tx>
            <c:strRef>
              <c:f>'Grafikoni, CAB, Karakter'!$H$10</c:f>
              <c:strCache>
                <c:ptCount val="1"/>
                <c:pt idx="0">
                  <c:v>Фискални 
биланс</c:v>
                </c:pt>
              </c:strCache>
            </c:strRef>
          </c:tx>
          <c:spPr>
            <a:ln w="22225" cap="rnd" cmpd="sng" algn="ctr">
              <a:solidFill>
                <a:schemeClr val="accent3">
                  <a:shade val="53000"/>
                  <a:shade val="95000"/>
                  <a:satMod val="105000"/>
                </a:schemeClr>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Karakter'!$H$11:$H$29,'Grafikoni, CAB, Karakter'!$H$30)</c:f>
              <c:numCache>
                <c:formatCode>#,##0.0</c:formatCode>
                <c:ptCount val="20"/>
                <c:pt idx="0">
                  <c:v>1.1229513642911615</c:v>
                </c:pt>
                <c:pt idx="1">
                  <c:v>-1.4151456839897949</c:v>
                </c:pt>
                <c:pt idx="2">
                  <c:v>-1.7846058996685674</c:v>
                </c:pt>
                <c:pt idx="3">
                  <c:v>-2.4768975856092812</c:v>
                </c:pt>
                <c:pt idx="4">
                  <c:v>-4.1655024905891214</c:v>
                </c:pt>
                <c:pt idx="5">
                  <c:v>-4.3381740101726747</c:v>
                </c:pt>
                <c:pt idx="6">
                  <c:v>-4.5257988775356361</c:v>
                </c:pt>
                <c:pt idx="7">
                  <c:v>-6.4352841344073424</c:v>
                </c:pt>
                <c:pt idx="8">
                  <c:v>-5.1464767188637195</c:v>
                </c:pt>
                <c:pt idx="9">
                  <c:v>-6.2041437165115507</c:v>
                </c:pt>
                <c:pt idx="10">
                  <c:v>-3.4561672728767112</c:v>
                </c:pt>
                <c:pt idx="11">
                  <c:v>-1.1926941660681765</c:v>
                </c:pt>
                <c:pt idx="12">
                  <c:v>1.0986349345465762</c:v>
                </c:pt>
                <c:pt idx="13">
                  <c:v>0.63523655395945411</c:v>
                </c:pt>
                <c:pt idx="14">
                  <c:v>-0.20497664525511922</c:v>
                </c:pt>
                <c:pt idx="15">
                  <c:v>-8.0474018723524452</c:v>
                </c:pt>
                <c:pt idx="16">
                  <c:v>-4.9000000000000004</c:v>
                </c:pt>
                <c:pt idx="17">
                  <c:v>-3</c:v>
                </c:pt>
                <c:pt idx="18">
                  <c:v>-1.5</c:v>
                </c:pt>
                <c:pt idx="19">
                  <c:v>-1</c:v>
                </c:pt>
              </c:numCache>
            </c:numRef>
          </c:val>
          <c:smooth val="0"/>
          <c:extLst>
            <c:ext xmlns:c16="http://schemas.microsoft.com/office/drawing/2014/chart" uri="{C3380CC4-5D6E-409C-BE32-E72D297353CC}">
              <c16:uniqueId val="{00000001-0D3C-4F81-ACB8-A165E88FDB4A}"/>
            </c:ext>
          </c:extLst>
        </c:ser>
        <c:ser>
          <c:idx val="1"/>
          <c:order val="1"/>
          <c:tx>
            <c:strRef>
              <c:f>'Grafikoni, CAB, Karakter'!$K$10</c:f>
              <c:strCache>
                <c:ptCount val="1"/>
                <c:pt idx="0">
                  <c:v>Циклично 
прилагођени  фискални биланс</c:v>
                </c:pt>
              </c:strCache>
            </c:strRef>
          </c:tx>
          <c:spPr>
            <a:ln w="22225" cap="rnd" cmpd="sng" algn="ctr">
              <a:solidFill>
                <a:schemeClr val="tx1"/>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Karakter'!$K$11:$K$29,'Grafikoni, CAB, Karakter'!$K$30)</c:f>
              <c:numCache>
                <c:formatCode>#,##0.0</c:formatCode>
                <c:ptCount val="20"/>
                <c:pt idx="0">
                  <c:v>1.110553570451444</c:v>
                </c:pt>
                <c:pt idx="1">
                  <c:v>-0.4680539745015041</c:v>
                </c:pt>
                <c:pt idx="2">
                  <c:v>-2.0551262995445976</c:v>
                </c:pt>
                <c:pt idx="3">
                  <c:v>-3.9128457128778411</c:v>
                </c:pt>
                <c:pt idx="4">
                  <c:v>-4.0266249668670078</c:v>
                </c:pt>
                <c:pt idx="5">
                  <c:v>-4.0809906272320662</c:v>
                </c:pt>
                <c:pt idx="6">
                  <c:v>-4.7066782233631761</c:v>
                </c:pt>
                <c:pt idx="7">
                  <c:v>-6.1328207921581619</c:v>
                </c:pt>
                <c:pt idx="8">
                  <c:v>-5.5826416696737562</c:v>
                </c:pt>
                <c:pt idx="9">
                  <c:v>-5.7056865056485586</c:v>
                </c:pt>
                <c:pt idx="10">
                  <c:v>-3.057128795153996</c:v>
                </c:pt>
                <c:pt idx="11">
                  <c:v>-1.2214581291524098</c:v>
                </c:pt>
                <c:pt idx="12">
                  <c:v>1.2462170108677699</c:v>
                </c:pt>
                <c:pt idx="13">
                  <c:v>0.27658242336960359</c:v>
                </c:pt>
                <c:pt idx="14">
                  <c:v>-0.88538831579148014</c:v>
                </c:pt>
                <c:pt idx="15">
                  <c:v>-7.1151362498263504</c:v>
                </c:pt>
                <c:pt idx="16">
                  <c:v>-4.9175546383986424</c:v>
                </c:pt>
                <c:pt idx="17">
                  <c:v>-3.0129641913896532</c:v>
                </c:pt>
                <c:pt idx="18">
                  <c:v>-1.5810027501822537</c:v>
                </c:pt>
                <c:pt idx="19">
                  <c:v>-1.1117779329379431</c:v>
                </c:pt>
              </c:numCache>
            </c:numRef>
          </c:val>
          <c:smooth val="1"/>
          <c:extLst>
            <c:ext xmlns:c16="http://schemas.microsoft.com/office/drawing/2014/chart" uri="{C3380CC4-5D6E-409C-BE32-E72D297353CC}">
              <c16:uniqueId val="{00000002-0D3C-4F81-ACB8-A165E88FDB4A}"/>
            </c:ext>
          </c:extLst>
        </c:ser>
        <c:ser>
          <c:idx val="4"/>
          <c:order val="3"/>
          <c:tx>
            <c:strRef>
              <c:f>'Grafikoni, CAB, Karakter'!$N$10</c:f>
              <c:strCache>
                <c:ptCount val="1"/>
                <c:pt idx="0">
                  <c:v>Структурни примарни фискални биланс</c:v>
                </c:pt>
              </c:strCache>
            </c:strRef>
          </c:tx>
          <c:spPr>
            <a:ln w="22225" cap="rnd" cmpd="sng" algn="ctr">
              <a:solidFill>
                <a:srgbClr val="FF0000"/>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Karakter'!$N$11:$N$29,'Grafikoni, CAB, Karakter'!$N$30)</c:f>
              <c:numCache>
                <c:formatCode>#,##0.0</c:formatCode>
                <c:ptCount val="20"/>
                <c:pt idx="0">
                  <c:v>2.2311622467225694</c:v>
                </c:pt>
                <c:pt idx="1">
                  <c:v>1.4719640479783447</c:v>
                </c:pt>
                <c:pt idx="2">
                  <c:v>-1.172843461311895</c:v>
                </c:pt>
                <c:pt idx="3">
                  <c:v>-3.4319327828001871</c:v>
                </c:pt>
                <c:pt idx="4">
                  <c:v>-3.4911439503982833</c:v>
                </c:pt>
                <c:pt idx="5">
                  <c:v>-3.2413691837633936</c:v>
                </c:pt>
                <c:pt idx="6">
                  <c:v>-3.763166642648291</c:v>
                </c:pt>
                <c:pt idx="7">
                  <c:v>-4.3781450188314688</c:v>
                </c:pt>
                <c:pt idx="8">
                  <c:v>-3.1195871042578056</c:v>
                </c:pt>
                <c:pt idx="9">
                  <c:v>-2.1713357932966812</c:v>
                </c:pt>
                <c:pt idx="10">
                  <c:v>0.76272032789598065</c:v>
                </c:pt>
                <c:pt idx="11">
                  <c:v>1.753094654502148</c:v>
                </c:pt>
                <c:pt idx="12">
                  <c:v>3.6374160603258381</c:v>
                </c:pt>
                <c:pt idx="13">
                  <c:v>2.2410557058967191</c:v>
                </c:pt>
                <c:pt idx="14">
                  <c:v>0.92861452652012189</c:v>
                </c:pt>
                <c:pt idx="15">
                  <c:v>1.7184876732044794</c:v>
                </c:pt>
                <c:pt idx="16">
                  <c:v>1.0526514298191127</c:v>
                </c:pt>
                <c:pt idx="17">
                  <c:v>-1.2626215038152784</c:v>
                </c:pt>
                <c:pt idx="18">
                  <c:v>0.12748755476236254</c:v>
                </c:pt>
                <c:pt idx="19">
                  <c:v>0.58811407164518303</c:v>
                </c:pt>
              </c:numCache>
            </c:numRef>
          </c:val>
          <c:smooth val="0"/>
          <c:extLst>
            <c:ext xmlns:c16="http://schemas.microsoft.com/office/drawing/2014/chart" uri="{C3380CC4-5D6E-409C-BE32-E72D297353CC}">
              <c16:uniqueId val="{00000003-0D3C-4F81-ACB8-A165E88FDB4A}"/>
            </c:ext>
          </c:extLst>
        </c:ser>
        <c:ser>
          <c:idx val="3"/>
          <c:order val="4"/>
          <c:tx>
            <c:strRef>
              <c:f>'Grafikoni, CAB, Karakter'!$M$10</c:f>
              <c:strCache>
                <c:ptCount val="1"/>
                <c:pt idx="0">
                  <c:v>Структурни  фискални биланс</c:v>
                </c:pt>
              </c:strCache>
            </c:strRef>
          </c:tx>
          <c:spPr>
            <a:ln w="22225" cap="rnd" cmpd="sng" algn="ctr">
              <a:solidFill>
                <a:schemeClr val="accent6"/>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Karakter'!$M$11:$M$29,'Grafikoni, CAB, Karakter'!$M$30)</c:f>
              <c:numCache>
                <c:formatCode>#,##0.0</c:formatCode>
                <c:ptCount val="20"/>
                <c:pt idx="0">
                  <c:v>1.3271381895220509</c:v>
                </c:pt>
                <c:pt idx="1">
                  <c:v>0.20593807539355458</c:v>
                </c:pt>
                <c:pt idx="2">
                  <c:v>-1.7182919391538403</c:v>
                </c:pt>
                <c:pt idx="3">
                  <c:v>-3.9712961970330354</c:v>
                </c:pt>
                <c:pt idx="4">
                  <c:v>-4.098705646797244</c:v>
                </c:pt>
                <c:pt idx="5">
                  <c:v>-4.1978927936980854</c:v>
                </c:pt>
                <c:pt idx="6">
                  <c:v>-4.9170724400060255</c:v>
                </c:pt>
                <c:pt idx="7">
                  <c:v>-6.0855774159419669</c:v>
                </c:pt>
                <c:pt idx="8">
                  <c:v>-5.3133026521639675</c:v>
                </c:pt>
                <c:pt idx="9">
                  <c:v>-4.8356089108728506</c:v>
                </c:pt>
                <c:pt idx="10">
                  <c:v>-2.2228337829454299</c:v>
                </c:pt>
                <c:pt idx="11">
                  <c:v>-1.144164584850579</c:v>
                </c:pt>
                <c:pt idx="12">
                  <c:v>1.1012799263232274</c:v>
                </c:pt>
                <c:pt idx="13">
                  <c:v>0.12873893478484269</c:v>
                </c:pt>
                <c:pt idx="14">
                  <c:v>-1.0679827839906246</c:v>
                </c:pt>
                <c:pt idx="15">
                  <c:v>-0.28334338673264359</c:v>
                </c:pt>
                <c:pt idx="16">
                  <c:v>-0.74734857018088707</c:v>
                </c:pt>
                <c:pt idx="17">
                  <c:v>-3.0430905715544445</c:v>
                </c:pt>
                <c:pt idx="18">
                  <c:v>-1.6228092013636064</c:v>
                </c:pt>
                <c:pt idx="19">
                  <c:v>-1.1117779329379431</c:v>
                </c:pt>
              </c:numCache>
            </c:numRef>
          </c:val>
          <c:smooth val="0"/>
          <c:extLst>
            <c:ext xmlns:c16="http://schemas.microsoft.com/office/drawing/2014/chart" uri="{C3380CC4-5D6E-409C-BE32-E72D297353CC}">
              <c16:uniqueId val="{00000004-0D3C-4F81-ACB8-A165E88FDB4A}"/>
            </c:ext>
          </c:extLst>
        </c:ser>
        <c:dLbls>
          <c:showLegendKey val="0"/>
          <c:showVal val="0"/>
          <c:showCatName val="0"/>
          <c:showSerName val="0"/>
          <c:showPercent val="0"/>
          <c:showBubbleSize val="0"/>
        </c:dLbls>
        <c:marker val="1"/>
        <c:smooth val="0"/>
        <c:axId val="342946768"/>
        <c:axId val="410610880"/>
      </c:lineChart>
      <c:catAx>
        <c:axId val="342946768"/>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0610880"/>
        <c:crosses val="autoZero"/>
        <c:auto val="1"/>
        <c:lblAlgn val="ctr"/>
        <c:lblOffset val="100"/>
        <c:noMultiLvlLbl val="0"/>
      </c:catAx>
      <c:valAx>
        <c:axId val="410610880"/>
        <c:scaling>
          <c:orientation val="minMax"/>
          <c:max val="5"/>
          <c:min val="-9"/>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800" b="0">
                    <a:solidFill>
                      <a:sysClr val="windowText" lastClr="000000"/>
                    </a:solidFill>
                    <a:latin typeface="Times New Roman" panose="02020603050405020304" pitchFamily="18" charset="0"/>
                    <a:cs typeface="Times New Roman" panose="02020603050405020304" pitchFamily="18" charset="0"/>
                  </a:rPr>
                  <a:t>% БДП</a:t>
                </a:r>
              </a:p>
            </c:rich>
          </c:tx>
          <c:layout>
            <c:manualLayout>
              <c:xMode val="edge"/>
              <c:yMode val="edge"/>
              <c:x val="0.13657564621138912"/>
              <c:y val="9.579590824762541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946768"/>
        <c:crosses val="autoZero"/>
        <c:crossBetween val="between"/>
      </c:valAx>
      <c:spPr>
        <a:noFill/>
        <a:ln>
          <a:noFill/>
        </a:ln>
        <a:effectLst/>
      </c:spPr>
    </c:plotArea>
    <c:legend>
      <c:legendPos val="r"/>
      <c:layout>
        <c:manualLayout>
          <c:xMode val="edge"/>
          <c:yMode val="edge"/>
          <c:x val="5.4192736614807793E-2"/>
          <c:y val="0.71706754896680258"/>
          <c:w val="0.7756422992223666"/>
          <c:h val="0.2785893457128934"/>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Karakter'!$O$10</c:f>
              <c:strCache>
                <c:ptCount val="1"/>
                <c:pt idx="0">
                  <c:v>Fискални импулс</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Karakter'!$F$12:$F$29,'Grafikoni, CAB, Karakter'!$F$30)</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('Grafikoni, CAB, Karakter'!$O$12:$O$29,'Grafikoni, CAB, Karakter'!$O$30)</c:f>
              <c:numCache>
                <c:formatCode>#,##0.0</c:formatCode>
                <c:ptCount val="19"/>
                <c:pt idx="0">
                  <c:v>1.2166056295686765</c:v>
                </c:pt>
                <c:pt idx="1">
                  <c:v>2.3076498197859383</c:v>
                </c:pt>
                <c:pt idx="2">
                  <c:v>1.8638044769423405</c:v>
                </c:pt>
                <c:pt idx="3">
                  <c:v>4.5580971823054206E-2</c:v>
                </c:pt>
                <c:pt idx="4">
                  <c:v>-0.29459625317067317</c:v>
                </c:pt>
                <c:pt idx="5">
                  <c:v>0.42830540870806777</c:v>
                </c:pt>
                <c:pt idx="6">
                  <c:v>0.87261596904222216</c:v>
                </c:pt>
                <c:pt idx="7">
                  <c:v>-1.036462273280069</c:v>
                </c:pt>
                <c:pt idx="8">
                  <c:v>-0.34751273369520508</c:v>
                </c:pt>
                <c:pt idx="9">
                  <c:v>-2.9698387037598044</c:v>
                </c:pt>
                <c:pt idx="10">
                  <c:v>-1.7473757945129025</c:v>
                </c:pt>
                <c:pt idx="11">
                  <c:v>-2.1065520346700635</c:v>
                </c:pt>
                <c:pt idx="12">
                  <c:v>1.3934539503889005</c:v>
                </c:pt>
                <c:pt idx="13">
                  <c:v>1.2776901997622137</c:v>
                </c:pt>
                <c:pt idx="14">
                  <c:v>6.2245141846084939</c:v>
                </c:pt>
                <c:pt idx="15">
                  <c:v>-1.9957505514905849</c:v>
                </c:pt>
                <c:pt idx="16">
                  <c:v>-1.8850595147481555</c:v>
                </c:pt>
                <c:pt idx="17">
                  <c:v>-1.4017891295942024</c:v>
                </c:pt>
                <c:pt idx="18">
                  <c:v>-0.41882006570146774</c:v>
                </c:pt>
              </c:numCache>
            </c:numRef>
          </c:val>
          <c:extLst>
            <c:ext xmlns:c16="http://schemas.microsoft.com/office/drawing/2014/chart" uri="{C3380CC4-5D6E-409C-BE32-E72D297353CC}">
              <c16:uniqueId val="{00000000-9C58-432E-B624-D038427B3F87}"/>
            </c:ext>
          </c:extLst>
        </c:ser>
        <c:dLbls>
          <c:showLegendKey val="0"/>
          <c:showVal val="0"/>
          <c:showCatName val="0"/>
          <c:showSerName val="0"/>
          <c:showPercent val="0"/>
          <c:showBubbleSize val="0"/>
        </c:dLbls>
        <c:gapWidth val="41"/>
        <c:overlap val="-12"/>
        <c:axId val="467546320"/>
        <c:axId val="467537360"/>
      </c:barChart>
      <c:lineChart>
        <c:grouping val="standard"/>
        <c:varyColors val="0"/>
        <c:ser>
          <c:idx val="1"/>
          <c:order val="1"/>
          <c:tx>
            <c:strRef>
              <c:f>'Grafikoni, CAB, Karakter'!$G$10</c:f>
              <c:strCache>
                <c:ptCount val="1"/>
                <c:pt idx="0">
                  <c:v>Производни јаз </c:v>
                </c:pt>
              </c:strCache>
            </c:strRef>
          </c:tx>
          <c:spPr>
            <a:ln w="22225" cap="rnd" cmpd="sng" algn="ctr">
              <a:solidFill>
                <a:srgbClr val="FF0000"/>
              </a:solidFill>
              <a:prstDash val="solid"/>
              <a:round/>
            </a:ln>
            <a:effectLst/>
          </c:spPr>
          <c:marker>
            <c:symbol val="none"/>
          </c:marker>
          <c:cat>
            <c:numRef>
              <c:f>('Grafikoni, CAB, Karakter'!$F$12:$F$29,'Grafikoni, CAB, Karakter'!$F$30)</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('Grafikoni, CAB, Karakter'!$G$12:$G$29,'Grafikoni, CAB, Karakter'!$G$30)</c:f>
              <c:numCache>
                <c:formatCode>#,##0.0</c:formatCode>
                <c:ptCount val="19"/>
                <c:pt idx="0">
                  <c:v>-2.6691119954877238</c:v>
                </c:pt>
                <c:pt idx="1">
                  <c:v>0.76238577225363635</c:v>
                </c:pt>
                <c:pt idx="2">
                  <c:v>4.0468165152257942</c:v>
                </c:pt>
                <c:pt idx="3">
                  <c:v>-0.39138729729837957</c:v>
                </c:pt>
                <c:pt idx="4">
                  <c:v>-0.72479913568008913</c:v>
                </c:pt>
                <c:pt idx="5">
                  <c:v>0.50975763682390063</c:v>
                </c:pt>
                <c:pt idx="6">
                  <c:v>-0.85240798425823205</c:v>
                </c:pt>
                <c:pt idx="7">
                  <c:v>1.2292084183139753</c:v>
                </c:pt>
                <c:pt idx="8">
                  <c:v>-1.4047616586894149</c:v>
                </c:pt>
                <c:pt idx="9">
                  <c:v>-1.1245778807696636</c:v>
                </c:pt>
                <c:pt idx="10">
                  <c:v>8.1063151685040302E-2</c:v>
                </c:pt>
                <c:pt idx="11">
                  <c:v>-0.4159186341528765</c:v>
                </c:pt>
                <c:pt idx="12">
                  <c:v>1.0107659401915881</c:v>
                </c:pt>
                <c:pt idx="13">
                  <c:v>1.9175492019454687</c:v>
                </c:pt>
                <c:pt idx="14">
                  <c:v>-2.6273288332443103</c:v>
                </c:pt>
                <c:pt idx="15">
                  <c:v>4.947281816201466E-2</c:v>
                </c:pt>
                <c:pt idx="16">
                  <c:v>3.6535932479672371E-2</c:v>
                </c:pt>
                <c:pt idx="17">
                  <c:v>0.22828350202301279</c:v>
                </c:pt>
                <c:pt idx="18">
                  <c:v>0.31501471150738092</c:v>
                </c:pt>
              </c:numCache>
            </c:numRef>
          </c:val>
          <c:smooth val="1"/>
          <c:extLst>
            <c:ext xmlns:c16="http://schemas.microsoft.com/office/drawing/2014/chart" uri="{C3380CC4-5D6E-409C-BE32-E72D297353CC}">
              <c16:uniqueId val="{00000001-9C58-432E-B624-D038427B3F87}"/>
            </c:ext>
          </c:extLst>
        </c:ser>
        <c:dLbls>
          <c:showLegendKey val="0"/>
          <c:showVal val="0"/>
          <c:showCatName val="0"/>
          <c:showSerName val="0"/>
          <c:showPercent val="0"/>
          <c:showBubbleSize val="0"/>
        </c:dLbls>
        <c:marker val="1"/>
        <c:smooth val="0"/>
        <c:axId val="467546320"/>
        <c:axId val="467537360"/>
      </c:lineChart>
      <c:catAx>
        <c:axId val="467546320"/>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7537360"/>
        <c:crosses val="autoZero"/>
        <c:auto val="1"/>
        <c:lblAlgn val="ctr"/>
        <c:lblOffset val="100"/>
        <c:noMultiLvlLbl val="0"/>
      </c:catAx>
      <c:valAx>
        <c:axId val="467537360"/>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50" b="0">
                    <a:solidFill>
                      <a:sysClr val="windowText" lastClr="000000"/>
                    </a:solidFill>
                    <a:latin typeface="Times New Roman" panose="02020603050405020304" pitchFamily="18" charset="0"/>
                    <a:cs typeface="Times New Roman" panose="02020603050405020304" pitchFamily="18" charset="0"/>
                  </a:rPr>
                  <a:t>% БДП</a:t>
                </a:r>
                <a:endParaRPr lang="en-US" sz="75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2042453333568038E-2"/>
              <c:y val="0.42920445410660629"/>
            </c:manualLayout>
          </c:layout>
          <c:overlay val="0"/>
          <c:spPr>
            <a:noFill/>
            <a:ln>
              <a:noFill/>
            </a:ln>
            <a:effectLst/>
          </c:spPr>
          <c:txPr>
            <a:bodyPr rot="-54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7546320"/>
        <c:crosses val="autoZero"/>
        <c:crossBetween val="between"/>
      </c:valAx>
      <c:spPr>
        <a:noFill/>
        <a:ln>
          <a:noFill/>
        </a:ln>
        <a:effectLst/>
      </c:spPr>
    </c:plotArea>
    <c:legend>
      <c:legendPos val="r"/>
      <c:layout>
        <c:manualLayout>
          <c:xMode val="edge"/>
          <c:yMode val="edge"/>
          <c:x val="0.10575935617028157"/>
          <c:y val="0.76592479511489631"/>
          <c:w val="0.795961068391148"/>
          <c:h val="0.1133490010177299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Cambria" pitchFamily="18"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6161716296222E-2"/>
          <c:y val="4.9007480657224968E-2"/>
          <c:w val="0.93476377952755907"/>
          <c:h val="0.9174795514193721"/>
        </c:manualLayout>
      </c:layout>
      <c:scatterChart>
        <c:scatterStyle val="smoothMarker"/>
        <c:varyColors val="0"/>
        <c:ser>
          <c:idx val="1"/>
          <c:order val="0"/>
          <c:spPr>
            <a:ln w="19050" cap="rnd">
              <a:solidFill>
                <a:srgbClr val="FF0000"/>
              </a:solidFill>
              <a:round/>
            </a:ln>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scene3d>
                <a:camera prst="orthographicFront">
                  <a:rot lat="0" lon="0" rev="0"/>
                </a:camera>
                <a:lightRig rig="threePt" dir="t">
                  <a:rot lat="0" lon="0" rev="1200000"/>
                </a:lightRig>
              </a:scene3d>
              <a:sp3d>
                <a:bevelT w="63500" h="25400"/>
              </a:sp3d>
            </c:spPr>
          </c:marker>
          <c:dLbls>
            <c:dLbl>
              <c:idx val="0"/>
              <c:layout>
                <c:manualLayout>
                  <c:x val="-6.9381423218486976E-2"/>
                  <c:y val="-4.1527671341031656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8A-416D-871B-021D7D6360CE}"/>
                </c:ext>
              </c:extLst>
            </c:dLbl>
            <c:dLbl>
              <c:idx val="1"/>
              <c:layout>
                <c:manualLayout>
                  <c:x val="-2.4016646498707127E-2"/>
                  <c:y val="-3.3977185642662298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8A-416D-871B-021D7D6360CE}"/>
                </c:ext>
              </c:extLst>
            </c:dLbl>
            <c:dLbl>
              <c:idx val="2"/>
              <c:layout>
                <c:manualLayout>
                  <c:x val="-5.0701809275048172E-2"/>
                  <c:y val="-6.3495592658862496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98A-416D-871B-021D7D6360CE}"/>
                </c:ext>
              </c:extLst>
            </c:dLbl>
            <c:dLbl>
              <c:idx val="3"/>
              <c:layout>
                <c:manualLayout>
                  <c:x val="-0.12008323249353517"/>
                  <c:y val="-6.0403885586955142E-2"/>
                </c:manualLayout>
              </c:layout>
              <c:tx>
                <c:rich>
                  <a:bodyPr/>
                  <a:lstStyle/>
                  <a:p>
                    <a:r>
                      <a:rPr lang="en-US"/>
                      <a:t>2009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8A-416D-871B-021D7D6360CE}"/>
                </c:ext>
              </c:extLst>
            </c:dLbl>
            <c:dLbl>
              <c:idx val="4"/>
              <c:layout>
                <c:manualLayout>
                  <c:x val="-0.11474619993826693"/>
                  <c:y val="4.8635741754395737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98A-416D-871B-021D7D6360CE}"/>
                </c:ext>
              </c:extLst>
            </c:dLbl>
            <c:dLbl>
              <c:idx val="5"/>
              <c:layout>
                <c:manualLayout>
                  <c:x val="8.0055488329023438E-3"/>
                  <c:y val="-3.0523469547407887E-2"/>
                </c:manualLayout>
              </c:layout>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8A-416D-871B-021D7D6360CE}"/>
                </c:ext>
              </c:extLst>
            </c:dLbl>
            <c:dLbl>
              <c:idx val="6"/>
              <c:layout>
                <c:manualLayout>
                  <c:x val="-6.6712906940852856E-2"/>
                  <c:y val="-4.9078157039401084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98A-416D-871B-021D7D6360CE}"/>
                </c:ext>
              </c:extLst>
            </c:dLbl>
            <c:dLbl>
              <c:idx val="7"/>
              <c:layout>
                <c:manualLayout>
                  <c:x val="5.3370325552682292E-3"/>
                  <c:y val="2.6145244036002206E-2"/>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8A-416D-871B-021D7D6360CE}"/>
                </c:ext>
              </c:extLst>
            </c:dLbl>
            <c:dLbl>
              <c:idx val="8"/>
              <c:layout>
                <c:manualLayout>
                  <c:x val="-0.15205969965244101"/>
                  <c:y val="8.3879325844357033E-2"/>
                </c:manualLayout>
              </c:layout>
              <c:tx>
                <c:rich>
                  <a:bodyPr/>
                  <a:lstStyle/>
                  <a:p>
                    <a:r>
                      <a:rPr lang="en-US"/>
                      <a:t>2014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8A-416D-871B-021D7D6360CE}"/>
                </c:ext>
              </c:extLst>
            </c:dLbl>
            <c:dLbl>
              <c:idx val="9"/>
              <c:layout>
                <c:manualLayout>
                  <c:x val="-9.2102233479161872E-3"/>
                  <c:y val="1.8767594619956324E-2"/>
                </c:manualLayout>
              </c:layout>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98A-416D-871B-021D7D6360CE}"/>
                </c:ext>
              </c:extLst>
            </c:dLbl>
            <c:dLbl>
              <c:idx val="10"/>
              <c:layout>
                <c:manualLayout>
                  <c:x val="-2.1348125735417816E-2"/>
                  <c:y val="7.0193690025747005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98A-416D-871B-021D7D6360CE}"/>
                </c:ext>
              </c:extLst>
            </c:dLbl>
            <c:dLbl>
              <c:idx val="11"/>
              <c:layout>
                <c:manualLayout>
                  <c:x val="-0.10863168353092405"/>
                  <c:y val="-4.9077998812863434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98A-416D-871B-021D7D6360CE}"/>
                </c:ext>
              </c:extLst>
            </c:dLbl>
            <c:dLbl>
              <c:idx val="12"/>
              <c:layout>
                <c:manualLayout>
                  <c:x val="-8.5392520884291667E-2"/>
                  <c:y val="-2.2410209173716247E-2"/>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98A-416D-871B-021D7D6360CE}"/>
                </c:ext>
              </c:extLst>
            </c:dLbl>
            <c:dLbl>
              <c:idx val="13"/>
              <c:layout>
                <c:manualLayout>
                  <c:x val="-4.2696260442145785E-2"/>
                  <c:y val="-7.0965662383434602E-2"/>
                </c:manualLayout>
              </c:layout>
              <c:tx>
                <c:rich>
                  <a:bodyPr/>
                  <a:lstStyle/>
                  <a:p>
                    <a:r>
                      <a:rPr lang="en-US"/>
                      <a:t>2019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98A-416D-871B-021D7D6360CE}"/>
                </c:ext>
              </c:extLst>
            </c:dLbl>
            <c:dLbl>
              <c:idx val="14"/>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98A-416D-871B-021D7D6360CE}"/>
                </c:ext>
              </c:extLst>
            </c:dLbl>
            <c:dLbl>
              <c:idx val="15"/>
              <c:layout>
                <c:manualLayout>
                  <c:x val="1.0674062867708761E-2"/>
                  <c:y val="-3.2622739847777804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98A-416D-871B-021D7D6360C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Karakter'!$Z$12:$Z$27</c:f>
              <c:numCache>
                <c:formatCode>#,##0.0</c:formatCode>
                <c:ptCount val="16"/>
                <c:pt idx="0">
                  <c:v>-2.6691119954877238</c:v>
                </c:pt>
                <c:pt idx="1">
                  <c:v>0.76238577225363635</c:v>
                </c:pt>
                <c:pt idx="2">
                  <c:v>4.0468165152257942</c:v>
                </c:pt>
                <c:pt idx="3">
                  <c:v>-0.39138729729837957</c:v>
                </c:pt>
                <c:pt idx="4">
                  <c:v>-0.72479913568008913</c:v>
                </c:pt>
                <c:pt idx="5">
                  <c:v>0.50975763682390063</c:v>
                </c:pt>
                <c:pt idx="6">
                  <c:v>-0.85240798425823205</c:v>
                </c:pt>
                <c:pt idx="7">
                  <c:v>1.2292084183139753</c:v>
                </c:pt>
                <c:pt idx="8">
                  <c:v>-1.4047616586894149</c:v>
                </c:pt>
                <c:pt idx="9">
                  <c:v>-1.1245778807696636</c:v>
                </c:pt>
                <c:pt idx="10">
                  <c:v>8.1063151685040302E-2</c:v>
                </c:pt>
                <c:pt idx="11">
                  <c:v>-0.4159186341528765</c:v>
                </c:pt>
                <c:pt idx="12">
                  <c:v>1.0107659401915881</c:v>
                </c:pt>
                <c:pt idx="13">
                  <c:v>1.9175492019454687</c:v>
                </c:pt>
                <c:pt idx="14">
                  <c:v>-2.6273288332443103</c:v>
                </c:pt>
                <c:pt idx="15">
                  <c:v>4.947281816201466E-2</c:v>
                </c:pt>
              </c:numCache>
            </c:numRef>
          </c:xVal>
          <c:yVal>
            <c:numRef>
              <c:f>'Grafikoni, CAB, Karakter'!$AA$12:$AA$27</c:f>
              <c:numCache>
                <c:formatCode>#,##0.0</c:formatCode>
                <c:ptCount val="16"/>
                <c:pt idx="0">
                  <c:v>1.2166056295686765</c:v>
                </c:pt>
                <c:pt idx="1">
                  <c:v>2.3076498197859383</c:v>
                </c:pt>
                <c:pt idx="2">
                  <c:v>1.8638044769423405</c:v>
                </c:pt>
                <c:pt idx="3">
                  <c:v>4.5580971823054206E-2</c:v>
                </c:pt>
                <c:pt idx="4">
                  <c:v>-0.29459625317067317</c:v>
                </c:pt>
                <c:pt idx="5">
                  <c:v>0.42830540870806777</c:v>
                </c:pt>
                <c:pt idx="6">
                  <c:v>0.87261596904222216</c:v>
                </c:pt>
                <c:pt idx="7">
                  <c:v>-1.036462273280069</c:v>
                </c:pt>
                <c:pt idx="8">
                  <c:v>-0.34751273369520508</c:v>
                </c:pt>
                <c:pt idx="9">
                  <c:v>-2.9698387037598044</c:v>
                </c:pt>
                <c:pt idx="10">
                  <c:v>-1.7473757945129025</c:v>
                </c:pt>
                <c:pt idx="11">
                  <c:v>-2.1065520346700635</c:v>
                </c:pt>
                <c:pt idx="12">
                  <c:v>1.3934539503889005</c:v>
                </c:pt>
                <c:pt idx="13">
                  <c:v>1.2776901997622137</c:v>
                </c:pt>
                <c:pt idx="14">
                  <c:v>6.2245141846084939</c:v>
                </c:pt>
                <c:pt idx="15">
                  <c:v>-1.9957505514905849</c:v>
                </c:pt>
              </c:numCache>
            </c:numRef>
          </c:yVal>
          <c:smooth val="1"/>
          <c:extLst>
            <c:ext xmlns:c16="http://schemas.microsoft.com/office/drawing/2014/chart" uri="{C3380CC4-5D6E-409C-BE32-E72D297353CC}">
              <c16:uniqueId val="{00000010-398A-416D-871B-021D7D6360CE}"/>
            </c:ext>
          </c:extLst>
        </c:ser>
        <c:ser>
          <c:idx val="0"/>
          <c:order val="1"/>
          <c:spPr>
            <a:ln w="22225" cap="rnd">
              <a:solidFill>
                <a:srgbClr val="D9D9D9"/>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'Grafikoni, CAB, Karakter'!$W$12:$W$22</c:f>
              <c:numCache>
                <c:formatCode>0.000</c:formatCode>
                <c:ptCount val="11"/>
                <c:pt idx="0">
                  <c:v>-0.67399204989505868</c:v>
                </c:pt>
                <c:pt idx="1">
                  <c:v>-0.33683436039075737</c:v>
                </c:pt>
                <c:pt idx="2">
                  <c:v>5.8450484155194229E-2</c:v>
                </c:pt>
                <c:pt idx="3">
                  <c:v>7.2080679930236258E-2</c:v>
                </c:pt>
                <c:pt idx="4">
                  <c:v>0.11690216646601964</c:v>
                </c:pt>
                <c:pt idx="5">
                  <c:v>0.21039421664284941</c:v>
                </c:pt>
                <c:pt idx="6">
                  <c:v>-4.724337621619535E-2</c:v>
                </c:pt>
                <c:pt idx="7">
                  <c:v>-0.26933901750978917</c:v>
                </c:pt>
                <c:pt idx="8">
                  <c:v>-0.87007759477570834</c:v>
                </c:pt>
                <c:pt idx="9">
                  <c:v>-0.83429501220856594</c:v>
                </c:pt>
                <c:pt idx="10">
                  <c:v>-7.7293544301830788E-2</c:v>
                </c:pt>
              </c:numCache>
            </c:numRef>
          </c:xVal>
          <c:yVal>
            <c:numRef>
              <c:f>'Grafikoni, CAB, Karakter'!$X$12:$X$22</c:f>
              <c:numCache>
                <c:formatCode>General</c:formatCode>
                <c:ptCount val="11"/>
                <c:pt idx="10" formatCode="#,##0.0">
                  <c:v>0.67355802891595395</c:v>
                </c:pt>
              </c:numCache>
            </c:numRef>
          </c:yVal>
          <c:smooth val="1"/>
          <c:extLst>
            <c:ext xmlns:c16="http://schemas.microsoft.com/office/drawing/2014/chart" uri="{C3380CC4-5D6E-409C-BE32-E72D297353CC}">
              <c16:uniqueId val="{00000011-398A-416D-871B-021D7D6360CE}"/>
            </c:ext>
          </c:extLst>
        </c:ser>
        <c:dLbls>
          <c:showLegendKey val="0"/>
          <c:showVal val="0"/>
          <c:showCatName val="0"/>
          <c:showSerName val="0"/>
          <c:showPercent val="0"/>
          <c:showBubbleSize val="0"/>
        </c:dLbls>
        <c:axId val="220401872"/>
        <c:axId val="343751600"/>
      </c:scatterChart>
      <c:valAx>
        <c:axId val="220401872"/>
        <c:scaling>
          <c:orientation val="minMax"/>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00" b="1">
                    <a:solidFill>
                      <a:sysClr val="windowText" lastClr="000000"/>
                    </a:solidFill>
                    <a:latin typeface="Times New Roman" panose="02020603050405020304" pitchFamily="18" charset="0"/>
                    <a:cs typeface="Times New Roman" panose="02020603050405020304" pitchFamily="18" charset="0"/>
                  </a:rPr>
                  <a:t>Производни јаз</a:t>
                </a:r>
              </a:p>
            </c:rich>
          </c:tx>
          <c:layout>
            <c:manualLayout>
              <c:xMode val="edge"/>
              <c:yMode val="edge"/>
              <c:x val="0.81662355366943062"/>
              <c:y val="0.6076087071603265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3751600"/>
        <c:crosses val="autoZero"/>
        <c:crossBetween val="midCat"/>
      </c:valAx>
      <c:valAx>
        <c:axId val="343751600"/>
        <c:scaling>
          <c:orientation val="minMax"/>
          <c:max val="7.5"/>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00" b="1">
                    <a:solidFill>
                      <a:sysClr val="windowText" lastClr="000000"/>
                    </a:solidFill>
                    <a:latin typeface="Times New Roman" panose="02020603050405020304" pitchFamily="18" charset="0"/>
                    <a:cs typeface="Times New Roman" panose="02020603050405020304" pitchFamily="18" charset="0"/>
                  </a:rPr>
                  <a:t>Фискални импулс</a:t>
                </a:r>
                <a:endParaRPr lang="en-GB" sz="7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161628879145417E-3"/>
              <c:y val="0.4476977480386656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a:solidFill>
              <a:srgbClr val="D9D9D9"/>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0401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Cambria" panose="02040503050406030204" pitchFamily="18"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val>
          <c:smooth val="0"/>
          <c:extLst>
            <c:ext xmlns:c16="http://schemas.microsoft.com/office/drawing/2014/chart" uri="{C3380CC4-5D6E-409C-BE32-E72D297353CC}">
              <c16:uniqueId val="{00000000-B9DE-4F7D-BE8C-4A7B5C36B711}"/>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kursa'!$H$57:$P$57</c:f>
              <c:numCache>
                <c:formatCode>#,##0.0</c:formatCode>
                <c:ptCount val="9"/>
                <c:pt idx="0">
                  <c:v>67.678479463063553</c:v>
                </c:pt>
                <c:pt idx="1">
                  <c:v>57.788223811969416</c:v>
                </c:pt>
                <c:pt idx="2">
                  <c:v>53.621882530067857</c:v>
                </c:pt>
                <c:pt idx="3">
                  <c:v>51.9</c:v>
                </c:pt>
                <c:pt idx="4">
                  <c:v>57</c:v>
                </c:pt>
                <c:pt idx="5">
                  <c:v>57.3</c:v>
                </c:pt>
                <c:pt idx="6">
                  <c:v>55.5</c:v>
                </c:pt>
                <c:pt idx="7">
                  <c:v>54.3</c:v>
                </c:pt>
                <c:pt idx="8">
                  <c:v>52.7</c:v>
                </c:pt>
              </c:numCache>
            </c:numRef>
          </c:val>
          <c:smooth val="0"/>
          <c:extLst>
            <c:ext xmlns:c16="http://schemas.microsoft.com/office/drawing/2014/chart" uri="{C3380CC4-5D6E-409C-BE32-E72D297353CC}">
              <c16:uniqueId val="{00000001-B9DE-4F7D-BE8C-4A7B5C36B711}"/>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kursa'!$H$58:$P$58</c:f>
              <c:numCache>
                <c:formatCode>#,##0.0</c:formatCode>
                <c:ptCount val="9"/>
                <c:pt idx="0">
                  <c:v>67.678479463063553</c:v>
                </c:pt>
                <c:pt idx="1">
                  <c:v>57.788223811969416</c:v>
                </c:pt>
                <c:pt idx="2">
                  <c:v>53.621882530067857</c:v>
                </c:pt>
                <c:pt idx="3">
                  <c:v>51.9</c:v>
                </c:pt>
                <c:pt idx="4">
                  <c:v>57</c:v>
                </c:pt>
                <c:pt idx="5">
                  <c:v>58.077861824681129</c:v>
                </c:pt>
                <c:pt idx="6">
                  <c:v>56.221303342628836</c:v>
                </c:pt>
                <c:pt idx="7">
                  <c:v>54.997639798502476</c:v>
                </c:pt>
                <c:pt idx="8">
                  <c:v>53.444383425003991</c:v>
                </c:pt>
              </c:numCache>
            </c:numRef>
          </c:val>
          <c:smooth val="0"/>
          <c:extLst>
            <c:ext xmlns:c16="http://schemas.microsoft.com/office/drawing/2014/chart" uri="{C3380CC4-5D6E-409C-BE32-E72D297353CC}">
              <c16:uniqueId val="{00000002-B9DE-4F7D-BE8C-4A7B5C36B711}"/>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kursa'!$H$59:$P$59</c:f>
              <c:numCache>
                <c:formatCode>#,##0.0</c:formatCode>
                <c:ptCount val="9"/>
                <c:pt idx="0">
                  <c:v>67.678479463063553</c:v>
                </c:pt>
                <c:pt idx="1">
                  <c:v>57.788223811969416</c:v>
                </c:pt>
                <c:pt idx="2">
                  <c:v>53.621882530067857</c:v>
                </c:pt>
                <c:pt idx="3">
                  <c:v>51.9</c:v>
                </c:pt>
                <c:pt idx="4">
                  <c:v>57</c:v>
                </c:pt>
                <c:pt idx="5">
                  <c:v>58.87972579464715</c:v>
                </c:pt>
                <c:pt idx="6">
                  <c:v>56.97565390050152</c:v>
                </c:pt>
                <c:pt idx="7">
                  <c:v>55.73557182421245</c:v>
                </c:pt>
                <c:pt idx="8">
                  <c:v>54.161474599609413</c:v>
                </c:pt>
              </c:numCache>
            </c:numRef>
          </c:val>
          <c:smooth val="0"/>
          <c:extLst>
            <c:ext xmlns:c16="http://schemas.microsoft.com/office/drawing/2014/chart" uri="{C3380CC4-5D6E-409C-BE32-E72D297353CC}">
              <c16:uniqueId val="{00000003-B9DE-4F7D-BE8C-4A7B5C36B711}"/>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kursa'!$H$60:$P$60</c:f>
              <c:numCache>
                <c:formatCode>#,##0.0</c:formatCode>
                <c:ptCount val="9"/>
                <c:pt idx="0">
                  <c:v>67.678479463063553</c:v>
                </c:pt>
                <c:pt idx="1">
                  <c:v>57.788223811969416</c:v>
                </c:pt>
                <c:pt idx="2">
                  <c:v>53.621882530067857</c:v>
                </c:pt>
                <c:pt idx="3">
                  <c:v>51.9</c:v>
                </c:pt>
                <c:pt idx="4">
                  <c:v>57</c:v>
                </c:pt>
                <c:pt idx="5">
                  <c:v>59.681589764613165</c:v>
                </c:pt>
                <c:pt idx="6">
                  <c:v>57.730004458374204</c:v>
                </c:pt>
                <c:pt idx="7">
                  <c:v>56.473503849922423</c:v>
                </c:pt>
                <c:pt idx="8">
                  <c:v>54.878565774214835</c:v>
                </c:pt>
              </c:numCache>
            </c:numRef>
          </c:val>
          <c:smooth val="0"/>
          <c:extLst>
            <c:ext xmlns:c16="http://schemas.microsoft.com/office/drawing/2014/chart" uri="{C3380CC4-5D6E-409C-BE32-E72D297353CC}">
              <c16:uniqueId val="{00000004-B9DE-4F7D-BE8C-4A7B5C36B711}"/>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kursa'!$H$61:$P$61</c:f>
              <c:numCache>
                <c:formatCode>#,##0.0</c:formatCode>
                <c:ptCount val="9"/>
                <c:pt idx="0">
                  <c:v>67.678479463063553</c:v>
                </c:pt>
                <c:pt idx="1">
                  <c:v>57.788223811969416</c:v>
                </c:pt>
                <c:pt idx="2">
                  <c:v>53.621882530067857</c:v>
                </c:pt>
                <c:pt idx="3">
                  <c:v>51.9</c:v>
                </c:pt>
                <c:pt idx="4">
                  <c:v>57</c:v>
                </c:pt>
                <c:pt idx="5">
                  <c:v>60.483453734579172</c:v>
                </c:pt>
                <c:pt idx="6">
                  <c:v>58.484355016246894</c:v>
                </c:pt>
                <c:pt idx="7">
                  <c:v>57.211435875632411</c:v>
                </c:pt>
                <c:pt idx="8">
                  <c:v>55.595656948820263</c:v>
                </c:pt>
              </c:numCache>
            </c:numRef>
          </c:val>
          <c:smooth val="0"/>
          <c:extLst>
            <c:ext xmlns:c16="http://schemas.microsoft.com/office/drawing/2014/chart" uri="{C3380CC4-5D6E-409C-BE32-E72D297353CC}">
              <c16:uniqueId val="{00000005-B9DE-4F7D-BE8C-4A7B5C36B711}"/>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B9DE-4F7D-BE8C-4A7B5C36B711}"/>
                </c:ext>
              </c:extLst>
            </c:dLbl>
            <c:dLbl>
              <c:idx val="1"/>
              <c:delete val="1"/>
              <c:extLst>
                <c:ext xmlns:c15="http://schemas.microsoft.com/office/drawing/2012/chart" uri="{CE6537A1-D6FC-4f65-9D91-7224C49458BB}"/>
                <c:ext xmlns:c16="http://schemas.microsoft.com/office/drawing/2014/chart" uri="{C3380CC4-5D6E-409C-BE32-E72D297353CC}">
                  <c16:uniqueId val="{00000007-B9DE-4F7D-BE8C-4A7B5C36B711}"/>
                </c:ext>
              </c:extLst>
            </c:dLbl>
            <c:dLbl>
              <c:idx val="2"/>
              <c:delete val="1"/>
              <c:extLst>
                <c:ext xmlns:c15="http://schemas.microsoft.com/office/drawing/2012/chart" uri="{CE6537A1-D6FC-4f65-9D91-7224C49458BB}"/>
                <c:ext xmlns:c16="http://schemas.microsoft.com/office/drawing/2014/chart" uri="{C3380CC4-5D6E-409C-BE32-E72D297353CC}">
                  <c16:uniqueId val="{00000008-B9DE-4F7D-BE8C-4A7B5C36B711}"/>
                </c:ext>
              </c:extLst>
            </c:dLbl>
            <c:dLbl>
              <c:idx val="3"/>
              <c:delete val="1"/>
              <c:extLst>
                <c:ext xmlns:c15="http://schemas.microsoft.com/office/drawing/2012/chart" uri="{CE6537A1-D6FC-4f65-9D91-7224C49458BB}"/>
                <c:ext xmlns:c16="http://schemas.microsoft.com/office/drawing/2014/chart" uri="{C3380CC4-5D6E-409C-BE32-E72D297353CC}">
                  <c16:uniqueId val="{00000009-B9DE-4F7D-BE8C-4A7B5C36B711}"/>
                </c:ext>
              </c:extLst>
            </c:dLbl>
            <c:dLbl>
              <c:idx val="4"/>
              <c:delete val="1"/>
              <c:extLst>
                <c:ext xmlns:c15="http://schemas.microsoft.com/office/drawing/2012/chart" uri="{CE6537A1-D6FC-4f65-9D91-7224C49458BB}"/>
                <c:ext xmlns:c16="http://schemas.microsoft.com/office/drawing/2014/chart" uri="{C3380CC4-5D6E-409C-BE32-E72D297353CC}">
                  <c16:uniqueId val="{0000000A-B9DE-4F7D-BE8C-4A7B5C36B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kursa'!$H$62:$P$62</c:f>
              <c:numCache>
                <c:formatCode>#,##0.0</c:formatCode>
                <c:ptCount val="9"/>
                <c:pt idx="0">
                  <c:v>67.678479463063553</c:v>
                </c:pt>
                <c:pt idx="1">
                  <c:v>57.788223811969416</c:v>
                </c:pt>
                <c:pt idx="2">
                  <c:v>53.621882530067857</c:v>
                </c:pt>
                <c:pt idx="3">
                  <c:v>51.9</c:v>
                </c:pt>
                <c:pt idx="4">
                  <c:v>57</c:v>
                </c:pt>
                <c:pt idx="5">
                  <c:v>61.285317704545186</c:v>
                </c:pt>
                <c:pt idx="6">
                  <c:v>59.238705574119578</c:v>
                </c:pt>
                <c:pt idx="7">
                  <c:v>57.949367901342384</c:v>
                </c:pt>
                <c:pt idx="8">
                  <c:v>56.312748123425685</c:v>
                </c:pt>
              </c:numCache>
            </c:numRef>
          </c:val>
          <c:smooth val="0"/>
          <c:extLst>
            <c:ext xmlns:c16="http://schemas.microsoft.com/office/drawing/2014/chart" uri="{C3380CC4-5D6E-409C-BE32-E72D297353CC}">
              <c16:uniqueId val="{0000000B-B9DE-4F7D-BE8C-4A7B5C36B711}"/>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kursa'!$H$63:$P$63</c:f>
              <c:numCache>
                <c:formatCode>#,##0.0</c:formatCode>
                <c:ptCount val="9"/>
                <c:pt idx="0">
                  <c:v>67.678479463063553</c:v>
                </c:pt>
                <c:pt idx="1">
                  <c:v>57.788223811969416</c:v>
                </c:pt>
                <c:pt idx="2">
                  <c:v>53.621882530067857</c:v>
                </c:pt>
                <c:pt idx="3">
                  <c:v>51.9</c:v>
                </c:pt>
                <c:pt idx="4">
                  <c:v>57</c:v>
                </c:pt>
                <c:pt idx="5">
                  <c:v>56.474133884749108</c:v>
                </c:pt>
                <c:pt idx="6">
                  <c:v>54.712602226883469</c:v>
                </c:pt>
                <c:pt idx="7">
                  <c:v>53.521775747082515</c:v>
                </c:pt>
                <c:pt idx="8">
                  <c:v>52.010201075793148</c:v>
                </c:pt>
              </c:numCache>
            </c:numRef>
          </c:val>
          <c:smooth val="0"/>
          <c:extLst>
            <c:ext xmlns:c16="http://schemas.microsoft.com/office/drawing/2014/chart" uri="{C3380CC4-5D6E-409C-BE32-E72D297353CC}">
              <c16:uniqueId val="{0000000C-B9DE-4F7D-BE8C-4A7B5C36B711}"/>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kursa'!$H$64:$P$64</c:f>
              <c:numCache>
                <c:formatCode>#,##0.0</c:formatCode>
                <c:ptCount val="9"/>
                <c:pt idx="0">
                  <c:v>67.678479463063553</c:v>
                </c:pt>
                <c:pt idx="1">
                  <c:v>57.788223811969416</c:v>
                </c:pt>
                <c:pt idx="2">
                  <c:v>53.621882530067857</c:v>
                </c:pt>
                <c:pt idx="3">
                  <c:v>51.9</c:v>
                </c:pt>
                <c:pt idx="4">
                  <c:v>57</c:v>
                </c:pt>
                <c:pt idx="5">
                  <c:v>55.672269914783087</c:v>
                </c:pt>
                <c:pt idx="6">
                  <c:v>53.958251669010778</c:v>
                </c:pt>
                <c:pt idx="7">
                  <c:v>52.783843721372534</c:v>
                </c:pt>
                <c:pt idx="8">
                  <c:v>51.293109901187727</c:v>
                </c:pt>
              </c:numCache>
            </c:numRef>
          </c:val>
          <c:smooth val="0"/>
          <c:extLst>
            <c:ext xmlns:c16="http://schemas.microsoft.com/office/drawing/2014/chart" uri="{C3380CC4-5D6E-409C-BE32-E72D297353CC}">
              <c16:uniqueId val="{0000000D-B9DE-4F7D-BE8C-4A7B5C36B711}"/>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kursa'!$H$65:$P$65</c:f>
              <c:numCache>
                <c:formatCode>#,##0.0</c:formatCode>
                <c:ptCount val="9"/>
                <c:pt idx="0">
                  <c:v>67.678479463063553</c:v>
                </c:pt>
                <c:pt idx="1">
                  <c:v>57.788223811969416</c:v>
                </c:pt>
                <c:pt idx="2">
                  <c:v>53.621882530067857</c:v>
                </c:pt>
                <c:pt idx="3">
                  <c:v>51.9</c:v>
                </c:pt>
                <c:pt idx="4">
                  <c:v>57</c:v>
                </c:pt>
                <c:pt idx="5">
                  <c:v>54.87040594481708</c:v>
                </c:pt>
                <c:pt idx="6">
                  <c:v>53.203901111138094</c:v>
                </c:pt>
                <c:pt idx="7">
                  <c:v>52.045911695662554</c:v>
                </c:pt>
                <c:pt idx="8">
                  <c:v>50.576018726582305</c:v>
                </c:pt>
              </c:numCache>
            </c:numRef>
          </c:val>
          <c:smooth val="0"/>
          <c:extLst>
            <c:ext xmlns:c16="http://schemas.microsoft.com/office/drawing/2014/chart" uri="{C3380CC4-5D6E-409C-BE32-E72D297353CC}">
              <c16:uniqueId val="{0000000E-B9DE-4F7D-BE8C-4A7B5C36B711}"/>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kursa'!$H$66:$P$66</c:f>
              <c:numCache>
                <c:formatCode>#,##0.0</c:formatCode>
                <c:ptCount val="9"/>
                <c:pt idx="0">
                  <c:v>67.678479463063553</c:v>
                </c:pt>
                <c:pt idx="1">
                  <c:v>57.788223811969416</c:v>
                </c:pt>
                <c:pt idx="2">
                  <c:v>53.621882530067857</c:v>
                </c:pt>
                <c:pt idx="3">
                  <c:v>51.9</c:v>
                </c:pt>
                <c:pt idx="4">
                  <c:v>57</c:v>
                </c:pt>
                <c:pt idx="5">
                  <c:v>54.068541974851072</c:v>
                </c:pt>
                <c:pt idx="6">
                  <c:v>52.449550553265425</c:v>
                </c:pt>
                <c:pt idx="7">
                  <c:v>51.307979669952587</c:v>
                </c:pt>
                <c:pt idx="8">
                  <c:v>49.85892755197689</c:v>
                </c:pt>
              </c:numCache>
            </c:numRef>
          </c:val>
          <c:smooth val="0"/>
          <c:extLst>
            <c:ext xmlns:c16="http://schemas.microsoft.com/office/drawing/2014/chart" uri="{C3380CC4-5D6E-409C-BE32-E72D297353CC}">
              <c16:uniqueId val="{0000000F-B9DE-4F7D-BE8C-4A7B5C36B711}"/>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0-B9DE-4F7D-BE8C-4A7B5C36B711}"/>
                </c:ext>
              </c:extLst>
            </c:dLbl>
            <c:dLbl>
              <c:idx val="1"/>
              <c:delete val="1"/>
              <c:extLst>
                <c:ext xmlns:c15="http://schemas.microsoft.com/office/drawing/2012/chart" uri="{CE6537A1-D6FC-4f65-9D91-7224C49458BB}"/>
                <c:ext xmlns:c16="http://schemas.microsoft.com/office/drawing/2014/chart" uri="{C3380CC4-5D6E-409C-BE32-E72D297353CC}">
                  <c16:uniqueId val="{00000011-B9DE-4F7D-BE8C-4A7B5C36B711}"/>
                </c:ext>
              </c:extLst>
            </c:dLbl>
            <c:dLbl>
              <c:idx val="2"/>
              <c:delete val="1"/>
              <c:extLst>
                <c:ext xmlns:c15="http://schemas.microsoft.com/office/drawing/2012/chart" uri="{CE6537A1-D6FC-4f65-9D91-7224C49458BB}"/>
                <c:ext xmlns:c16="http://schemas.microsoft.com/office/drawing/2014/chart" uri="{C3380CC4-5D6E-409C-BE32-E72D297353CC}">
                  <c16:uniqueId val="{00000012-B9DE-4F7D-BE8C-4A7B5C36B711}"/>
                </c:ext>
              </c:extLst>
            </c:dLbl>
            <c:dLbl>
              <c:idx val="3"/>
              <c:delete val="1"/>
              <c:extLst>
                <c:ext xmlns:c15="http://schemas.microsoft.com/office/drawing/2012/chart" uri="{CE6537A1-D6FC-4f65-9D91-7224C49458BB}"/>
                <c:ext xmlns:c16="http://schemas.microsoft.com/office/drawing/2014/chart" uri="{C3380CC4-5D6E-409C-BE32-E72D297353CC}">
                  <c16:uniqueId val="{00000013-B9DE-4F7D-BE8C-4A7B5C36B711}"/>
                </c:ext>
              </c:extLst>
            </c:dLbl>
            <c:dLbl>
              <c:idx val="4"/>
              <c:delete val="1"/>
              <c:extLst>
                <c:ext xmlns:c15="http://schemas.microsoft.com/office/drawing/2012/chart" uri="{CE6537A1-D6FC-4f65-9D91-7224C49458BB}"/>
                <c:ext xmlns:c16="http://schemas.microsoft.com/office/drawing/2014/chart" uri="{C3380CC4-5D6E-409C-BE32-E72D297353CC}">
                  <c16:uniqueId val="{00000014-B9DE-4F7D-BE8C-4A7B5C36B711}"/>
                </c:ext>
              </c:extLst>
            </c:dLbl>
            <c:dLbl>
              <c:idx val="8"/>
              <c:layout>
                <c:manualLayout>
                  <c:x val="-1.1695417616883329E-2"/>
                  <c:y val="1.5120555877946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9DE-4F7D-BE8C-4A7B5C36B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kursa'!$H$67:$P$67</c:f>
              <c:numCache>
                <c:formatCode>#,##0.0</c:formatCode>
                <c:ptCount val="9"/>
                <c:pt idx="0">
                  <c:v>67.678479463063553</c:v>
                </c:pt>
                <c:pt idx="1">
                  <c:v>57.788223811969416</c:v>
                </c:pt>
                <c:pt idx="2">
                  <c:v>53.621882530067857</c:v>
                </c:pt>
                <c:pt idx="3">
                  <c:v>51.9</c:v>
                </c:pt>
                <c:pt idx="4">
                  <c:v>57</c:v>
                </c:pt>
                <c:pt idx="5">
                  <c:v>53.266678004885058</c:v>
                </c:pt>
                <c:pt idx="6">
                  <c:v>51.695199995392741</c:v>
                </c:pt>
                <c:pt idx="7">
                  <c:v>50.570047644242599</c:v>
                </c:pt>
                <c:pt idx="8">
                  <c:v>49.141836377371469</c:v>
                </c:pt>
              </c:numCache>
            </c:numRef>
          </c:val>
          <c:smooth val="0"/>
          <c:extLst>
            <c:ext xmlns:c16="http://schemas.microsoft.com/office/drawing/2014/chart" uri="{C3380CC4-5D6E-409C-BE32-E72D297353CC}">
              <c16:uniqueId val="{00000016-B9DE-4F7D-BE8C-4A7B5C36B711}"/>
            </c:ext>
          </c:extLst>
        </c:ser>
        <c:dLbls>
          <c:showLegendKey val="0"/>
          <c:showVal val="0"/>
          <c:showCatName val="0"/>
          <c:showSerName val="0"/>
          <c:showPercent val="0"/>
          <c:showBubbleSize val="0"/>
        </c:dLbls>
        <c:marker val="1"/>
        <c:smooth val="0"/>
        <c:axId val="75069312"/>
        <c:axId val="75070848"/>
      </c:lineChart>
      <c:catAx>
        <c:axId val="75069312"/>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5070848"/>
        <c:crosses val="autoZero"/>
        <c:auto val="0"/>
        <c:lblAlgn val="ctr"/>
        <c:lblOffset val="100"/>
        <c:noMultiLvlLbl val="0"/>
      </c:catAx>
      <c:valAx>
        <c:axId val="75070848"/>
        <c:scaling>
          <c:orientation val="minMax"/>
          <c:max val="70"/>
          <c:min val="45"/>
        </c:scaling>
        <c:delete val="1"/>
        <c:axPos val="l"/>
        <c:majorGridlines>
          <c:spPr>
            <a:ln w="9525" cap="flat" cmpd="sng" algn="ctr">
              <a:noFill/>
              <a:prstDash val="solid"/>
              <a:round/>
            </a:ln>
            <a:effectLst/>
          </c:spPr>
        </c:majorGridlines>
        <c:numFmt formatCode="#,##0.0" sourceLinked="0"/>
        <c:majorTickMark val="none"/>
        <c:minorTickMark val="none"/>
        <c:tickLblPos val="nextTo"/>
        <c:crossAx val="75069312"/>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9033714179804967E-2"/>
          <c:y val="6.0313404132223677E-2"/>
          <c:w val="0.86085801063022016"/>
          <c:h val="0.70532142651876539"/>
        </c:manualLayout>
      </c:layout>
      <c:barChart>
        <c:barDir val="col"/>
        <c:grouping val="clustered"/>
        <c:varyColors val="0"/>
        <c:ser>
          <c:idx val="0"/>
          <c:order val="0"/>
          <c:tx>
            <c:strRef>
              <c:f>'мемо 2011-2016'!$E$50</c:f>
              <c:strCache>
                <c:ptCount val="1"/>
                <c:pt idx="0">
                  <c:v>јавни дуг - основни сценарио</c:v>
                </c:pt>
              </c:strCache>
            </c:strRef>
          </c:tx>
          <c:spPr>
            <a:solidFill>
              <a:schemeClr val="accent1">
                <a:lumMod val="50000"/>
              </a:schemeClr>
            </a:solidFill>
            <a:ln w="9525" cap="flat" cmpd="sng" algn="ctr">
              <a:solidFill>
                <a:schemeClr val="accent6">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2021</c:v>
                </c:pt>
                <c:pt idx="1">
                  <c:v>2022</c:v>
                </c:pt>
                <c:pt idx="2">
                  <c:v>2023</c:v>
                </c:pt>
                <c:pt idx="3">
                  <c:v>2024</c:v>
                </c:pt>
              </c:numCache>
            </c:numRef>
          </c:cat>
          <c:val>
            <c:numRef>
              <c:f>'мемо 2011-2016'!$F$50:$I$50</c:f>
              <c:numCache>
                <c:formatCode>#,##0.0</c:formatCode>
                <c:ptCount val="4"/>
                <c:pt idx="0">
                  <c:v>58.2</c:v>
                </c:pt>
                <c:pt idx="1">
                  <c:v>56.5</c:v>
                </c:pt>
                <c:pt idx="2">
                  <c:v>55.3</c:v>
                </c:pt>
                <c:pt idx="3">
                  <c:v>53.8</c:v>
                </c:pt>
              </c:numCache>
            </c:numRef>
          </c:val>
          <c:extLst>
            <c:ext xmlns:c16="http://schemas.microsoft.com/office/drawing/2014/chart" uri="{C3380CC4-5D6E-409C-BE32-E72D297353CC}">
              <c16:uniqueId val="{00000000-6D61-4789-9920-BAB5BECF835B}"/>
            </c:ext>
          </c:extLst>
        </c:ser>
        <c:ser>
          <c:idx val="1"/>
          <c:order val="1"/>
          <c:tx>
            <c:strRef>
              <c:f>'мемо 2011-2016'!$E$52</c:f>
              <c:strCache>
                <c:ptCount val="1"/>
                <c:pt idx="0">
                  <c:v>јавни дуг - алтернативни сценарио</c:v>
                </c:pt>
              </c:strCache>
            </c:strRef>
          </c:tx>
          <c:spPr>
            <a:solidFill>
              <a:srgbClr val="FF4747"/>
            </a:solidFill>
            <a:ln w="9525" cap="flat" cmpd="sng" algn="ctr">
              <a:solidFill>
                <a:schemeClr val="accent6">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2021</c:v>
                </c:pt>
                <c:pt idx="1">
                  <c:v>2022</c:v>
                </c:pt>
                <c:pt idx="2">
                  <c:v>2023</c:v>
                </c:pt>
                <c:pt idx="3">
                  <c:v>2024</c:v>
                </c:pt>
              </c:numCache>
            </c:numRef>
          </c:cat>
          <c:val>
            <c:numRef>
              <c:f>'мемо 2011-2016'!$F$52:$I$52</c:f>
              <c:numCache>
                <c:formatCode>#,##0.0</c:formatCode>
                <c:ptCount val="4"/>
                <c:pt idx="0">
                  <c:v>58</c:v>
                </c:pt>
                <c:pt idx="1">
                  <c:v>58.1</c:v>
                </c:pt>
                <c:pt idx="2">
                  <c:v>58.8</c:v>
                </c:pt>
                <c:pt idx="3">
                  <c:v>58.5</c:v>
                </c:pt>
              </c:numCache>
            </c:numRef>
          </c:val>
          <c:extLst>
            <c:ext xmlns:c16="http://schemas.microsoft.com/office/drawing/2014/chart" uri="{C3380CC4-5D6E-409C-BE32-E72D297353CC}">
              <c16:uniqueId val="{00000001-6D61-4789-9920-BAB5BECF835B}"/>
            </c:ext>
          </c:extLst>
        </c:ser>
        <c:dLbls>
          <c:showLegendKey val="0"/>
          <c:showVal val="0"/>
          <c:showCatName val="0"/>
          <c:showSerName val="0"/>
          <c:showPercent val="0"/>
          <c:showBubbleSize val="0"/>
        </c:dLbls>
        <c:gapWidth val="150"/>
        <c:axId val="221799760"/>
        <c:axId val="221800152"/>
      </c:barChart>
      <c:lineChart>
        <c:grouping val="standard"/>
        <c:varyColors val="0"/>
        <c:ser>
          <c:idx val="2"/>
          <c:order val="2"/>
          <c:tx>
            <c:strRef>
              <c:f>'мемо 2011-2016'!$E$49</c:f>
              <c:strCache>
                <c:ptCount val="1"/>
                <c:pt idx="0">
                  <c:v>дефицит (десна скала) - основни сценарио</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Pt>
            <c:idx val="1"/>
            <c:bubble3D val="0"/>
            <c:extLst>
              <c:ext xmlns:c16="http://schemas.microsoft.com/office/drawing/2014/chart" uri="{C3380CC4-5D6E-409C-BE32-E72D297353CC}">
                <c16:uniqueId val="{00000002-6D61-4789-9920-BAB5BECF835B}"/>
              </c:ext>
            </c:extLst>
          </c:dPt>
          <c:dLbls>
            <c:dLbl>
              <c:idx val="0"/>
              <c:delete val="1"/>
              <c:extLst>
                <c:ext xmlns:c15="http://schemas.microsoft.com/office/drawing/2012/chart" uri="{CE6537A1-D6FC-4f65-9D91-7224C49458BB}"/>
                <c:ext xmlns:c16="http://schemas.microsoft.com/office/drawing/2014/chart" uri="{C3380CC4-5D6E-409C-BE32-E72D297353CC}">
                  <c16:uniqueId val="{00000003-6D61-4789-9920-BAB5BECF835B}"/>
                </c:ext>
              </c:extLst>
            </c:dLbl>
            <c:dLbl>
              <c:idx val="1"/>
              <c:layout>
                <c:manualLayout>
                  <c:x val="-9.8009685447365651E-3"/>
                  <c:y val="4.3890121187658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61-4789-9920-BAB5BECF835B}"/>
                </c:ext>
              </c:extLst>
            </c:dLbl>
            <c:dLbl>
              <c:idx val="2"/>
              <c:layout>
                <c:manualLayout>
                  <c:x val="7.358924893024216E-17"/>
                  <c:y val="-3.9375638159524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61-4789-9920-BAB5BECF835B}"/>
                </c:ext>
              </c:extLst>
            </c:dLbl>
            <c:dLbl>
              <c:idx val="3"/>
              <c:layout>
                <c:manualLayout>
                  <c:x val="-4.014005402155932E-3"/>
                  <c:y val="-3.690036006906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61-4789-9920-BAB5BECF83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'мемо 2011-2016'!$F$48:$I$48</c:f>
              <c:numCache>
                <c:formatCode>General</c:formatCode>
                <c:ptCount val="4"/>
                <c:pt idx="0">
                  <c:v>2021</c:v>
                </c:pt>
                <c:pt idx="1">
                  <c:v>2022</c:v>
                </c:pt>
                <c:pt idx="2">
                  <c:v>2023</c:v>
                </c:pt>
                <c:pt idx="3">
                  <c:v>2024</c:v>
                </c:pt>
              </c:numCache>
            </c:numRef>
          </c:cat>
          <c:val>
            <c:numRef>
              <c:f>'мемо 2011-2016'!$F$49:$I$49</c:f>
              <c:numCache>
                <c:formatCode>#,##0.0</c:formatCode>
                <c:ptCount val="4"/>
                <c:pt idx="0">
                  <c:v>-4.9000000000000004</c:v>
                </c:pt>
                <c:pt idx="1">
                  <c:v>-3</c:v>
                </c:pt>
                <c:pt idx="2">
                  <c:v>-1.5</c:v>
                </c:pt>
                <c:pt idx="3">
                  <c:v>-1</c:v>
                </c:pt>
              </c:numCache>
            </c:numRef>
          </c:val>
          <c:smooth val="0"/>
          <c:extLst>
            <c:ext xmlns:c16="http://schemas.microsoft.com/office/drawing/2014/chart" uri="{C3380CC4-5D6E-409C-BE32-E72D297353CC}">
              <c16:uniqueId val="{00000006-6D61-4789-9920-BAB5BECF835B}"/>
            </c:ext>
          </c:extLst>
        </c:ser>
        <c:ser>
          <c:idx val="3"/>
          <c:order val="3"/>
          <c:tx>
            <c:strRef>
              <c:f>'мемо 2011-2016'!$E$51</c:f>
              <c:strCache>
                <c:ptCount val="1"/>
                <c:pt idx="0">
                  <c:v>дефицит (десна скала) - алтернативни сценарио</c:v>
                </c:pt>
              </c:strCache>
            </c:strRef>
          </c:tx>
          <c:spPr>
            <a:ln w="47625" cap="rnd" cmpd="sng" algn="ctr">
              <a:solidFill>
                <a:schemeClr val="accent1">
                  <a:lumMod val="40000"/>
                  <a:lumOff val="60000"/>
                </a:schemeClr>
              </a:solidFill>
              <a:prstDash val="solid"/>
              <a:round/>
            </a:ln>
            <a:effectLst/>
          </c:spPr>
          <c:marker>
            <c:symbol val="diamond"/>
            <c:size val="9"/>
            <c:spPr>
              <a:solidFill>
                <a:schemeClr val="accent1">
                  <a:lumMod val="40000"/>
                  <a:lumOff val="60000"/>
                </a:schemeClr>
              </a:solidFill>
              <a:ln w="9525" cap="flat" cmpd="sng" algn="ctr">
                <a:solidFill>
                  <a:schemeClr val="accent1">
                    <a:lumMod val="40000"/>
                    <a:lumOff val="60000"/>
                  </a:schemeClr>
                </a:solidFill>
                <a:prstDash val="solid"/>
                <a:round/>
              </a:ln>
              <a:effectLst/>
            </c:spPr>
          </c:marker>
          <c:dLbls>
            <c:dLbl>
              <c:idx val="0"/>
              <c:layout>
                <c:manualLayout>
                  <c:x val="6.5357173786205853E-3"/>
                  <c:y val="1.0545173764618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61-4789-9920-BAB5BECF835B}"/>
                </c:ext>
              </c:extLst>
            </c:dLbl>
            <c:dLbl>
              <c:idx val="1"/>
              <c:layout>
                <c:manualLayout>
                  <c:x val="-5.6309858460480379E-3"/>
                  <c:y val="-7.3440917414621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61-4789-9920-BAB5BECF835B}"/>
                </c:ext>
              </c:extLst>
            </c:dLbl>
            <c:dLbl>
              <c:idx val="2"/>
              <c:layout>
                <c:manualLayout>
                  <c:x val="-9.7230589123246409E-3"/>
                  <c:y val="5.0040181199169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61-4789-9920-BAB5BECF835B}"/>
                </c:ext>
              </c:extLst>
            </c:dLbl>
            <c:dLbl>
              <c:idx val="3"/>
              <c:layout>
                <c:manualLayout>
                  <c:x val="-1.0950175130739632E-2"/>
                  <c:y val="4.153469662891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61-4789-9920-BAB5BECF835B}"/>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61-4789-9920-BAB5BECF835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2021</c:v>
                </c:pt>
                <c:pt idx="1">
                  <c:v>2022</c:v>
                </c:pt>
                <c:pt idx="2">
                  <c:v>2023</c:v>
                </c:pt>
                <c:pt idx="3">
                  <c:v>2024</c:v>
                </c:pt>
              </c:numCache>
            </c:numRef>
          </c:cat>
          <c:val>
            <c:numRef>
              <c:f>'мемо 2011-2016'!$F$51:$I$51</c:f>
              <c:numCache>
                <c:formatCode>#,##0.0</c:formatCode>
                <c:ptCount val="4"/>
                <c:pt idx="0">
                  <c:v>-4.9000000000000004</c:v>
                </c:pt>
                <c:pt idx="1">
                  <c:v>-3</c:v>
                </c:pt>
                <c:pt idx="2">
                  <c:v>-3.1</c:v>
                </c:pt>
                <c:pt idx="3">
                  <c:v>-3</c:v>
                </c:pt>
              </c:numCache>
            </c:numRef>
          </c:val>
          <c:smooth val="0"/>
          <c:extLst>
            <c:ext xmlns:c16="http://schemas.microsoft.com/office/drawing/2014/chart" uri="{C3380CC4-5D6E-409C-BE32-E72D297353CC}">
              <c16:uniqueId val="{0000000C-6D61-4789-9920-BAB5BECF835B}"/>
            </c:ext>
          </c:extLst>
        </c:ser>
        <c:dLbls>
          <c:showLegendKey val="0"/>
          <c:showVal val="0"/>
          <c:showCatName val="0"/>
          <c:showSerName val="0"/>
          <c:showPercent val="0"/>
          <c:showBubbleSize val="0"/>
        </c:dLbls>
        <c:marker val="1"/>
        <c:smooth val="0"/>
        <c:axId val="221800936"/>
        <c:axId val="221800544"/>
      </c:lineChart>
      <c:catAx>
        <c:axId val="221799760"/>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152"/>
        <c:crosses val="autoZero"/>
        <c:auto val="1"/>
        <c:lblAlgn val="ctr"/>
        <c:lblOffset val="100"/>
        <c:noMultiLvlLbl val="0"/>
      </c:catAx>
      <c:valAx>
        <c:axId val="221800152"/>
        <c:scaling>
          <c:orientation val="minMax"/>
          <c:max val="70"/>
        </c:scaling>
        <c:delete val="0"/>
        <c:axPos val="l"/>
        <c:majorGridlines>
          <c:spPr>
            <a:ln w="9525" cap="flat" cmpd="sng" algn="ctr">
              <a:noFill/>
              <a:prstDash val="solid"/>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1799760"/>
        <c:crosses val="autoZero"/>
        <c:crossBetween val="between"/>
      </c:valAx>
      <c:valAx>
        <c:axId val="221800544"/>
        <c:scaling>
          <c:orientation val="minMax"/>
        </c:scaling>
        <c:delete val="0"/>
        <c:axPos val="r"/>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936"/>
        <c:crosses val="max"/>
        <c:crossBetween val="between"/>
      </c:valAx>
      <c:catAx>
        <c:axId val="221800936"/>
        <c:scaling>
          <c:orientation val="minMax"/>
        </c:scaling>
        <c:delete val="1"/>
        <c:axPos val="b"/>
        <c:numFmt formatCode="General" sourceLinked="1"/>
        <c:majorTickMark val="out"/>
        <c:minorTickMark val="none"/>
        <c:tickLblPos val="nextTo"/>
        <c:crossAx val="22180054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2.9179586934220056E-2"/>
          <c:y val="0.84926228444984275"/>
          <c:w val="0.93825420315954267"/>
          <c:h val="0.130817465601766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9238921957671962"/>
        </c:manualLayout>
      </c:layout>
      <c:barChart>
        <c:barDir val="col"/>
        <c:grouping val="stacked"/>
        <c:varyColors val="0"/>
        <c:ser>
          <c:idx val="2"/>
          <c:order val="0"/>
          <c:tx>
            <c:strRef>
              <c:f>BDP_doprinosi!$R$8</c:f>
              <c:strCache>
                <c:ptCount val="1"/>
                <c:pt idx="0">
                  <c:v>Приватна потрошња</c:v>
                </c:pt>
              </c:strCache>
            </c:strRef>
          </c:tx>
          <c:spPr>
            <a:solidFill>
              <a:srgbClr val="10103C"/>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BDP_doprinosi!$AC$8:$AI$8</c:f>
              <c:numCache>
                <c:formatCode>0.0</c:formatCode>
                <c:ptCount val="6"/>
                <c:pt idx="0">
                  <c:v>2.5473058756827083</c:v>
                </c:pt>
                <c:pt idx="1">
                  <c:v>-1.3152905908725412</c:v>
                </c:pt>
                <c:pt idx="2">
                  <c:v>4.3777472327204077</c:v>
                </c:pt>
                <c:pt idx="3">
                  <c:v>2.5005893025063073</c:v>
                </c:pt>
                <c:pt idx="4">
                  <c:v>2.4453375448794725</c:v>
                </c:pt>
                <c:pt idx="5">
                  <c:v>2.2116403623953271</c:v>
                </c:pt>
              </c:numCache>
            </c:numRef>
          </c:val>
          <c:extLst>
            <c:ext xmlns:c16="http://schemas.microsoft.com/office/drawing/2014/chart" uri="{C3380CC4-5D6E-409C-BE32-E72D297353CC}">
              <c16:uniqueId val="{00000000-EA0E-4147-9BF7-862A3D953B34}"/>
            </c:ext>
          </c:extLst>
        </c:ser>
        <c:ser>
          <c:idx val="3"/>
          <c:order val="1"/>
          <c:tx>
            <c:strRef>
              <c:f>BDP_doprinosi!$R$9</c:f>
              <c:strCache>
                <c:ptCount val="1"/>
                <c:pt idx="0">
                  <c:v>Државна потрошња</c:v>
                </c:pt>
              </c:strCache>
            </c:strRef>
          </c:tx>
          <c:spPr>
            <a:solidFill>
              <a:srgbClr val="29489A"/>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BDP_doprinosi!$AC$9:$AI$9</c:f>
              <c:numCache>
                <c:formatCode>0.0</c:formatCode>
                <c:ptCount val="6"/>
                <c:pt idx="0">
                  <c:v>0.3216522389161825</c:v>
                </c:pt>
                <c:pt idx="1">
                  <c:v>0.46680918748177314</c:v>
                </c:pt>
                <c:pt idx="2">
                  <c:v>0.44339115758112257</c:v>
                </c:pt>
                <c:pt idx="3">
                  <c:v>0.35604021445560868</c:v>
                </c:pt>
                <c:pt idx="4">
                  <c:v>0.18177979191060992</c:v>
                </c:pt>
                <c:pt idx="5">
                  <c:v>0.17519859184253189</c:v>
                </c:pt>
              </c:numCache>
            </c:numRef>
          </c:val>
          <c:extLst>
            <c:ext xmlns:c16="http://schemas.microsoft.com/office/drawing/2014/chart" uri="{C3380CC4-5D6E-409C-BE32-E72D297353CC}">
              <c16:uniqueId val="{00000001-EA0E-4147-9BF7-862A3D953B34}"/>
            </c:ext>
          </c:extLst>
        </c:ser>
        <c:ser>
          <c:idx val="1"/>
          <c:order val="2"/>
          <c:tx>
            <c:strRef>
              <c:f>BDP_doprinosi!$R$10</c:f>
              <c:strCache>
                <c:ptCount val="1"/>
                <c:pt idx="0">
                  <c:v>Инвестиције</c:v>
                </c:pt>
              </c:strCache>
            </c:strRef>
          </c:tx>
          <c:spPr>
            <a:solidFill>
              <a:srgbClr val="2183C4"/>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BDP_doprinosi!$AC$10:$AI$10</c:f>
              <c:numCache>
                <c:formatCode>0.0</c:formatCode>
                <c:ptCount val="6"/>
                <c:pt idx="0">
                  <c:v>3.4525791612196195</c:v>
                </c:pt>
                <c:pt idx="1">
                  <c:v>-0.4298181324153959</c:v>
                </c:pt>
                <c:pt idx="2">
                  <c:v>3.4190610421124528</c:v>
                </c:pt>
                <c:pt idx="3">
                  <c:v>1.5410548197421003</c:v>
                </c:pt>
                <c:pt idx="4">
                  <c:v>2.0096654497584772</c:v>
                </c:pt>
                <c:pt idx="5">
                  <c:v>2.2505183792719485</c:v>
                </c:pt>
              </c:numCache>
            </c:numRef>
          </c:val>
          <c:extLst>
            <c:ext xmlns:c16="http://schemas.microsoft.com/office/drawing/2014/chart" uri="{C3380CC4-5D6E-409C-BE32-E72D297353CC}">
              <c16:uniqueId val="{00000002-EA0E-4147-9BF7-862A3D953B34}"/>
            </c:ext>
          </c:extLst>
        </c:ser>
        <c:ser>
          <c:idx val="0"/>
          <c:order val="3"/>
          <c:tx>
            <c:strRef>
              <c:f>BDP_doprinosi!$R$11</c:f>
              <c:strCache>
                <c:ptCount val="1"/>
                <c:pt idx="0">
                  <c:v>Нето извоз</c:v>
                </c:pt>
              </c:strCache>
            </c:strRef>
          </c:tx>
          <c:spPr>
            <a:solidFill>
              <a:srgbClr val="51BBE7"/>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BDP_doprinosi!$AC$11:$AI$11</c:f>
              <c:numCache>
                <c:formatCode>0.0</c:formatCode>
                <c:ptCount val="6"/>
                <c:pt idx="0">
                  <c:v>-2.4321555095887164</c:v>
                </c:pt>
                <c:pt idx="1">
                  <c:v>4.838384261847635E-2</c:v>
                </c:pt>
                <c:pt idx="2">
                  <c:v>-0.67147051878353647</c:v>
                </c:pt>
                <c:pt idx="3">
                  <c:v>0.19065719063667821</c:v>
                </c:pt>
                <c:pt idx="4">
                  <c:v>0.4064057397600262</c:v>
                </c:pt>
                <c:pt idx="5">
                  <c:v>0.39582478047493452</c:v>
                </c:pt>
              </c:numCache>
            </c:numRef>
          </c:val>
          <c:extLst>
            <c:ext xmlns:c16="http://schemas.microsoft.com/office/drawing/2014/chart" uri="{C3380CC4-5D6E-409C-BE32-E72D297353CC}">
              <c16:uniqueId val="{00000003-EA0E-4147-9BF7-862A3D953B34}"/>
            </c:ext>
          </c:extLst>
        </c:ser>
        <c:ser>
          <c:idx val="4"/>
          <c:order val="4"/>
          <c:tx>
            <c:strRef>
              <c:f>BDP_doprinosi!$R$12</c:f>
              <c:strCache>
                <c:ptCount val="1"/>
                <c:pt idx="0">
                  <c:v>Промена у залихама</c:v>
                </c:pt>
              </c:strCache>
            </c:strRef>
          </c:tx>
          <c:spPr>
            <a:solidFill>
              <a:srgbClr val="9ED1E6"/>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BDP_doprinosi!$AC$12:$AI$12</c:f>
              <c:numCache>
                <c:formatCode>0.0</c:formatCode>
                <c:ptCount val="6"/>
                <c:pt idx="0">
                  <c:v>0.44235363524077881</c:v>
                </c:pt>
                <c:pt idx="1">
                  <c:v>0.28531214052292403</c:v>
                </c:pt>
                <c:pt idx="2">
                  <c:v>-0.5487289136304464</c:v>
                </c:pt>
                <c:pt idx="3">
                  <c:v>-4.8341527340687244E-2</c:v>
                </c:pt>
                <c:pt idx="4">
                  <c:v>-4.1688526308582538E-2</c:v>
                </c:pt>
                <c:pt idx="5">
                  <c:v>-2.8182113984754575E-2</c:v>
                </c:pt>
              </c:numCache>
            </c:numRef>
          </c:val>
          <c:extLst>
            <c:ext xmlns:c16="http://schemas.microsoft.com/office/drawing/2014/chart" uri="{C3380CC4-5D6E-409C-BE32-E72D297353CC}">
              <c16:uniqueId val="{00000004-EA0E-4147-9BF7-862A3D953B34}"/>
            </c:ext>
          </c:extLst>
        </c:ser>
        <c:dLbls>
          <c:showLegendKey val="0"/>
          <c:showVal val="0"/>
          <c:showCatName val="0"/>
          <c:showSerName val="0"/>
          <c:showPercent val="0"/>
          <c:showBubbleSize val="0"/>
        </c:dLbls>
        <c:gapWidth val="60"/>
        <c:overlap val="100"/>
        <c:axId val="-422389376"/>
        <c:axId val="-422387136"/>
      </c:barChart>
      <c:lineChart>
        <c:grouping val="standard"/>
        <c:varyColors val="0"/>
        <c:ser>
          <c:idx val="5"/>
          <c:order val="5"/>
          <c:tx>
            <c:strRef>
              <c:f>BDP_doprinosi!$R$13</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28616865682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0E-4147-9BF7-862A3D953B34}"/>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BDP_doprinosi!$AC$6:$AI$6</c:f>
              <c:numCache>
                <c:formatCode>General</c:formatCode>
                <c:ptCount val="6"/>
                <c:pt idx="0">
                  <c:v>2019</c:v>
                </c:pt>
                <c:pt idx="1">
                  <c:v>2020</c:v>
                </c:pt>
                <c:pt idx="2">
                  <c:v>2021</c:v>
                </c:pt>
                <c:pt idx="3">
                  <c:v>2022</c:v>
                </c:pt>
                <c:pt idx="4">
                  <c:v>2023</c:v>
                </c:pt>
                <c:pt idx="5">
                  <c:v>2024</c:v>
                </c:pt>
              </c:numCache>
            </c:numRef>
          </c:cat>
          <c:val>
            <c:numRef>
              <c:f>BDP_doprinosi!$AC$13:$AI$13</c:f>
              <c:numCache>
                <c:formatCode>0.0</c:formatCode>
                <c:ptCount val="6"/>
                <c:pt idx="0">
                  <c:v>4.3317373727170967</c:v>
                </c:pt>
                <c:pt idx="1">
                  <c:v>-0.94459801949935784</c:v>
                </c:pt>
                <c:pt idx="2">
                  <c:v>7.0200000000000014</c:v>
                </c:pt>
                <c:pt idx="3">
                  <c:v>4.5400000000000071</c:v>
                </c:pt>
                <c:pt idx="4">
                  <c:v>5</c:v>
                </c:pt>
                <c:pt idx="5">
                  <c:v>5</c:v>
                </c:pt>
              </c:numCache>
            </c:numRef>
          </c:val>
          <c:smooth val="0"/>
          <c:extLst>
            <c:ext xmlns:c16="http://schemas.microsoft.com/office/drawing/2014/chart" uri="{C3380CC4-5D6E-409C-BE32-E72D297353CC}">
              <c16:uniqueId val="{00000006-EA0E-4147-9BF7-862A3D953B34}"/>
            </c:ext>
          </c:extLst>
        </c:ser>
        <c:dLbls>
          <c:showLegendKey val="0"/>
          <c:showVal val="0"/>
          <c:showCatName val="0"/>
          <c:showSerName val="0"/>
          <c:showPercent val="0"/>
          <c:showBubbleSize val="0"/>
        </c:dLbls>
        <c:marker val="1"/>
        <c:smooth val="0"/>
        <c:axId val="-422389376"/>
        <c:axId val="-422387136"/>
      </c:lineChart>
      <c:catAx>
        <c:axId val="-42238937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7136"/>
        <c:crosses val="autoZero"/>
        <c:auto val="1"/>
        <c:lblAlgn val="ctr"/>
        <c:lblOffset val="100"/>
        <c:noMultiLvlLbl val="0"/>
      </c:catAx>
      <c:valAx>
        <c:axId val="-422387136"/>
        <c:scaling>
          <c:orientation val="minMax"/>
          <c:min val="-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9376"/>
        <c:crosses val="autoZero"/>
        <c:crossBetween val="between"/>
      </c:valAx>
      <c:spPr>
        <a:noFill/>
        <a:ln>
          <a:noFill/>
        </a:ln>
        <a:effectLst/>
      </c:spPr>
    </c:plotArea>
    <c:legend>
      <c:legendPos val="b"/>
      <c:layout>
        <c:manualLayout>
          <c:xMode val="edge"/>
          <c:yMode val="edge"/>
          <c:x val="0"/>
          <c:y val="0.83244109195402283"/>
          <c:w val="1"/>
          <c:h val="0.16755890804597701"/>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9.5036966533029524E-2"/>
          <c:w val="0.90740810185185183"/>
          <c:h val="0.58088975694444445"/>
        </c:manualLayout>
      </c:layout>
      <c:barChart>
        <c:barDir val="col"/>
        <c:grouping val="stacked"/>
        <c:varyColors val="0"/>
        <c:ser>
          <c:idx val="2"/>
          <c:order val="1"/>
          <c:tx>
            <c:strRef>
              <c:f>'nepoljoprivredni BDP'!$D$5</c:f>
              <c:strCache>
                <c:ptCount val="1"/>
                <c:pt idx="0">
                  <c:v>Допринос фактора рада, п.п.</c:v>
                </c:pt>
              </c:strCache>
            </c:strRef>
          </c:tx>
          <c:spPr>
            <a:solidFill>
              <a:srgbClr val="10103C"/>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BDP'!$D$10:$D$15</c:f>
              <c:numCache>
                <c:formatCode>0.0</c:formatCode>
                <c:ptCount val="6"/>
                <c:pt idx="0">
                  <c:v>1.2</c:v>
                </c:pt>
                <c:pt idx="1">
                  <c:v>1</c:v>
                </c:pt>
                <c:pt idx="2">
                  <c:v>0.9</c:v>
                </c:pt>
                <c:pt idx="3">
                  <c:v>0.9</c:v>
                </c:pt>
                <c:pt idx="4">
                  <c:v>0.9</c:v>
                </c:pt>
                <c:pt idx="5">
                  <c:v>0.9</c:v>
                </c:pt>
              </c:numCache>
            </c:numRef>
          </c:val>
          <c:extLst>
            <c:ext xmlns:c16="http://schemas.microsoft.com/office/drawing/2014/chart" uri="{C3380CC4-5D6E-409C-BE32-E72D297353CC}">
              <c16:uniqueId val="{00000000-0A0B-44B1-84D2-BD699B7AC18F}"/>
            </c:ext>
          </c:extLst>
        </c:ser>
        <c:ser>
          <c:idx val="1"/>
          <c:order val="2"/>
          <c:tx>
            <c:strRef>
              <c:f>'nepoljoprivredni BDP'!$E$5</c:f>
              <c:strCache>
                <c:ptCount val="1"/>
                <c:pt idx="0">
                  <c:v>Допринос капитала, п.п.</c:v>
                </c:pt>
              </c:strCache>
            </c:strRef>
          </c:tx>
          <c:spPr>
            <a:solidFill>
              <a:srgbClr val="29489A"/>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BDP'!$E$10:$E$15</c:f>
              <c:numCache>
                <c:formatCode>0.0</c:formatCode>
                <c:ptCount val="6"/>
                <c:pt idx="0">
                  <c:v>1.5</c:v>
                </c:pt>
                <c:pt idx="1">
                  <c:v>1.3425514737248223</c:v>
                </c:pt>
                <c:pt idx="2">
                  <c:v>1.6</c:v>
                </c:pt>
                <c:pt idx="3">
                  <c:v>1.709937138774946</c:v>
                </c:pt>
                <c:pt idx="4">
                  <c:v>1.7721695022454309</c:v>
                </c:pt>
                <c:pt idx="5">
                  <c:v>1.8779429833503301</c:v>
                </c:pt>
              </c:numCache>
            </c:numRef>
          </c:val>
          <c:extLst>
            <c:ext xmlns:c16="http://schemas.microsoft.com/office/drawing/2014/chart" uri="{C3380CC4-5D6E-409C-BE32-E72D297353CC}">
              <c16:uniqueId val="{00000001-0A0B-44B1-84D2-BD699B7AC18F}"/>
            </c:ext>
          </c:extLst>
        </c:ser>
        <c:ser>
          <c:idx val="3"/>
          <c:order val="3"/>
          <c:tx>
            <c:strRef>
              <c:f>'nepoljoprivredni BDP'!$F$5</c:f>
              <c:strCache>
                <c:ptCount val="1"/>
                <c:pt idx="0">
                  <c:v>ТФП, п.п.</c:v>
                </c:pt>
              </c:strCache>
            </c:strRef>
          </c:tx>
          <c:spPr>
            <a:solidFill>
              <a:srgbClr val="51BBE7"/>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BDP'!$F$10:$F$15</c:f>
              <c:numCache>
                <c:formatCode>0.0</c:formatCode>
                <c:ptCount val="6"/>
                <c:pt idx="0">
                  <c:v>0.59999999999999964</c:v>
                </c:pt>
                <c:pt idx="1">
                  <c:v>1.2574485262751778</c:v>
                </c:pt>
                <c:pt idx="2">
                  <c:v>1.5999999999999996</c:v>
                </c:pt>
                <c:pt idx="3">
                  <c:v>1.8900628612250541</c:v>
                </c:pt>
                <c:pt idx="4">
                  <c:v>2.127830497754569</c:v>
                </c:pt>
                <c:pt idx="5">
                  <c:v>2.2220570166496696</c:v>
                </c:pt>
              </c:numCache>
            </c:numRef>
          </c:val>
          <c:extLst>
            <c:ext xmlns:c16="http://schemas.microsoft.com/office/drawing/2014/chart" uri="{C3380CC4-5D6E-409C-BE32-E72D297353CC}">
              <c16:uniqueId val="{00000002-0A0B-44B1-84D2-BD699B7AC18F}"/>
            </c:ext>
          </c:extLst>
        </c:ser>
        <c:dLbls>
          <c:showLegendKey val="0"/>
          <c:showVal val="0"/>
          <c:showCatName val="0"/>
          <c:showSerName val="0"/>
          <c:showPercent val="0"/>
          <c:showBubbleSize val="0"/>
        </c:dLbls>
        <c:gapWidth val="60"/>
        <c:overlap val="100"/>
        <c:axId val="-422389936"/>
        <c:axId val="-722083344"/>
      </c:barChart>
      <c:lineChart>
        <c:grouping val="standard"/>
        <c:varyColors val="0"/>
        <c:ser>
          <c:idx val="0"/>
          <c:order val="0"/>
          <c:tx>
            <c:strRef>
              <c:f>'nepoljoprivredni BDP'!$C$5</c:f>
              <c:strCache>
                <c:ptCount val="1"/>
                <c:pt idx="0">
                  <c:v>Раст потенцијалног БДП,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BDP'!$C$10:$C$15</c:f>
              <c:numCache>
                <c:formatCode>0.0</c:formatCode>
                <c:ptCount val="6"/>
                <c:pt idx="0">
                  <c:v>3.3</c:v>
                </c:pt>
                <c:pt idx="1">
                  <c:v>3.6</c:v>
                </c:pt>
                <c:pt idx="2">
                  <c:v>4.0999999999999996</c:v>
                </c:pt>
                <c:pt idx="3">
                  <c:v>4.5</c:v>
                </c:pt>
                <c:pt idx="4">
                  <c:v>4.8</c:v>
                </c:pt>
                <c:pt idx="5">
                  <c:v>5</c:v>
                </c:pt>
              </c:numCache>
            </c:numRef>
          </c:val>
          <c:smooth val="0"/>
          <c:extLst>
            <c:ext xmlns:c16="http://schemas.microsoft.com/office/drawing/2014/chart" uri="{C3380CC4-5D6E-409C-BE32-E72D297353CC}">
              <c16:uniqueId val="{00000003-0A0B-44B1-84D2-BD699B7AC18F}"/>
            </c:ext>
          </c:extLst>
        </c:ser>
        <c:dLbls>
          <c:showLegendKey val="0"/>
          <c:showVal val="0"/>
          <c:showCatName val="0"/>
          <c:showSerName val="0"/>
          <c:showPercent val="0"/>
          <c:showBubbleSize val="0"/>
        </c:dLbls>
        <c:marker val="1"/>
        <c:smooth val="0"/>
        <c:axId val="-422389936"/>
        <c:axId val="-722083344"/>
      </c:lineChart>
      <c:catAx>
        <c:axId val="-42238993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2083344"/>
        <c:crossesAt val="0"/>
        <c:auto val="1"/>
        <c:lblAlgn val="ctr"/>
        <c:lblOffset val="100"/>
        <c:noMultiLvlLbl val="0"/>
      </c:catAx>
      <c:valAx>
        <c:axId val="-722083344"/>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9936"/>
        <c:crosses val="autoZero"/>
        <c:crossBetween val="between"/>
        <c:majorUnit val="1"/>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17259528330458E-2"/>
          <c:y val="6.7551982074010614E-2"/>
          <c:w val="0.91156548094333911"/>
          <c:h val="0.82429264255212753"/>
        </c:manualLayout>
      </c:layout>
      <c:areaChart>
        <c:grouping val="stacked"/>
        <c:varyColors val="0"/>
        <c:ser>
          <c:idx val="0"/>
          <c:order val="1"/>
          <c:tx>
            <c:strRef>
              <c:f>'fan chart srbija'!$G$4</c:f>
              <c:strCache>
                <c:ptCount val="1"/>
                <c:pt idx="0">
                  <c:v>dno</c:v>
                </c:pt>
              </c:strCache>
            </c:strRef>
          </c:tx>
          <c:spPr>
            <a:noFill/>
          </c:spPr>
          <c:cat>
            <c:strRef>
              <c:f>'fan chart srbija'!$E$7:$E$13</c:f>
              <c:strCache>
                <c:ptCount val="7"/>
                <c:pt idx="0">
                  <c:v>2018</c:v>
                </c:pt>
                <c:pt idx="1">
                  <c:v>2019</c:v>
                </c:pt>
                <c:pt idx="2">
                  <c:v>2020</c:v>
                </c:pt>
                <c:pt idx="3">
                  <c:v>2021</c:v>
                </c:pt>
                <c:pt idx="4">
                  <c:v>2022</c:v>
                </c:pt>
                <c:pt idx="5">
                  <c:v>2023</c:v>
                </c:pt>
                <c:pt idx="6">
                  <c:v>2024</c:v>
                </c:pt>
              </c:strCache>
            </c:strRef>
          </c:cat>
          <c:val>
            <c:numRef>
              <c:f>'fan chart srbija'!$G$7:$G$13</c:f>
              <c:numCache>
                <c:formatCode>0.0</c:formatCode>
                <c:ptCount val="7"/>
                <c:pt idx="0">
                  <c:v>4.5</c:v>
                </c:pt>
                <c:pt idx="1">
                  <c:v>4.3</c:v>
                </c:pt>
                <c:pt idx="2">
                  <c:v>-0.9</c:v>
                </c:pt>
                <c:pt idx="3">
                  <c:v>5.5</c:v>
                </c:pt>
                <c:pt idx="4">
                  <c:v>2.5</c:v>
                </c:pt>
                <c:pt idx="5">
                  <c:v>2.5</c:v>
                </c:pt>
                <c:pt idx="6">
                  <c:v>3</c:v>
                </c:pt>
              </c:numCache>
            </c:numRef>
          </c:val>
          <c:extLst>
            <c:ext xmlns:c16="http://schemas.microsoft.com/office/drawing/2014/chart" uri="{C3380CC4-5D6E-409C-BE32-E72D297353CC}">
              <c16:uniqueId val="{00000000-4858-4191-87FA-DB01DE8E7A7C}"/>
            </c:ext>
          </c:extLst>
        </c:ser>
        <c:ser>
          <c:idx val="2"/>
          <c:order val="2"/>
          <c:tx>
            <c:strRef>
              <c:f>'fan chart srbija'!$H$4</c:f>
              <c:strCache>
                <c:ptCount val="1"/>
                <c:pt idx="0">
                  <c:v>90</c:v>
                </c:pt>
              </c:strCache>
            </c:strRef>
          </c:tx>
          <c:spPr>
            <a:solidFill>
              <a:srgbClr val="FFF1F1"/>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srbija'!$H$7:$H$13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01-4858-4191-87FA-DB01DE8E7A7C}"/>
            </c:ext>
          </c:extLst>
        </c:ser>
        <c:ser>
          <c:idx val="3"/>
          <c:order val="3"/>
          <c:tx>
            <c:strRef>
              <c:f>'fan chart srbija'!$I$4</c:f>
              <c:strCache>
                <c:ptCount val="1"/>
                <c:pt idx="0">
                  <c:v>80</c:v>
                </c:pt>
              </c:strCache>
            </c:strRef>
          </c:tx>
          <c:spPr>
            <a:solidFill>
              <a:srgbClr val="FFD5D5"/>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srbija'!$I$7:$I$13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02-4858-4191-87FA-DB01DE8E7A7C}"/>
            </c:ext>
          </c:extLst>
        </c:ser>
        <c:ser>
          <c:idx val="4"/>
          <c:order val="4"/>
          <c:tx>
            <c:strRef>
              <c:f>'fan chart srbija'!$J$4</c:f>
              <c:strCache>
                <c:ptCount val="1"/>
                <c:pt idx="0">
                  <c:v>70</c:v>
                </c:pt>
              </c:strCache>
            </c:strRef>
          </c:tx>
          <c:spPr>
            <a:solidFill>
              <a:srgbClr val="FFAFAF"/>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srbija'!$J$7:$J$13</c:f>
              <c:numCache>
                <c:formatCode>0.0</c:formatCode>
                <c:ptCount val="7"/>
                <c:pt idx="0">
                  <c:v>0</c:v>
                </c:pt>
                <c:pt idx="1">
                  <c:v>0</c:v>
                </c:pt>
                <c:pt idx="2">
                  <c:v>0</c:v>
                </c:pt>
                <c:pt idx="3">
                  <c:v>0.2</c:v>
                </c:pt>
                <c:pt idx="4">
                  <c:v>0.2</c:v>
                </c:pt>
                <c:pt idx="5">
                  <c:v>0.5</c:v>
                </c:pt>
                <c:pt idx="6">
                  <c:v>0.4</c:v>
                </c:pt>
              </c:numCache>
            </c:numRef>
          </c:val>
          <c:extLst>
            <c:ext xmlns:c16="http://schemas.microsoft.com/office/drawing/2014/chart" uri="{C3380CC4-5D6E-409C-BE32-E72D297353CC}">
              <c16:uniqueId val="{00000003-4858-4191-87FA-DB01DE8E7A7C}"/>
            </c:ext>
          </c:extLst>
        </c:ser>
        <c:ser>
          <c:idx val="5"/>
          <c:order val="5"/>
          <c:tx>
            <c:strRef>
              <c:f>'fan chart srbija'!$K$4</c:f>
              <c:strCache>
                <c:ptCount val="1"/>
                <c:pt idx="0">
                  <c:v>60</c:v>
                </c:pt>
              </c:strCache>
            </c:strRef>
          </c:tx>
          <c:spPr>
            <a:solidFill>
              <a:srgbClr val="FF7D7D"/>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srbija'!$K$7:$K$13</c:f>
              <c:numCache>
                <c:formatCode>0.0</c:formatCode>
                <c:ptCount val="7"/>
                <c:pt idx="0">
                  <c:v>0</c:v>
                </c:pt>
                <c:pt idx="1">
                  <c:v>0</c:v>
                </c:pt>
                <c:pt idx="2">
                  <c:v>0</c:v>
                </c:pt>
                <c:pt idx="3">
                  <c:v>0.2</c:v>
                </c:pt>
                <c:pt idx="4">
                  <c:v>0.2</c:v>
                </c:pt>
                <c:pt idx="5">
                  <c:v>0.2</c:v>
                </c:pt>
                <c:pt idx="6">
                  <c:v>0.1</c:v>
                </c:pt>
              </c:numCache>
            </c:numRef>
          </c:val>
          <c:extLst>
            <c:ext xmlns:c16="http://schemas.microsoft.com/office/drawing/2014/chart" uri="{C3380CC4-5D6E-409C-BE32-E72D297353CC}">
              <c16:uniqueId val="{00000004-4858-4191-87FA-DB01DE8E7A7C}"/>
            </c:ext>
          </c:extLst>
        </c:ser>
        <c:ser>
          <c:idx val="6"/>
          <c:order val="6"/>
          <c:tx>
            <c:strRef>
              <c:f>'fan chart srbija'!$L$4</c:f>
              <c:strCache>
                <c:ptCount val="1"/>
                <c:pt idx="0">
                  <c:v>50</c:v>
                </c:pt>
              </c:strCache>
            </c:strRef>
          </c:tx>
          <c:spPr>
            <a:solidFill>
              <a:srgbClr val="FF4747"/>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srbija'!$L$7:$L$13</c:f>
              <c:numCache>
                <c:formatCode>0.0</c:formatCode>
                <c:ptCount val="7"/>
                <c:pt idx="0">
                  <c:v>0</c:v>
                </c:pt>
                <c:pt idx="1">
                  <c:v>0</c:v>
                </c:pt>
                <c:pt idx="2">
                  <c:v>0</c:v>
                </c:pt>
                <c:pt idx="3">
                  <c:v>0.2</c:v>
                </c:pt>
                <c:pt idx="4">
                  <c:v>0.1</c:v>
                </c:pt>
                <c:pt idx="5">
                  <c:v>0.1</c:v>
                </c:pt>
                <c:pt idx="6">
                  <c:v>0.1</c:v>
                </c:pt>
              </c:numCache>
            </c:numRef>
          </c:val>
          <c:extLst>
            <c:ext xmlns:c16="http://schemas.microsoft.com/office/drawing/2014/chart" uri="{C3380CC4-5D6E-409C-BE32-E72D297353CC}">
              <c16:uniqueId val="{00000005-4858-4191-87FA-DB01DE8E7A7C}"/>
            </c:ext>
          </c:extLst>
        </c:ser>
        <c:ser>
          <c:idx val="7"/>
          <c:order val="7"/>
          <c:tx>
            <c:strRef>
              <c:f>'fan chart srbija'!$M$4</c:f>
              <c:strCache>
                <c:ptCount val="1"/>
                <c:pt idx="0">
                  <c:v>40</c:v>
                </c:pt>
              </c:strCache>
            </c:strRef>
          </c:tx>
          <c:spPr>
            <a:solidFill>
              <a:srgbClr val="C0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srbija'!$M$7:$M$13</c:f>
              <c:numCache>
                <c:formatCode>0.0</c:formatCode>
                <c:ptCount val="7"/>
                <c:pt idx="0">
                  <c:v>0</c:v>
                </c:pt>
                <c:pt idx="1">
                  <c:v>0</c:v>
                </c:pt>
                <c:pt idx="2">
                  <c:v>0</c:v>
                </c:pt>
                <c:pt idx="3">
                  <c:v>0.2</c:v>
                </c:pt>
                <c:pt idx="4">
                  <c:v>0.1</c:v>
                </c:pt>
                <c:pt idx="5">
                  <c:v>0.1</c:v>
                </c:pt>
                <c:pt idx="6">
                  <c:v>0.1</c:v>
                </c:pt>
              </c:numCache>
            </c:numRef>
          </c:val>
          <c:extLst>
            <c:ext xmlns:c16="http://schemas.microsoft.com/office/drawing/2014/chart" uri="{C3380CC4-5D6E-409C-BE32-E72D297353CC}">
              <c16:uniqueId val="{00000006-4858-4191-87FA-DB01DE8E7A7C}"/>
            </c:ext>
          </c:extLst>
        </c:ser>
        <c:ser>
          <c:idx val="8"/>
          <c:order val="8"/>
          <c:tx>
            <c:strRef>
              <c:f>'fan chart srbija'!$N$4</c:f>
              <c:strCache>
                <c:ptCount val="1"/>
                <c:pt idx="0">
                  <c:v>30</c:v>
                </c:pt>
              </c:strCache>
            </c:strRef>
          </c:tx>
          <c:spPr>
            <a:solidFill>
              <a:srgbClr val="7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srbija'!$N$7:$N$13</c:f>
              <c:numCache>
                <c:formatCode>0.0</c:formatCode>
                <c:ptCount val="7"/>
                <c:pt idx="0">
                  <c:v>0</c:v>
                </c:pt>
                <c:pt idx="1">
                  <c:v>0</c:v>
                </c:pt>
                <c:pt idx="2">
                  <c:v>0</c:v>
                </c:pt>
                <c:pt idx="3">
                  <c:v>0.1</c:v>
                </c:pt>
                <c:pt idx="4">
                  <c:v>0.14755070574747364</c:v>
                </c:pt>
                <c:pt idx="5">
                  <c:v>0.14755070574747364</c:v>
                </c:pt>
                <c:pt idx="6">
                  <c:v>0.1</c:v>
                </c:pt>
              </c:numCache>
            </c:numRef>
          </c:val>
          <c:extLst>
            <c:ext xmlns:c16="http://schemas.microsoft.com/office/drawing/2014/chart" uri="{C3380CC4-5D6E-409C-BE32-E72D297353CC}">
              <c16:uniqueId val="{00000007-4858-4191-87FA-DB01DE8E7A7C}"/>
            </c:ext>
          </c:extLst>
        </c:ser>
        <c:ser>
          <c:idx val="9"/>
          <c:order val="9"/>
          <c:tx>
            <c:strRef>
              <c:f>'fan chart srbija'!$O$4</c:f>
              <c:strCache>
                <c:ptCount val="1"/>
                <c:pt idx="0">
                  <c:v>20</c:v>
                </c:pt>
              </c:strCache>
            </c:strRef>
          </c:tx>
          <c:spPr>
            <a:solidFill>
              <a:srgbClr val="46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srbija'!$O$7:$O$13</c:f>
              <c:numCache>
                <c:formatCode>0.0</c:formatCode>
                <c:ptCount val="7"/>
                <c:pt idx="0">
                  <c:v>0</c:v>
                </c:pt>
                <c:pt idx="1">
                  <c:v>0</c:v>
                </c:pt>
                <c:pt idx="2">
                  <c:v>0</c:v>
                </c:pt>
                <c:pt idx="3">
                  <c:v>0.1</c:v>
                </c:pt>
                <c:pt idx="4">
                  <c:v>0.14275701540108665</c:v>
                </c:pt>
                <c:pt idx="5">
                  <c:v>0.14275701540108665</c:v>
                </c:pt>
                <c:pt idx="6">
                  <c:v>0.1</c:v>
                </c:pt>
              </c:numCache>
            </c:numRef>
          </c:val>
          <c:extLst>
            <c:ext xmlns:c16="http://schemas.microsoft.com/office/drawing/2014/chart" uri="{C3380CC4-5D6E-409C-BE32-E72D297353CC}">
              <c16:uniqueId val="{00000008-4858-4191-87FA-DB01DE8E7A7C}"/>
            </c:ext>
          </c:extLst>
        </c:ser>
        <c:ser>
          <c:idx val="10"/>
          <c:order val="10"/>
          <c:tx>
            <c:strRef>
              <c:f>'fan chart srbija'!$P$4</c:f>
              <c:strCache>
                <c:ptCount val="1"/>
                <c:pt idx="0">
                  <c:v>10</c:v>
                </c:pt>
              </c:strCache>
            </c:strRef>
          </c:tx>
          <c:spPr>
            <a:solidFill>
              <a:srgbClr val="1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srbija'!$P$7:$P$13</c:f>
              <c:numCache>
                <c:formatCode>0.0</c:formatCode>
                <c:ptCount val="7"/>
                <c:pt idx="0">
                  <c:v>0</c:v>
                </c:pt>
                <c:pt idx="1">
                  <c:v>0</c:v>
                </c:pt>
                <c:pt idx="2">
                  <c:v>0</c:v>
                </c:pt>
                <c:pt idx="3">
                  <c:v>0.1</c:v>
                </c:pt>
                <c:pt idx="4">
                  <c:v>0.14049365685606263</c:v>
                </c:pt>
                <c:pt idx="5">
                  <c:v>0.14049365685606263</c:v>
                </c:pt>
                <c:pt idx="6">
                  <c:v>0.1</c:v>
                </c:pt>
              </c:numCache>
            </c:numRef>
          </c:val>
          <c:extLst>
            <c:ext xmlns:c16="http://schemas.microsoft.com/office/drawing/2014/chart" uri="{C3380CC4-5D6E-409C-BE32-E72D297353CC}">
              <c16:uniqueId val="{00000009-4858-4191-87FA-DB01DE8E7A7C}"/>
            </c:ext>
          </c:extLst>
        </c:ser>
        <c:ser>
          <c:idx val="11"/>
          <c:order val="11"/>
          <c:tx>
            <c:strRef>
              <c:f>'fan chart srbija'!$Q$4</c:f>
              <c:strCache>
                <c:ptCount val="1"/>
                <c:pt idx="0">
                  <c:v>10</c:v>
                </c:pt>
              </c:strCache>
            </c:strRef>
          </c:tx>
          <c:spPr>
            <a:solidFill>
              <a:srgbClr val="1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srbija'!$Q$7:$Q$13</c:f>
              <c:numCache>
                <c:formatCode>0.0</c:formatCode>
                <c:ptCount val="7"/>
                <c:pt idx="0">
                  <c:v>0</c:v>
                </c:pt>
                <c:pt idx="1">
                  <c:v>0</c:v>
                </c:pt>
                <c:pt idx="2">
                  <c:v>0</c:v>
                </c:pt>
                <c:pt idx="3">
                  <c:v>0</c:v>
                </c:pt>
                <c:pt idx="4">
                  <c:v>0.14049365685606263</c:v>
                </c:pt>
                <c:pt idx="5">
                  <c:v>0.1</c:v>
                </c:pt>
                <c:pt idx="6">
                  <c:v>0.1</c:v>
                </c:pt>
              </c:numCache>
            </c:numRef>
          </c:val>
          <c:extLst>
            <c:ext xmlns:c16="http://schemas.microsoft.com/office/drawing/2014/chart" uri="{C3380CC4-5D6E-409C-BE32-E72D297353CC}">
              <c16:uniqueId val="{0000000A-4858-4191-87FA-DB01DE8E7A7C}"/>
            </c:ext>
          </c:extLst>
        </c:ser>
        <c:ser>
          <c:idx val="12"/>
          <c:order val="12"/>
          <c:tx>
            <c:strRef>
              <c:f>'fan chart srbija'!$R$4</c:f>
              <c:strCache>
                <c:ptCount val="1"/>
                <c:pt idx="0">
                  <c:v>20</c:v>
                </c:pt>
              </c:strCache>
            </c:strRef>
          </c:tx>
          <c:spPr>
            <a:solidFill>
              <a:srgbClr val="46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srbija'!$R$7:$R$13</c:f>
              <c:numCache>
                <c:formatCode>0.0</c:formatCode>
                <c:ptCount val="7"/>
                <c:pt idx="0">
                  <c:v>0</c:v>
                </c:pt>
                <c:pt idx="1">
                  <c:v>0</c:v>
                </c:pt>
                <c:pt idx="2">
                  <c:v>0</c:v>
                </c:pt>
                <c:pt idx="3">
                  <c:v>0</c:v>
                </c:pt>
                <c:pt idx="4">
                  <c:v>0.14049365685606263</c:v>
                </c:pt>
                <c:pt idx="5">
                  <c:v>0.1</c:v>
                </c:pt>
                <c:pt idx="6">
                  <c:v>0.1</c:v>
                </c:pt>
              </c:numCache>
            </c:numRef>
          </c:val>
          <c:extLst>
            <c:ext xmlns:c16="http://schemas.microsoft.com/office/drawing/2014/chart" uri="{C3380CC4-5D6E-409C-BE32-E72D297353CC}">
              <c16:uniqueId val="{0000000B-4858-4191-87FA-DB01DE8E7A7C}"/>
            </c:ext>
          </c:extLst>
        </c:ser>
        <c:ser>
          <c:idx val="13"/>
          <c:order val="13"/>
          <c:tx>
            <c:strRef>
              <c:f>'fan chart srbija'!$S$4</c:f>
              <c:strCache>
                <c:ptCount val="1"/>
                <c:pt idx="0">
                  <c:v>30</c:v>
                </c:pt>
              </c:strCache>
            </c:strRef>
          </c:tx>
          <c:spPr>
            <a:solidFill>
              <a:srgbClr val="7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srbija'!$S$7:$S$13</c:f>
              <c:numCache>
                <c:formatCode>0.0</c:formatCode>
                <c:ptCount val="7"/>
                <c:pt idx="0">
                  <c:v>0</c:v>
                </c:pt>
                <c:pt idx="1">
                  <c:v>0</c:v>
                </c:pt>
                <c:pt idx="2">
                  <c:v>0</c:v>
                </c:pt>
                <c:pt idx="3">
                  <c:v>0</c:v>
                </c:pt>
                <c:pt idx="4">
                  <c:v>0.14049365685606263</c:v>
                </c:pt>
                <c:pt idx="5">
                  <c:v>0.1</c:v>
                </c:pt>
                <c:pt idx="6">
                  <c:v>0.1</c:v>
                </c:pt>
              </c:numCache>
            </c:numRef>
          </c:val>
          <c:extLst>
            <c:ext xmlns:c16="http://schemas.microsoft.com/office/drawing/2014/chart" uri="{C3380CC4-5D6E-409C-BE32-E72D297353CC}">
              <c16:uniqueId val="{0000000C-4858-4191-87FA-DB01DE8E7A7C}"/>
            </c:ext>
          </c:extLst>
        </c:ser>
        <c:ser>
          <c:idx val="14"/>
          <c:order val="14"/>
          <c:tx>
            <c:strRef>
              <c:f>'fan chart srbija'!$T$4</c:f>
              <c:strCache>
                <c:ptCount val="1"/>
                <c:pt idx="0">
                  <c:v>40</c:v>
                </c:pt>
              </c:strCache>
            </c:strRef>
          </c:tx>
          <c:spPr>
            <a:solidFill>
              <a:srgbClr val="C0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srbija'!$T$7:$T$13</c:f>
              <c:numCache>
                <c:formatCode>0.0</c:formatCode>
                <c:ptCount val="7"/>
                <c:pt idx="0">
                  <c:v>0</c:v>
                </c:pt>
                <c:pt idx="1">
                  <c:v>0</c:v>
                </c:pt>
                <c:pt idx="2">
                  <c:v>0</c:v>
                </c:pt>
                <c:pt idx="3">
                  <c:v>0</c:v>
                </c:pt>
                <c:pt idx="4">
                  <c:v>0.1</c:v>
                </c:pt>
                <c:pt idx="5">
                  <c:v>0.1</c:v>
                </c:pt>
                <c:pt idx="6">
                  <c:v>0.1</c:v>
                </c:pt>
              </c:numCache>
            </c:numRef>
          </c:val>
          <c:extLst>
            <c:ext xmlns:c16="http://schemas.microsoft.com/office/drawing/2014/chart" uri="{C3380CC4-5D6E-409C-BE32-E72D297353CC}">
              <c16:uniqueId val="{0000000D-4858-4191-87FA-DB01DE8E7A7C}"/>
            </c:ext>
          </c:extLst>
        </c:ser>
        <c:ser>
          <c:idx val="15"/>
          <c:order val="15"/>
          <c:tx>
            <c:strRef>
              <c:f>'fan chart srbija'!$U$4</c:f>
              <c:strCache>
                <c:ptCount val="1"/>
                <c:pt idx="0">
                  <c:v>50</c:v>
                </c:pt>
              </c:strCache>
            </c:strRef>
          </c:tx>
          <c:spPr>
            <a:solidFill>
              <a:srgbClr val="FF4747"/>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srbija'!$U$7:$U$13</c:f>
              <c:numCache>
                <c:formatCode>0.0</c:formatCode>
                <c:ptCount val="7"/>
                <c:pt idx="0">
                  <c:v>0</c:v>
                </c:pt>
                <c:pt idx="1">
                  <c:v>0</c:v>
                </c:pt>
                <c:pt idx="2">
                  <c:v>0</c:v>
                </c:pt>
                <c:pt idx="3">
                  <c:v>0.2</c:v>
                </c:pt>
                <c:pt idx="4">
                  <c:v>0.2</c:v>
                </c:pt>
                <c:pt idx="5">
                  <c:v>0.1</c:v>
                </c:pt>
                <c:pt idx="6">
                  <c:v>0.1</c:v>
                </c:pt>
              </c:numCache>
            </c:numRef>
          </c:val>
          <c:extLst>
            <c:ext xmlns:c16="http://schemas.microsoft.com/office/drawing/2014/chart" uri="{C3380CC4-5D6E-409C-BE32-E72D297353CC}">
              <c16:uniqueId val="{0000000E-4858-4191-87FA-DB01DE8E7A7C}"/>
            </c:ext>
          </c:extLst>
        </c:ser>
        <c:ser>
          <c:idx val="16"/>
          <c:order val="16"/>
          <c:tx>
            <c:strRef>
              <c:f>'fan chart srbija'!$V$4</c:f>
              <c:strCache>
                <c:ptCount val="1"/>
                <c:pt idx="0">
                  <c:v>60</c:v>
                </c:pt>
              </c:strCache>
            </c:strRef>
          </c:tx>
          <c:spPr>
            <a:solidFill>
              <a:srgbClr val="FF7D7D"/>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srbija'!$V$7:$V$13</c:f>
              <c:numCache>
                <c:formatCode>0.0</c:formatCode>
                <c:ptCount val="7"/>
                <c:pt idx="0">
                  <c:v>0</c:v>
                </c:pt>
                <c:pt idx="1">
                  <c:v>0</c:v>
                </c:pt>
                <c:pt idx="2">
                  <c:v>0</c:v>
                </c:pt>
                <c:pt idx="3">
                  <c:v>0.2</c:v>
                </c:pt>
                <c:pt idx="4">
                  <c:v>0.2</c:v>
                </c:pt>
                <c:pt idx="5">
                  <c:v>0.1</c:v>
                </c:pt>
                <c:pt idx="6">
                  <c:v>0.1</c:v>
                </c:pt>
              </c:numCache>
            </c:numRef>
          </c:val>
          <c:extLst>
            <c:ext xmlns:c16="http://schemas.microsoft.com/office/drawing/2014/chart" uri="{C3380CC4-5D6E-409C-BE32-E72D297353CC}">
              <c16:uniqueId val="{0000000F-4858-4191-87FA-DB01DE8E7A7C}"/>
            </c:ext>
          </c:extLst>
        </c:ser>
        <c:ser>
          <c:idx val="17"/>
          <c:order val="17"/>
          <c:tx>
            <c:strRef>
              <c:f>'fan chart srbija'!$W$4</c:f>
              <c:strCache>
                <c:ptCount val="1"/>
                <c:pt idx="0">
                  <c:v>70</c:v>
                </c:pt>
              </c:strCache>
            </c:strRef>
          </c:tx>
          <c:spPr>
            <a:solidFill>
              <a:srgbClr val="FFAFAF"/>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srbija'!$W$7:$W$13</c:f>
              <c:numCache>
                <c:formatCode>0.0</c:formatCode>
                <c:ptCount val="7"/>
                <c:pt idx="0">
                  <c:v>0</c:v>
                </c:pt>
                <c:pt idx="1">
                  <c:v>0</c:v>
                </c:pt>
                <c:pt idx="2">
                  <c:v>0</c:v>
                </c:pt>
                <c:pt idx="3">
                  <c:v>0.2</c:v>
                </c:pt>
                <c:pt idx="4">
                  <c:v>0.2</c:v>
                </c:pt>
                <c:pt idx="5">
                  <c:v>0.1</c:v>
                </c:pt>
                <c:pt idx="6">
                  <c:v>0.4</c:v>
                </c:pt>
              </c:numCache>
            </c:numRef>
          </c:val>
          <c:extLst>
            <c:ext xmlns:c16="http://schemas.microsoft.com/office/drawing/2014/chart" uri="{C3380CC4-5D6E-409C-BE32-E72D297353CC}">
              <c16:uniqueId val="{00000010-4858-4191-87FA-DB01DE8E7A7C}"/>
            </c:ext>
          </c:extLst>
        </c:ser>
        <c:ser>
          <c:idx val="18"/>
          <c:order val="18"/>
          <c:tx>
            <c:strRef>
              <c:f>'fan chart srbija'!$X$4</c:f>
              <c:strCache>
                <c:ptCount val="1"/>
                <c:pt idx="0">
                  <c:v>80</c:v>
                </c:pt>
              </c:strCache>
            </c:strRef>
          </c:tx>
          <c:spPr>
            <a:solidFill>
              <a:srgbClr val="FFD5D5"/>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srbija'!$X$7:$X$13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11-4858-4191-87FA-DB01DE8E7A7C}"/>
            </c:ext>
          </c:extLst>
        </c:ser>
        <c:ser>
          <c:idx val="19"/>
          <c:order val="19"/>
          <c:tx>
            <c:strRef>
              <c:f>'fan chart srbija'!$Y$4</c:f>
              <c:strCache>
                <c:ptCount val="1"/>
                <c:pt idx="0">
                  <c:v>90</c:v>
                </c:pt>
              </c:strCache>
            </c:strRef>
          </c:tx>
          <c:spPr>
            <a:solidFill>
              <a:srgbClr val="FFF1F1"/>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srbija'!$Y$7:$Y$13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12-4858-4191-87FA-DB01DE8E7A7C}"/>
            </c:ext>
          </c:extLst>
        </c:ser>
        <c:dLbls>
          <c:showLegendKey val="0"/>
          <c:showVal val="0"/>
          <c:showCatName val="0"/>
          <c:showSerName val="0"/>
          <c:showPercent val="0"/>
          <c:showBubbleSize val="0"/>
        </c:dLbls>
        <c:axId val="-722083904"/>
        <c:axId val="-504196048"/>
      </c:areaChart>
      <c:lineChart>
        <c:grouping val="standard"/>
        <c:varyColors val="0"/>
        <c:ser>
          <c:idx val="1"/>
          <c:order val="0"/>
          <c:tx>
            <c:strRef>
              <c:f>'fan chart srbija'!$F$4</c:f>
              <c:strCache>
                <c:ptCount val="1"/>
                <c:pt idx="0">
                  <c:v>srednja</c:v>
                </c:pt>
              </c:strCache>
            </c:strRef>
          </c:tx>
          <c:spPr>
            <a:ln w="19050">
              <a:solidFill>
                <a:sysClr val="windowText" lastClr="000000"/>
              </a:solidFill>
            </a:ln>
          </c:spPr>
          <c:marker>
            <c:symbol val="none"/>
          </c:marker>
          <c:cat>
            <c:strRef>
              <c:f>'fan chart srbija'!$E$7:$E$13</c:f>
              <c:strCache>
                <c:ptCount val="7"/>
                <c:pt idx="0">
                  <c:v>2018</c:v>
                </c:pt>
                <c:pt idx="1">
                  <c:v>2019</c:v>
                </c:pt>
                <c:pt idx="2">
                  <c:v>2020</c:v>
                </c:pt>
                <c:pt idx="3">
                  <c:v>2021</c:v>
                </c:pt>
                <c:pt idx="4">
                  <c:v>2022</c:v>
                </c:pt>
                <c:pt idx="5">
                  <c:v>2023</c:v>
                </c:pt>
                <c:pt idx="6">
                  <c:v>2024</c:v>
                </c:pt>
              </c:strCache>
            </c:strRef>
          </c:cat>
          <c:val>
            <c:numRef>
              <c:f>'fan chart srbija'!$F$7:$F$13</c:f>
              <c:numCache>
                <c:formatCode>0.0</c:formatCode>
                <c:ptCount val="7"/>
                <c:pt idx="0">
                  <c:v>4.5</c:v>
                </c:pt>
                <c:pt idx="1">
                  <c:v>4.3</c:v>
                </c:pt>
                <c:pt idx="2">
                  <c:v>-0.9</c:v>
                </c:pt>
                <c:pt idx="3">
                  <c:v>7</c:v>
                </c:pt>
                <c:pt idx="4">
                  <c:v>4.5</c:v>
                </c:pt>
                <c:pt idx="5">
                  <c:v>5</c:v>
                </c:pt>
                <c:pt idx="6">
                  <c:v>5</c:v>
                </c:pt>
              </c:numCache>
            </c:numRef>
          </c:val>
          <c:smooth val="0"/>
          <c:extLst>
            <c:ext xmlns:c16="http://schemas.microsoft.com/office/drawing/2014/chart" uri="{C3380CC4-5D6E-409C-BE32-E72D297353CC}">
              <c16:uniqueId val="{00000013-4858-4191-87FA-DB01DE8E7A7C}"/>
            </c:ext>
          </c:extLst>
        </c:ser>
        <c:dLbls>
          <c:showLegendKey val="0"/>
          <c:showVal val="0"/>
          <c:showCatName val="0"/>
          <c:showSerName val="0"/>
          <c:showPercent val="0"/>
          <c:showBubbleSize val="0"/>
        </c:dLbls>
        <c:marker val="1"/>
        <c:smooth val="0"/>
        <c:axId val="-722083904"/>
        <c:axId val="-504196048"/>
      </c:lineChart>
      <c:catAx>
        <c:axId val="-722083904"/>
        <c:scaling>
          <c:orientation val="minMax"/>
        </c:scaling>
        <c:delete val="0"/>
        <c:axPos val="b"/>
        <c:numFmt formatCode="General" sourceLinked="1"/>
        <c:majorTickMark val="none"/>
        <c:minorTickMark val="none"/>
        <c:tickLblPos val="low"/>
        <c:spPr>
          <a:ln w="6350">
            <a:solidFill>
              <a:srgbClr val="898989"/>
            </a:solidFill>
          </a:ln>
        </c:spPr>
        <c:txPr>
          <a:bodyPr rot="0" vert="horz"/>
          <a:lstStyle/>
          <a:p>
            <a:pPr>
              <a:defRPr/>
            </a:pPr>
            <a:endParaRPr lang="en-US"/>
          </a:p>
        </c:txPr>
        <c:crossAx val="-504196048"/>
        <c:crosses val="autoZero"/>
        <c:auto val="1"/>
        <c:lblAlgn val="ctr"/>
        <c:lblOffset val="100"/>
        <c:tickLblSkip val="1"/>
        <c:noMultiLvlLbl val="0"/>
      </c:catAx>
      <c:valAx>
        <c:axId val="-504196048"/>
        <c:scaling>
          <c:orientation val="minMax"/>
          <c:max val="9"/>
          <c:min val="-2"/>
        </c:scaling>
        <c:delete val="0"/>
        <c:axPos val="l"/>
        <c:numFmt formatCode="0" sourceLinked="0"/>
        <c:majorTickMark val="none"/>
        <c:minorTickMark val="none"/>
        <c:tickLblPos val="nextTo"/>
        <c:spPr>
          <a:ln w="12700">
            <a:noFill/>
          </a:ln>
        </c:spPr>
        <c:txPr>
          <a:bodyPr rot="0" vert="horz"/>
          <a:lstStyle/>
          <a:p>
            <a:pPr>
              <a:defRPr/>
            </a:pPr>
            <a:endParaRPr lang="en-US"/>
          </a:p>
        </c:txPr>
        <c:crossAx val="-722083904"/>
        <c:crosses val="autoZero"/>
        <c:crossBetween val="midCat"/>
        <c:majorUnit val="1"/>
      </c:valAx>
      <c:spPr>
        <a:noFill/>
        <a:ln>
          <a:noFill/>
        </a:ln>
      </c:spPr>
    </c:plotArea>
    <c:plotVisOnly val="1"/>
    <c:dispBlanksAs val="gap"/>
    <c:showDLblsOverMax val="0"/>
  </c:chart>
  <c:spPr>
    <a:noFill/>
    <a:ln w="9525">
      <a:noFill/>
    </a:ln>
  </c:spPr>
  <c:txPr>
    <a:bodyPr/>
    <a:lstStyle/>
    <a:p>
      <a:pPr>
        <a:defRPr sz="75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8435239489954"/>
          <c:y val="6.842061127661922E-2"/>
          <c:w val="0.858350771542297"/>
          <c:h val="0.89994549266247381"/>
        </c:manualLayout>
      </c:layout>
      <c:barChart>
        <c:barDir val="col"/>
        <c:grouping val="clustered"/>
        <c:varyColors val="0"/>
        <c:ser>
          <c:idx val="0"/>
          <c:order val="0"/>
          <c:tx>
            <c:v>Фискални резултат</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Yearly'!$CE$7:$CK$8</c:f>
              <c:strCache>
                <c:ptCount val="7"/>
                <c:pt idx="0">
                  <c:v>2015</c:v>
                </c:pt>
                <c:pt idx="1">
                  <c:v>2016</c:v>
                </c:pt>
                <c:pt idx="2">
                  <c:v>2017</c:v>
                </c:pt>
                <c:pt idx="3">
                  <c:v>2018</c:v>
                </c:pt>
                <c:pt idx="4">
                  <c:v>2019</c:v>
                </c:pt>
                <c:pt idx="5">
                  <c:v>2020</c:v>
                </c:pt>
                <c:pt idx="6">
                  <c:v>2021</c:v>
                </c:pt>
              </c:strCache>
            </c:strRef>
          </c:cat>
          <c:val>
            <c:numRef>
              <c:f>'Quaterly, Yearly'!$CE$78:$CK$78</c:f>
              <c:numCache>
                <c:formatCode>#,##0.00</c:formatCode>
                <c:ptCount val="7"/>
                <c:pt idx="0">
                  <c:v>-3.4561672728767112</c:v>
                </c:pt>
                <c:pt idx="1">
                  <c:v>-1.1926941660681765</c:v>
                </c:pt>
                <c:pt idx="2">
                  <c:v>1.0986349345465762</c:v>
                </c:pt>
                <c:pt idx="3">
                  <c:v>0.63523655395945411</c:v>
                </c:pt>
                <c:pt idx="4">
                  <c:v>-0.20497664525511922</c:v>
                </c:pt>
                <c:pt idx="5">
                  <c:v>-8.0474018723524452</c:v>
                </c:pt>
                <c:pt idx="6">
                  <c:v>-4.9000000000000004</c:v>
                </c:pt>
              </c:numCache>
            </c:numRef>
          </c:val>
          <c:extLst>
            <c:ext xmlns:c16="http://schemas.microsoft.com/office/drawing/2014/chart" uri="{C3380CC4-5D6E-409C-BE32-E72D297353CC}">
              <c16:uniqueId val="{00000000-7B63-4F1D-8530-D71FE9C1B2A3}"/>
            </c:ext>
          </c:extLst>
        </c:ser>
        <c:ser>
          <c:idx val="1"/>
          <c:order val="1"/>
          <c:tx>
            <c:v>Примарни фискални резултат</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63-4F1D-8530-D71FE9C1B2A3}"/>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63-4F1D-8530-D71FE9C1B2A3}"/>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63-4F1D-8530-D71FE9C1B2A3}"/>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63-4F1D-8530-D71FE9C1B2A3}"/>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63-4F1D-8530-D71FE9C1B2A3}"/>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63-4F1D-8530-D71FE9C1B2A3}"/>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63-4F1D-8530-D71FE9C1B2A3}"/>
                </c:ext>
              </c:extLst>
            </c:dLbl>
            <c:dLbl>
              <c:idx val="7"/>
              <c:layout>
                <c:manualLayout>
                  <c:x val="-2.9208525152033104E-2"/>
                  <c:y val="-1.971637882449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63-4F1D-8530-D71FE9C1B2A3}"/>
                </c:ext>
              </c:extLst>
            </c:dLbl>
            <c:dLbl>
              <c:idx val="8"/>
              <c:layout>
                <c:manualLayout>
                  <c:x val="-4.0694720170973364E-2"/>
                  <c:y val="-3.995603520029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63-4F1D-8530-D71FE9C1B2A3}"/>
                </c:ext>
              </c:extLst>
            </c:dLbl>
            <c:dLbl>
              <c:idx val="9"/>
              <c:layout>
                <c:manualLayout>
                  <c:x val="-4.7561598436538947E-2"/>
                  <c:y val="1.379986451696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63-4F1D-8530-D71FE9C1B2A3}"/>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63-4F1D-8530-D71FE9C1B2A3}"/>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63-4F1D-8530-D71FE9C1B2A3}"/>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Yearly'!$CE$7:$CK$8</c:f>
              <c:strCache>
                <c:ptCount val="7"/>
                <c:pt idx="0">
                  <c:v>2015</c:v>
                </c:pt>
                <c:pt idx="1">
                  <c:v>2016</c:v>
                </c:pt>
                <c:pt idx="2">
                  <c:v>2017</c:v>
                </c:pt>
                <c:pt idx="3">
                  <c:v>2018</c:v>
                </c:pt>
                <c:pt idx="4">
                  <c:v>2019</c:v>
                </c:pt>
                <c:pt idx="5">
                  <c:v>2020</c:v>
                </c:pt>
                <c:pt idx="6">
                  <c:v>2021</c:v>
                </c:pt>
              </c:strCache>
            </c:strRef>
          </c:cat>
          <c:val>
            <c:numRef>
              <c:f>'Quaterly, Yearly'!$CE$79:$CK$79</c:f>
              <c:numCache>
                <c:formatCode>#,##0.00</c:formatCode>
                <c:ptCount val="7"/>
                <c:pt idx="0">
                  <c:v>-0.47061316203530046</c:v>
                </c:pt>
                <c:pt idx="1">
                  <c:v>1.7045650732845505</c:v>
                </c:pt>
                <c:pt idx="2">
                  <c:v>3.634771068549187</c:v>
                </c:pt>
                <c:pt idx="3">
                  <c:v>2.7475533250713307</c:v>
                </c:pt>
                <c:pt idx="4">
                  <c:v>1.7916206652556272</c:v>
                </c:pt>
                <c:pt idx="5">
                  <c:v>-6.0455708124153222</c:v>
                </c:pt>
                <c:pt idx="6">
                  <c:v>-3.1</c:v>
                </c:pt>
              </c:numCache>
            </c:numRef>
          </c:val>
          <c:extLst>
            <c:ext xmlns:c16="http://schemas.microsoft.com/office/drawing/2014/chart" uri="{C3380CC4-5D6E-409C-BE32-E72D297353CC}">
              <c16:uniqueId val="{0000000D-7B63-4F1D-8530-D71FE9C1B2A3}"/>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latin typeface="Times New Roman" panose="02020603050405020304" pitchFamily="18" charset="0"/>
                    <a:cs typeface="Times New Roman" panose="02020603050405020304" pitchFamily="18" charset="0"/>
                  </a:rPr>
                  <a:t>% </a:t>
                </a:r>
                <a:r>
                  <a:rPr lang="sr-Cyrl-RS" sz="800">
                    <a:solidFill>
                      <a:sysClr val="windowText" lastClr="000000"/>
                    </a:solidFill>
                    <a:latin typeface="Times New Roman" panose="02020603050405020304" pitchFamily="18" charset="0"/>
                    <a:cs typeface="Times New Roman" panose="02020603050405020304" pitchFamily="18" charset="0"/>
                  </a:rPr>
                  <a:t>БДП</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780001458151065E-2"/>
              <c:y val="0.160399785138399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006368"/>
        <c:crosses val="autoZero"/>
        <c:crossBetween val="between"/>
      </c:valAx>
      <c:spPr>
        <a:noFill/>
        <a:ln>
          <a:noFill/>
        </a:ln>
        <a:effectLst/>
      </c:spPr>
    </c:plotArea>
    <c:legend>
      <c:legendPos val="b"/>
      <c:layout>
        <c:manualLayout>
          <c:xMode val="edge"/>
          <c:yMode val="edge"/>
          <c:x val="0.17801056094407194"/>
          <c:y val="0.63125044253189277"/>
          <c:w val="0.51810891150797223"/>
          <c:h val="0.1309567234328267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5901843384387E-2"/>
          <c:y val="6.6199559279688971E-2"/>
          <c:w val="0.89818784226795878"/>
          <c:h val="0.61107583477199034"/>
        </c:manualLayout>
      </c:layout>
      <c:barChart>
        <c:barDir val="col"/>
        <c:grouping val="clustered"/>
        <c:varyColors val="0"/>
        <c:ser>
          <c:idx val="0"/>
          <c:order val="0"/>
          <c:tx>
            <c:strRef>
              <c:f>'S0 EU Serbia'!$AC$39</c:f>
              <c:strCache>
                <c:ptCount val="1"/>
                <c:pt idx="0">
                  <c:v>Фискални подиндекс</c:v>
                </c:pt>
              </c:strCache>
            </c:strRef>
          </c:tx>
          <c:spPr>
            <a:solidFill>
              <a:srgbClr val="7030A0"/>
            </a:solidFill>
            <a:ln w="9525">
              <a:noFill/>
            </a:ln>
            <a:effectLst/>
          </c:spPr>
          <c:invertIfNegative val="0"/>
          <c:cat>
            <c:numRef>
              <c:f>'S0 EU Serbia'!$AB$43:$AB$48</c:f>
              <c:numCache>
                <c:formatCode>General</c:formatCode>
                <c:ptCount val="6"/>
                <c:pt idx="0">
                  <c:v>2015</c:v>
                </c:pt>
                <c:pt idx="1">
                  <c:v>2016</c:v>
                </c:pt>
                <c:pt idx="2">
                  <c:v>2017</c:v>
                </c:pt>
                <c:pt idx="3">
                  <c:v>2018</c:v>
                </c:pt>
                <c:pt idx="4">
                  <c:v>2019</c:v>
                </c:pt>
                <c:pt idx="5">
                  <c:v>2020</c:v>
                </c:pt>
              </c:numCache>
            </c:numRef>
          </c:cat>
          <c:val>
            <c:numRef>
              <c:f>'S0 EU Serbia'!$AC$43:$AC$48</c:f>
              <c:numCache>
                <c:formatCode>0.00</c:formatCode>
                <c:ptCount val="6"/>
                <c:pt idx="0">
                  <c:v>0.40718562874251496</c:v>
                </c:pt>
                <c:pt idx="1">
                  <c:v>0.19161676646706588</c:v>
                </c:pt>
                <c:pt idx="2">
                  <c:v>0</c:v>
                </c:pt>
                <c:pt idx="3">
                  <c:v>0</c:v>
                </c:pt>
                <c:pt idx="4">
                  <c:v>0</c:v>
                </c:pt>
                <c:pt idx="5">
                  <c:v>0.47904191616766456</c:v>
                </c:pt>
              </c:numCache>
            </c:numRef>
          </c:val>
          <c:extLst>
            <c:ext xmlns:c16="http://schemas.microsoft.com/office/drawing/2014/chart" uri="{C3380CC4-5D6E-409C-BE32-E72D297353CC}">
              <c16:uniqueId val="{00000000-76AC-4F66-A47B-228E6D4A9EC2}"/>
            </c:ext>
          </c:extLst>
        </c:ser>
        <c:ser>
          <c:idx val="1"/>
          <c:order val="1"/>
          <c:tx>
            <c:strRef>
              <c:f>'S0 EU Serbia'!$AD$39</c:f>
              <c:strCache>
                <c:ptCount val="1"/>
                <c:pt idx="0">
                  <c:v>Подиндекс макро-финансијске конкурентности</c:v>
                </c:pt>
              </c:strCache>
            </c:strRef>
          </c:tx>
          <c:spPr>
            <a:solidFill>
              <a:srgbClr val="5297AC"/>
            </a:solidFill>
            <a:ln w="9525">
              <a:noFill/>
            </a:ln>
            <a:effectLst/>
          </c:spPr>
          <c:invertIfNegative val="0"/>
          <c:cat>
            <c:numRef>
              <c:f>'S0 EU Serbia'!$AB$43:$AB$48</c:f>
              <c:numCache>
                <c:formatCode>General</c:formatCode>
                <c:ptCount val="6"/>
                <c:pt idx="0">
                  <c:v>2015</c:v>
                </c:pt>
                <c:pt idx="1">
                  <c:v>2016</c:v>
                </c:pt>
                <c:pt idx="2">
                  <c:v>2017</c:v>
                </c:pt>
                <c:pt idx="3">
                  <c:v>2018</c:v>
                </c:pt>
                <c:pt idx="4">
                  <c:v>2019</c:v>
                </c:pt>
                <c:pt idx="5">
                  <c:v>2020</c:v>
                </c:pt>
              </c:numCache>
            </c:numRef>
          </c:cat>
          <c:val>
            <c:numRef>
              <c:f>'S0 EU Serbia'!$AD$43:$AD$48</c:f>
              <c:numCache>
                <c:formatCode>0.00</c:formatCode>
                <c:ptCount val="6"/>
                <c:pt idx="0">
                  <c:v>0.27243589743589747</c:v>
                </c:pt>
                <c:pt idx="1">
                  <c:v>0.27243589743589747</c:v>
                </c:pt>
                <c:pt idx="2">
                  <c:v>0.27243589743589747</c:v>
                </c:pt>
                <c:pt idx="3">
                  <c:v>0.27243589743589747</c:v>
                </c:pt>
                <c:pt idx="4">
                  <c:v>0.27243589743589747</c:v>
                </c:pt>
                <c:pt idx="5">
                  <c:v>0.42307692307692302</c:v>
                </c:pt>
              </c:numCache>
            </c:numRef>
          </c:val>
          <c:extLst>
            <c:ext xmlns:c16="http://schemas.microsoft.com/office/drawing/2014/chart" uri="{C3380CC4-5D6E-409C-BE32-E72D297353CC}">
              <c16:uniqueId val="{00000001-76AC-4F66-A47B-228E6D4A9EC2}"/>
            </c:ext>
          </c:extLst>
        </c:ser>
        <c:dLbls>
          <c:showLegendKey val="0"/>
          <c:showVal val="0"/>
          <c:showCatName val="0"/>
          <c:showSerName val="0"/>
          <c:showPercent val="0"/>
          <c:showBubbleSize val="0"/>
        </c:dLbls>
        <c:gapWidth val="150"/>
        <c:axId val="-486944112"/>
        <c:axId val="-486944656"/>
      </c:barChart>
      <c:lineChart>
        <c:grouping val="standard"/>
        <c:varyColors val="0"/>
        <c:ser>
          <c:idx val="2"/>
          <c:order val="2"/>
          <c:tx>
            <c:strRef>
              <c:f>'S0 EU Serbia'!$AE$39</c:f>
              <c:strCache>
                <c:ptCount val="1"/>
                <c:pt idx="0">
                  <c:v>S0 индикатор</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76AC-4F66-A47B-228E6D4A9EC2}"/>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76AC-4F66-A47B-228E6D4A9EC2}"/>
              </c:ext>
            </c:extLst>
          </c:dPt>
          <c:dPt>
            <c:idx val="2"/>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7-76AC-4F66-A47B-228E6D4A9EC2}"/>
              </c:ext>
            </c:extLst>
          </c:dPt>
          <c:cat>
            <c:numRef>
              <c:f>'S0 EU Serbia'!$AB$43:$AB$48</c:f>
              <c:numCache>
                <c:formatCode>General</c:formatCode>
                <c:ptCount val="6"/>
                <c:pt idx="0">
                  <c:v>2015</c:v>
                </c:pt>
                <c:pt idx="1">
                  <c:v>2016</c:v>
                </c:pt>
                <c:pt idx="2">
                  <c:v>2017</c:v>
                </c:pt>
                <c:pt idx="3">
                  <c:v>2018</c:v>
                </c:pt>
                <c:pt idx="4">
                  <c:v>2019</c:v>
                </c:pt>
                <c:pt idx="5">
                  <c:v>2020</c:v>
                </c:pt>
              </c:numCache>
            </c:numRef>
          </c:cat>
          <c:val>
            <c:numRef>
              <c:f>'S0 EU Serbia'!$AE$43:$AE$48</c:f>
              <c:numCache>
                <c:formatCode>0.00</c:formatCode>
                <c:ptCount val="6"/>
                <c:pt idx="0">
                  <c:v>0.31941544885177453</c:v>
                </c:pt>
                <c:pt idx="1">
                  <c:v>0.24425887265135704</c:v>
                </c:pt>
                <c:pt idx="2">
                  <c:v>0.17745302713987476</c:v>
                </c:pt>
                <c:pt idx="3">
                  <c:v>0.17745302713987476</c:v>
                </c:pt>
                <c:pt idx="4">
                  <c:v>0.17745302713987476</c:v>
                </c:pt>
                <c:pt idx="5">
                  <c:v>0.4425887265135699</c:v>
                </c:pt>
              </c:numCache>
            </c:numRef>
          </c:val>
          <c:smooth val="0"/>
          <c:extLst>
            <c:ext xmlns:c16="http://schemas.microsoft.com/office/drawing/2014/chart" uri="{C3380CC4-5D6E-409C-BE32-E72D297353CC}">
              <c16:uniqueId val="{00000008-76AC-4F66-A47B-228E6D4A9EC2}"/>
            </c:ext>
          </c:extLst>
        </c:ser>
        <c:ser>
          <c:idx val="3"/>
          <c:order val="3"/>
          <c:tx>
            <c:strRef>
              <c:f>'S0 EU Serbia'!$AF$39</c:f>
              <c:strCache>
                <c:ptCount val="1"/>
                <c:pt idx="0">
                  <c:v>Праг фискалног подиндекса</c:v>
                </c:pt>
              </c:strCache>
            </c:strRef>
          </c:tx>
          <c:spPr>
            <a:ln w="22225" cap="rnd">
              <a:solidFill>
                <a:srgbClr val="7030A0"/>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Serbia'!$AF$43:$AF$48</c:f>
              <c:numCache>
                <c:formatCode>General</c:formatCode>
                <c:ptCount val="6"/>
                <c:pt idx="0">
                  <c:v>0.36</c:v>
                </c:pt>
                <c:pt idx="1">
                  <c:v>0.36</c:v>
                </c:pt>
                <c:pt idx="2">
                  <c:v>0.36</c:v>
                </c:pt>
                <c:pt idx="3">
                  <c:v>0.36</c:v>
                </c:pt>
                <c:pt idx="4">
                  <c:v>0.36</c:v>
                </c:pt>
                <c:pt idx="5">
                  <c:v>0.36</c:v>
                </c:pt>
              </c:numCache>
            </c:numRef>
          </c:val>
          <c:smooth val="0"/>
          <c:extLst>
            <c:ext xmlns:c16="http://schemas.microsoft.com/office/drawing/2014/chart" uri="{C3380CC4-5D6E-409C-BE32-E72D297353CC}">
              <c16:uniqueId val="{00000009-76AC-4F66-A47B-228E6D4A9EC2}"/>
            </c:ext>
          </c:extLst>
        </c:ser>
        <c:ser>
          <c:idx val="4"/>
          <c:order val="4"/>
          <c:tx>
            <c:strRef>
              <c:f>'S0 EU Serbia'!$AG$39</c:f>
              <c:strCache>
                <c:ptCount val="1"/>
                <c:pt idx="0">
                  <c:v>Праг финансијског подиндекса</c:v>
                </c:pt>
              </c:strCache>
            </c:strRef>
          </c:tx>
          <c:spPr>
            <a:ln w="22225" cap="rnd">
              <a:solidFill>
                <a:srgbClr val="5297AC"/>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Serbia'!$AG$43:$AG$48</c:f>
              <c:numCache>
                <c:formatCode>General</c:formatCode>
                <c:ptCount val="6"/>
                <c:pt idx="0">
                  <c:v>0.49</c:v>
                </c:pt>
                <c:pt idx="1">
                  <c:v>0.49</c:v>
                </c:pt>
                <c:pt idx="2">
                  <c:v>0.49</c:v>
                </c:pt>
                <c:pt idx="3">
                  <c:v>0.49</c:v>
                </c:pt>
                <c:pt idx="4">
                  <c:v>0.49</c:v>
                </c:pt>
                <c:pt idx="5">
                  <c:v>0.49</c:v>
                </c:pt>
              </c:numCache>
            </c:numRef>
          </c:val>
          <c:smooth val="0"/>
          <c:extLst>
            <c:ext xmlns:c16="http://schemas.microsoft.com/office/drawing/2014/chart" uri="{C3380CC4-5D6E-409C-BE32-E72D297353CC}">
              <c16:uniqueId val="{0000000A-76AC-4F66-A47B-228E6D4A9EC2}"/>
            </c:ext>
          </c:extLst>
        </c:ser>
        <c:ser>
          <c:idx val="5"/>
          <c:order val="5"/>
          <c:tx>
            <c:strRef>
              <c:f>'S0 EU Serbia'!$AH$39</c:f>
              <c:strCache>
                <c:ptCount val="1"/>
                <c:pt idx="0">
                  <c:v>S0 праг</c:v>
                </c:pt>
              </c:strCache>
            </c:strRef>
          </c:tx>
          <c:spPr>
            <a:ln w="22225" cap="rnd">
              <a:solidFill>
                <a:schemeClr val="tx1"/>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Serbia'!$AH$43:$AH$48</c:f>
              <c:numCache>
                <c:formatCode>General</c:formatCode>
                <c:ptCount val="6"/>
                <c:pt idx="0">
                  <c:v>0.46</c:v>
                </c:pt>
                <c:pt idx="1">
                  <c:v>0.46</c:v>
                </c:pt>
                <c:pt idx="2">
                  <c:v>0.46</c:v>
                </c:pt>
                <c:pt idx="3">
                  <c:v>0.46</c:v>
                </c:pt>
                <c:pt idx="4">
                  <c:v>0.46</c:v>
                </c:pt>
                <c:pt idx="5">
                  <c:v>0.46</c:v>
                </c:pt>
              </c:numCache>
            </c:numRef>
          </c:val>
          <c:smooth val="0"/>
          <c:extLst>
            <c:ext xmlns:c16="http://schemas.microsoft.com/office/drawing/2014/chart" uri="{C3380CC4-5D6E-409C-BE32-E72D297353CC}">
              <c16:uniqueId val="{0000000B-76AC-4F66-A47B-228E6D4A9EC2}"/>
            </c:ext>
          </c:extLst>
        </c:ser>
        <c:dLbls>
          <c:showLegendKey val="0"/>
          <c:showVal val="0"/>
          <c:showCatName val="0"/>
          <c:showSerName val="0"/>
          <c:showPercent val="0"/>
          <c:showBubbleSize val="0"/>
        </c:dLbls>
        <c:marker val="1"/>
        <c:smooth val="0"/>
        <c:axId val="-486944112"/>
        <c:axId val="-486944656"/>
      </c:lineChart>
      <c:catAx>
        <c:axId val="-486944112"/>
        <c:scaling>
          <c:orientation val="minMax"/>
        </c:scaling>
        <c:delete val="0"/>
        <c:axPos val="b"/>
        <c:numFmt formatCode="General" sourceLinked="1"/>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4656"/>
        <c:crosses val="autoZero"/>
        <c:auto val="1"/>
        <c:lblAlgn val="ctr"/>
        <c:lblOffset val="100"/>
        <c:noMultiLvlLbl val="0"/>
      </c:catAx>
      <c:valAx>
        <c:axId val="-486944656"/>
        <c:scaling>
          <c:orientation val="minMax"/>
          <c:max val="0.70000000000000007"/>
        </c:scaling>
        <c:delete val="0"/>
        <c:axPos val="l"/>
        <c:numFmt formatCode="#,##0.00" sourceLinked="0"/>
        <c:majorTickMark val="out"/>
        <c:minorTickMark val="none"/>
        <c:tickLblPos val="nextTo"/>
        <c:spPr>
          <a:noFill/>
          <a:ln w="6350">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4112"/>
        <c:crossesAt val="1"/>
        <c:crossBetween val="between"/>
      </c:valAx>
      <c:spPr>
        <a:noFill/>
        <a:ln>
          <a:noFill/>
        </a:ln>
        <a:effectLst/>
      </c:spPr>
    </c:plotArea>
    <c:legend>
      <c:legendPos val="b"/>
      <c:layout>
        <c:manualLayout>
          <c:xMode val="edge"/>
          <c:yMode val="edge"/>
          <c:x val="2.930789712720251E-4"/>
          <c:y val="0.75040071862674929"/>
          <c:w val="0.99970692102872794"/>
          <c:h val="0.2216256123064831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40553174856415E-2"/>
          <c:y val="0.13775301764159703"/>
          <c:w val="0.89795062064282105"/>
          <c:h val="0.4716665570007092"/>
        </c:manualLayout>
      </c:layout>
      <c:barChart>
        <c:barDir val="col"/>
        <c:grouping val="clustered"/>
        <c:varyColors val="0"/>
        <c:ser>
          <c:idx val="4"/>
          <c:order val="6"/>
          <c:tx>
            <c:strRef>
              <c:f>'S0 EU Serbia'!$U$2</c:f>
              <c:strCache>
                <c:ptCount val="1"/>
                <c:pt idx="0">
                  <c:v>S0 2019</c:v>
                </c:pt>
              </c:strCache>
            </c:strRef>
          </c:tx>
          <c:spPr>
            <a:solidFill>
              <a:schemeClr val="accent5"/>
            </a:solidFill>
            <a:ln>
              <a:noFill/>
            </a:ln>
            <a:effectLst/>
          </c:spPr>
          <c:invertIfNegative val="0"/>
          <c:val>
            <c:numRef>
              <c:f>'S0 EU Serbia'!$U$3:$U$29</c:f>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c:ext xmlns:c16="http://schemas.microsoft.com/office/drawing/2014/chart" uri="{C3380CC4-5D6E-409C-BE32-E72D297353CC}">
              <c16:uniqueId val="{00000000-E436-4EA6-88EF-985DC6307FE9}"/>
            </c:ext>
          </c:extLst>
        </c:ser>
        <c:ser>
          <c:idx val="5"/>
          <c:order val="7"/>
          <c:tx>
            <c:strRef>
              <c:f>'S0 EU Serbia'!$X$2</c:f>
              <c:strCache>
                <c:ptCount val="1"/>
                <c:pt idx="0">
                  <c:v>S0 2020</c:v>
                </c:pt>
              </c:strCache>
            </c:strRef>
          </c:tx>
          <c:spPr>
            <a:solidFill>
              <a:srgbClr val="7030A0"/>
            </a:solidFill>
            <a:ln>
              <a:noFill/>
            </a:ln>
            <a:effectLst/>
          </c:spPr>
          <c:invertIfNegative val="0"/>
          <c:val>
            <c:numRef>
              <c:f>'S0 EU Serbia'!$X$3:$X$29</c:f>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c:ext xmlns:c16="http://schemas.microsoft.com/office/drawing/2014/chart" uri="{C3380CC4-5D6E-409C-BE32-E72D297353CC}">
              <c16:uniqueId val="{00000001-E436-4EA6-88EF-985DC6307FE9}"/>
            </c:ext>
          </c:extLst>
        </c:ser>
        <c:dLbls>
          <c:showLegendKey val="0"/>
          <c:showVal val="0"/>
          <c:showCatName val="0"/>
          <c:showSerName val="0"/>
          <c:showPercent val="0"/>
          <c:showBubbleSize val="0"/>
        </c:dLbls>
        <c:gapWidth val="150"/>
        <c:axId val="-486950096"/>
        <c:axId val="-486949552"/>
        <c:extLst>
          <c:ext xmlns:c15="http://schemas.microsoft.com/office/drawing/2012/chart" uri="{02D57815-91ED-43cb-92C2-25804820EDAC}">
            <c15:filteredBarSeries>
              <c15:ser>
                <c:idx val="6"/>
                <c:order val="2"/>
                <c:tx>
                  <c:strRef>
                    <c:extLst>
                      <c:ex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c:ex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c:ex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c:ext xmlns:c16="http://schemas.microsoft.com/office/drawing/2014/chart" uri="{C3380CC4-5D6E-409C-BE32-E72D297353CC}">
                    <c16:uniqueId val="{00000005-E436-4EA6-88EF-985DC6307FE9}"/>
                  </c:ext>
                </c:extLst>
              </c15:ser>
            </c15:filteredBarSeries>
            <c15:filteredBarSeries>
              <c15:ser>
                <c:idx val="9"/>
                <c:order val="3"/>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E436-4EA6-88EF-985DC6307FE9}"/>
                    </c:ext>
                  </c:extLst>
                </c:dPt>
                <c:cat>
                  <c:strRef>
                    <c:extLst xmlns:c15="http://schemas.microsoft.com/office/drawing/2012/chart">
                      <c:ext xmlns:c15="http://schemas.microsoft.com/office/drawing/2012/char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E436-4EA6-88EF-985DC6307FE9}"/>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E436-4EA6-88EF-985DC6307FE9}"/>
                  </c:ext>
                </c:extLst>
              </c15:ser>
            </c15:filteredBarSeries>
            <c15:filteredBarSeries>
              <c15:ser>
                <c:idx val="1"/>
                <c:order val="5"/>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E436-4EA6-88EF-985DC6307FE9}"/>
                  </c:ext>
                </c:extLst>
              </c15:ser>
            </c15:filteredBarSeries>
          </c:ext>
        </c:extLst>
      </c:barChart>
      <c:barChart>
        <c:barDir val="col"/>
        <c:grouping val="clustered"/>
        <c:varyColors val="0"/>
        <c:ser>
          <c:idx val="3"/>
          <c:order val="1"/>
          <c:tx>
            <c:strRef>
              <c:f>'S0 EU Serbia'!$F$2</c:f>
              <c:strCache>
                <c:ptCount val="1"/>
                <c:pt idx="0">
                  <c:v>S0
2014</c:v>
                </c:pt>
              </c:strCache>
            </c:strRef>
          </c:tx>
          <c:spPr>
            <a:solidFill>
              <a:schemeClr val="tx1"/>
            </a:solidFill>
            <a:ln w="6350">
              <a:solidFill>
                <a:schemeClr val="tx1"/>
              </a:solidFill>
            </a:ln>
            <a:effectLst/>
          </c:spPr>
          <c:invertIfNegative val="0"/>
          <c:cat>
            <c:strRef>
              <c:f>'S0 EU Serbia'!$A$3:$A$31</c:f>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f>'S0 EU Serbia'!$F$3:$F$31</c:f>
            </c:numRef>
          </c:val>
          <c:extLst>
            <c:ext xmlns:c16="http://schemas.microsoft.com/office/drawing/2014/chart" uri="{C3380CC4-5D6E-409C-BE32-E72D297353CC}">
              <c16:uniqueId val="{00000002-E436-4EA6-88EF-985DC6307FE9}"/>
            </c:ext>
          </c:extLst>
        </c:ser>
        <c:dLbls>
          <c:showLegendKey val="0"/>
          <c:showVal val="0"/>
          <c:showCatName val="0"/>
          <c:showSerName val="0"/>
          <c:showPercent val="0"/>
          <c:showBubbleSize val="0"/>
        </c:dLbls>
        <c:gapWidth val="150"/>
        <c:axId val="-486950096"/>
        <c:axId val="-486949552"/>
      </c:barChart>
      <c:lineChart>
        <c:grouping val="standard"/>
        <c:varyColors val="0"/>
        <c:ser>
          <c:idx val="2"/>
          <c:order val="0"/>
          <c:tx>
            <c:strRef>
              <c:f>'S0 EU Serbia'!$E$1</c:f>
              <c:strCache>
                <c:ptCount val="1"/>
                <c:pt idx="0">
                  <c:v>S0 праг</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36-4EA6-88EF-985DC6307F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Serbia'!$A$3:$A$29</c:f>
              <c:strCache>
                <c:ptCount val="27"/>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4-E436-4EA6-88EF-985DC6307FE9}"/>
            </c:ext>
          </c:extLst>
        </c:ser>
        <c:dLbls>
          <c:showLegendKey val="0"/>
          <c:showVal val="0"/>
          <c:showCatName val="0"/>
          <c:showSerName val="0"/>
          <c:showPercent val="0"/>
          <c:showBubbleSize val="0"/>
        </c:dLbls>
        <c:marker val="1"/>
        <c:smooth val="0"/>
        <c:axId val="-486950096"/>
        <c:axId val="-486949552"/>
      </c:lineChart>
      <c:catAx>
        <c:axId val="-486950096"/>
        <c:scaling>
          <c:orientation val="minMax"/>
        </c:scaling>
        <c:delete val="0"/>
        <c:axPos val="b"/>
        <c:numFmt formatCode="General" sourceLinked="1"/>
        <c:majorTickMark val="none"/>
        <c:minorTickMark val="none"/>
        <c:tickLblPos val="nextTo"/>
        <c:spPr>
          <a:noFill/>
          <a:ln w="9525"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9552"/>
        <c:crosses val="autoZero"/>
        <c:auto val="1"/>
        <c:lblAlgn val="ctr"/>
        <c:lblOffset val="100"/>
        <c:noMultiLvlLbl val="0"/>
      </c:catAx>
      <c:valAx>
        <c:axId val="-486949552"/>
        <c:scaling>
          <c:orientation val="minMax"/>
          <c:max val="0.9"/>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50096"/>
        <c:crosses val="autoZero"/>
        <c:crossBetween val="between"/>
      </c:valAx>
      <c:spPr>
        <a:noFill/>
        <a:ln>
          <a:noFill/>
        </a:ln>
        <a:effectLst/>
      </c:spPr>
    </c:plotArea>
    <c:legend>
      <c:legendPos val="b"/>
      <c:layout>
        <c:manualLayout>
          <c:xMode val="edge"/>
          <c:yMode val="edge"/>
          <c:x val="0.30784559886332458"/>
          <c:y val="0.87985511811023609"/>
          <c:w val="0.42591030255383444"/>
          <c:h val="5.681995524515209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3172971731879"/>
          <c:y val="0.16442912758315156"/>
          <c:w val="0.80682169728783881"/>
          <c:h val="0.68449117593166653"/>
        </c:manualLayout>
      </c:layout>
      <c:scatterChart>
        <c:scatterStyle val="lineMarker"/>
        <c:varyColors val="0"/>
        <c:ser>
          <c:idx val="0"/>
          <c:order val="0"/>
          <c:spPr>
            <a:ln w="28575" cap="rnd">
              <a:noFill/>
              <a:round/>
            </a:ln>
            <a:effectLst/>
          </c:spPr>
          <c:marker>
            <c:symbol val="circle"/>
            <c:size val="5"/>
            <c:spPr>
              <a:solidFill>
                <a:srgbClr val="5297AC"/>
              </a:solidFill>
              <a:ln w="9525">
                <a:noFill/>
              </a:ln>
              <a:effectLst/>
            </c:spPr>
          </c:marker>
          <c:dLbls>
            <c:dLbl>
              <c:idx val="0"/>
              <c:layout>
                <c:manualLayout>
                  <c:x val="-2.4500741755106699E-2"/>
                  <c:y val="9.6793975519414068E-3"/>
                </c:manualLayout>
              </c:layout>
              <c:tx>
                <c:rich>
                  <a:bodyPr/>
                  <a:lstStyle/>
                  <a:p>
                    <a:fld id="{02D7AB1A-A5D1-454C-B5D3-6A6F12C725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058-4BAE-A867-271E7D9F44FE}"/>
                </c:ext>
              </c:extLst>
            </c:dLbl>
            <c:dLbl>
              <c:idx val="1"/>
              <c:layout>
                <c:manualLayout>
                  <c:x val="-1.0725941865962558E-2"/>
                  <c:y val="2.1851006941889274E-3"/>
                </c:manualLayout>
              </c:layout>
              <c:tx>
                <c:rich>
                  <a:bodyPr/>
                  <a:lstStyle/>
                  <a:p>
                    <a:fld id="{7BFD8CBF-2B94-4F5D-B9C1-548C5909BC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058-4BAE-A867-271E7D9F44FE}"/>
                </c:ext>
              </c:extLst>
            </c:dLbl>
            <c:dLbl>
              <c:idx val="2"/>
              <c:layout>
                <c:manualLayout>
                  <c:x val="-0.15526711334996168"/>
                  <c:y val="-6.9639659528540239E-3"/>
                </c:manualLayout>
              </c:layout>
              <c:tx>
                <c:rich>
                  <a:bodyPr/>
                  <a:lstStyle/>
                  <a:p>
                    <a:fld id="{22E427BD-A8EA-49EE-A43E-2E238EB965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058-4BAE-A867-271E7D9F44FE}"/>
                </c:ext>
              </c:extLst>
            </c:dLbl>
            <c:dLbl>
              <c:idx val="3"/>
              <c:layout>
                <c:manualLayout>
                  <c:x val="1.2360737516506013E-2"/>
                  <c:y val="6.3210439816518263E-2"/>
                </c:manualLayout>
              </c:layout>
              <c:tx>
                <c:rich>
                  <a:bodyPr/>
                  <a:lstStyle/>
                  <a:p>
                    <a:fld id="{04FAD8A9-002D-4FDA-A72B-943E4A6C78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058-4BAE-A867-271E7D9F44FE}"/>
                </c:ext>
              </c:extLst>
            </c:dLbl>
            <c:dLbl>
              <c:idx val="4"/>
              <c:layout>
                <c:manualLayout>
                  <c:x val="-7.1607244746580589E-2"/>
                  <c:y val="2.6745406824146983E-2"/>
                </c:manualLayout>
              </c:layout>
              <c:tx>
                <c:rich>
                  <a:bodyPr/>
                  <a:lstStyle/>
                  <a:p>
                    <a:fld id="{30DC27F4-1A1B-4F25-A8E1-26327F51CB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058-4BAE-A867-271E7D9F44FE}"/>
                </c:ext>
              </c:extLst>
            </c:dLbl>
            <c:dLbl>
              <c:idx val="5"/>
              <c:layout>
                <c:manualLayout>
                  <c:x val="-8.4263380120963901E-3"/>
                  <c:y val="8.7264208796329797E-3"/>
                </c:manualLayout>
              </c:layout>
              <c:tx>
                <c:rich>
                  <a:bodyPr/>
                  <a:lstStyle/>
                  <a:p>
                    <a:fld id="{91116775-36E4-408F-849D-72160E4A0C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058-4BAE-A867-271E7D9F44FE}"/>
                </c:ext>
              </c:extLst>
            </c:dLbl>
            <c:dLbl>
              <c:idx val="6"/>
              <c:layout>
                <c:manualLayout>
                  <c:x val="-5.5137999054466091E-2"/>
                  <c:y val="2.5790467780312507E-2"/>
                </c:manualLayout>
              </c:layout>
              <c:tx>
                <c:rich>
                  <a:bodyPr/>
                  <a:lstStyle/>
                  <a:p>
                    <a:fld id="{1115CE64-00DC-4088-B463-5473E11305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058-4BAE-A867-271E7D9F44FE}"/>
                </c:ext>
              </c:extLst>
            </c:dLbl>
            <c:dLbl>
              <c:idx val="7"/>
              <c:layout>
                <c:manualLayout>
                  <c:x val="-4.1267015536101542E-2"/>
                  <c:y val="1.9249392891309204E-2"/>
                </c:manualLayout>
              </c:layout>
              <c:tx>
                <c:rich>
                  <a:bodyPr/>
                  <a:lstStyle/>
                  <a:p>
                    <a:fld id="{96C1B69C-0FDE-434A-9EF4-4376AB1EDF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058-4BAE-A867-271E7D9F44FE}"/>
                </c:ext>
              </c:extLst>
            </c:dLbl>
            <c:dLbl>
              <c:idx val="8"/>
              <c:layout>
                <c:manualLayout>
                  <c:x val="-9.5811610505208589E-2"/>
                  <c:y val="2.6949984055731409E-2"/>
                </c:manualLayout>
              </c:layout>
              <c:tx>
                <c:rich>
                  <a:bodyPr/>
                  <a:lstStyle/>
                  <a:p>
                    <a:fld id="{4CB904FB-F5FC-4395-B82B-71DCAAFA48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058-4BAE-A867-271E7D9F44FE}"/>
                </c:ext>
              </c:extLst>
            </c:dLbl>
            <c:dLbl>
              <c:idx val="9"/>
              <c:layout>
                <c:manualLayout>
                  <c:x val="-7.4410263934399506E-2"/>
                  <c:y val="2.8987661589030343E-2"/>
                </c:manualLayout>
              </c:layout>
              <c:tx>
                <c:rich>
                  <a:bodyPr/>
                  <a:lstStyle/>
                  <a:p>
                    <a:fld id="{29C8DC35-571B-437F-95BF-EE88FBCB0A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058-4BAE-A867-271E7D9F44FE}"/>
                </c:ext>
              </c:extLst>
            </c:dLbl>
            <c:dLbl>
              <c:idx val="10"/>
              <c:layout>
                <c:manualLayout>
                  <c:x val="-0.13059258896985707"/>
                  <c:y val="-1.925822356317667E-3"/>
                </c:manualLayout>
              </c:layout>
              <c:tx>
                <c:rich>
                  <a:bodyPr/>
                  <a:lstStyle/>
                  <a:p>
                    <a:fld id="{A513963A-B6D8-4353-AA7F-EF407E6DE9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058-4BAE-A867-271E7D9F44FE}"/>
                </c:ext>
              </c:extLst>
            </c:dLbl>
            <c:dLbl>
              <c:idx val="11"/>
              <c:layout>
                <c:manualLayout>
                  <c:x val="-8.8400906408438069E-3"/>
                  <c:y val="-5.9170407437389222E-3"/>
                </c:manualLayout>
              </c:layout>
              <c:tx>
                <c:rich>
                  <a:bodyPr/>
                  <a:lstStyle/>
                  <a:p>
                    <a:fld id="{DF519BE4-68EA-4F07-9899-5AAB35D08E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058-4BAE-A867-271E7D9F44FE}"/>
                </c:ext>
              </c:extLst>
            </c:dLbl>
            <c:dLbl>
              <c:idx val="12"/>
              <c:layout>
                <c:manualLayout>
                  <c:x val="-8.5145335093982893E-2"/>
                  <c:y val="3.9042853288198787E-2"/>
                </c:manualLayout>
              </c:layout>
              <c:tx>
                <c:rich>
                  <a:bodyPr/>
                  <a:lstStyle/>
                  <a:p>
                    <a:fld id="{FEBC804B-15A1-4643-94E7-497040616D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058-4BAE-A867-271E7D9F44FE}"/>
                </c:ext>
              </c:extLst>
            </c:dLbl>
            <c:dLbl>
              <c:idx val="13"/>
              <c:layout>
                <c:manualLayout>
                  <c:x val="-8.1957255343082111E-2"/>
                  <c:y val="2.4992273162116302E-2"/>
                </c:manualLayout>
              </c:layout>
              <c:tx>
                <c:rich>
                  <a:bodyPr/>
                  <a:lstStyle/>
                  <a:p>
                    <a:fld id="{D1808ACF-390B-492F-8843-CA29A32F99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058-4BAE-A867-271E7D9F44FE}"/>
                </c:ext>
              </c:extLst>
            </c:dLbl>
            <c:dLbl>
              <c:idx val="14"/>
              <c:layout>
                <c:manualLayout>
                  <c:x val="-3.2858284018845468E-2"/>
                  <c:y val="2.2553290651752642E-2"/>
                </c:manualLayout>
              </c:layout>
              <c:tx>
                <c:rich>
                  <a:bodyPr/>
                  <a:lstStyle/>
                  <a:p>
                    <a:fld id="{25592C0C-531B-47E7-8F0C-EE4F5EEEB3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058-4BAE-A867-271E7D9F44FE}"/>
                </c:ext>
              </c:extLst>
            </c:dLbl>
            <c:dLbl>
              <c:idx val="15"/>
              <c:layout>
                <c:manualLayout>
                  <c:x val="-0.13619830129929414"/>
                  <c:y val="2.0480290430985731E-2"/>
                </c:manualLayout>
              </c:layout>
              <c:tx>
                <c:rich>
                  <a:bodyPr/>
                  <a:lstStyle/>
                  <a:p>
                    <a:fld id="{D101609E-B96A-4E04-AB3A-2CDE032E58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058-4BAE-A867-271E7D9F44FE}"/>
                </c:ext>
              </c:extLst>
            </c:dLbl>
            <c:dLbl>
              <c:idx val="16"/>
              <c:layout>
                <c:manualLayout>
                  <c:x val="-3.9638518471275343E-2"/>
                  <c:y val="3.5186845340179025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fld id="{31C0346A-A736-4563-BE6D-2F9B6D557E84}" type="CELLRANGE">
                      <a:rPr lang="en-US"/>
                      <a:pPr>
                        <a:defRPr sz="700">
                          <a:solidFill>
                            <a:srgbClr val="44546A"/>
                          </a:solidFill>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6661067366579174"/>
                      <c:h val="5.0214577391949004E-2"/>
                    </c:manualLayout>
                  </c15:layout>
                  <c15:dlblFieldTable/>
                  <c15:showDataLabelsRange val="1"/>
                </c:ext>
                <c:ext xmlns:c16="http://schemas.microsoft.com/office/drawing/2014/chart" uri="{C3380CC4-5D6E-409C-BE32-E72D297353CC}">
                  <c16:uniqueId val="{00000010-F058-4BAE-A867-271E7D9F44FE}"/>
                </c:ext>
              </c:extLst>
            </c:dLbl>
            <c:dLbl>
              <c:idx val="17"/>
              <c:layout>
                <c:manualLayout>
                  <c:x val="-6.2088325915782269E-2"/>
                  <c:y val="2.6622022714450414E-2"/>
                </c:manualLayout>
              </c:layout>
              <c:tx>
                <c:rich>
                  <a:bodyPr/>
                  <a:lstStyle/>
                  <a:p>
                    <a:fld id="{9E33A9E4-241D-403C-A5DD-8D6CF4F39D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058-4BAE-A867-271E7D9F44FE}"/>
                </c:ext>
              </c:extLst>
            </c:dLbl>
            <c:dLbl>
              <c:idx val="18"/>
              <c:layout>
                <c:manualLayout>
                  <c:x val="-7.1952853719372031E-2"/>
                  <c:y val="2.1387396668874334E-2"/>
                </c:manualLayout>
              </c:layout>
              <c:tx>
                <c:rich>
                  <a:bodyPr/>
                  <a:lstStyle/>
                  <a:p>
                    <a:fld id="{92ADE98B-7CFA-4C13-81CD-73B93A14A3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058-4BAE-A867-271E7D9F44FE}"/>
                </c:ext>
              </c:extLst>
            </c:dLbl>
            <c:dLbl>
              <c:idx val="19"/>
              <c:layout>
                <c:manualLayout>
                  <c:x val="-8.0354086174010859E-3"/>
                  <c:y val="2.3720165820393375E-3"/>
                </c:manualLayout>
              </c:layout>
              <c:tx>
                <c:rich>
                  <a:bodyPr/>
                  <a:lstStyle/>
                  <a:p>
                    <a:fld id="{8C8C5719-ACD1-4513-94A5-A6E41D0EC4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058-4BAE-A867-271E7D9F44FE}"/>
                </c:ext>
              </c:extLst>
            </c:dLbl>
            <c:dLbl>
              <c:idx val="20"/>
              <c:layout>
                <c:manualLayout>
                  <c:x val="-6.9417518462366115E-2"/>
                  <c:y val="1.7178600338509088E-2"/>
                </c:manualLayout>
              </c:layout>
              <c:tx>
                <c:rich>
                  <a:bodyPr/>
                  <a:lstStyle/>
                  <a:p>
                    <a:fld id="{50C10075-7607-4637-AFF3-B29D9D9F23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F058-4BAE-A867-271E7D9F44FE}"/>
                </c:ext>
              </c:extLst>
            </c:dLbl>
            <c:dLbl>
              <c:idx val="21"/>
              <c:layout>
                <c:manualLayout>
                  <c:x val="-0.11997196002673578"/>
                  <c:y val="-1.6788088404837132E-2"/>
                </c:manualLayout>
              </c:layout>
              <c:tx>
                <c:rich>
                  <a:bodyPr/>
                  <a:lstStyle/>
                  <a:p>
                    <a:fld id="{FD5B0862-755A-4F20-AFD6-C735DB0886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F058-4BAE-A867-271E7D9F44FE}"/>
                </c:ext>
              </c:extLst>
            </c:dLbl>
            <c:dLbl>
              <c:idx val="22"/>
              <c:layout>
                <c:manualLayout>
                  <c:x val="-1.2131200991180603E-2"/>
                  <c:y val="-3.6767483503814358E-3"/>
                </c:manualLayout>
              </c:layout>
              <c:tx>
                <c:rich>
                  <a:bodyPr/>
                  <a:lstStyle/>
                  <a:p>
                    <a:fld id="{F209EA8F-B7D8-406B-BBBE-82F798988597}"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F058-4BAE-A867-271E7D9F44FE}"/>
                </c:ext>
              </c:extLst>
            </c:dLbl>
            <c:dLbl>
              <c:idx val="23"/>
              <c:layout>
                <c:manualLayout>
                  <c:x val="-0.10497481293099233"/>
                  <c:y val="2.7313022788039345E-2"/>
                </c:manualLayout>
              </c:layout>
              <c:tx>
                <c:rich>
                  <a:bodyPr/>
                  <a:lstStyle/>
                  <a:p>
                    <a:fld id="{ED7361C1-3C14-4AC2-8313-AFAC34841E80}"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F058-4BAE-A867-271E7D9F44FE}"/>
                </c:ext>
              </c:extLst>
            </c:dLbl>
            <c:dLbl>
              <c:idx val="24"/>
              <c:layout>
                <c:manualLayout>
                  <c:x val="-0.12908592947620678"/>
                  <c:y val="-1.7120219785610912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sr-Cyrl-RS" sz="700">
                        <a:solidFill>
                          <a:srgbClr val="44546A"/>
                        </a:solidFill>
                        <a:latin typeface="Times New Roman" panose="02020603050405020304" pitchFamily="18" charset="0"/>
                        <a:cs typeface="Times New Roman" panose="02020603050405020304" pitchFamily="18" charset="0"/>
                      </a:rPr>
                      <a:t>Кипар</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9879702537182853"/>
                      <c:h val="3.9968128983877013E-2"/>
                    </c:manualLayout>
                  </c15:layout>
                  <c15:showDataLabelsRange val="0"/>
                </c:ext>
                <c:ext xmlns:c16="http://schemas.microsoft.com/office/drawing/2014/chart" uri="{C3380CC4-5D6E-409C-BE32-E72D297353CC}">
                  <c16:uniqueId val="{00000018-F058-4BAE-A867-271E7D9F44FE}"/>
                </c:ext>
              </c:extLst>
            </c:dLbl>
            <c:dLbl>
              <c:idx val="25"/>
              <c:layout>
                <c:manualLayout>
                  <c:x val="-7.532221515788802E-2"/>
                  <c:y val="2.963818774989575E-2"/>
                </c:manualLayout>
              </c:layout>
              <c:tx>
                <c:rich>
                  <a:bodyPr/>
                  <a:lstStyle/>
                  <a:p>
                    <a:r>
                      <a:rPr lang="sr-Cyrl-RS"/>
                      <a:t>Португал</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058-4BAE-A867-271E7D9F44FE}"/>
                </c:ext>
              </c:extLst>
            </c:dLbl>
            <c:dLbl>
              <c:idx val="26"/>
              <c:layout>
                <c:manualLayout>
                  <c:x val="-0.10188976377952756"/>
                  <c:y val="2.4320160914465073E-2"/>
                </c:manualLayout>
              </c:layout>
              <c:tx>
                <c:rich>
                  <a:bodyPr/>
                  <a:lstStyle/>
                  <a:p>
                    <a:r>
                      <a:rPr lang="sr-Cyrl-RS">
                        <a:solidFill>
                          <a:srgbClr val="44546A"/>
                        </a:solidFill>
                      </a:rPr>
                      <a:t>Србија</a:t>
                    </a:r>
                    <a:r>
                      <a:rPr lang="sr-Cyrl-RS" baseline="0">
                        <a:solidFill>
                          <a:srgbClr val="44546A"/>
                        </a:solidFill>
                      </a:rPr>
                      <a:t> 2020</a:t>
                    </a:r>
                    <a:endParaRPr lang="sr-Cyrl-RS">
                      <a:solidFill>
                        <a:srgbClr val="44546A"/>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F058-4BAE-A867-271E7D9F44FE}"/>
                </c:ext>
              </c:extLst>
            </c:dLbl>
            <c:dLbl>
              <c:idx val="27"/>
              <c:delete val="1"/>
              <c:extLst>
                <c:ext xmlns:c15="http://schemas.microsoft.com/office/drawing/2012/chart" uri="{CE6537A1-D6FC-4f65-9D91-7224C49458BB}"/>
                <c:ext xmlns:c16="http://schemas.microsoft.com/office/drawing/2014/chart" uri="{C3380CC4-5D6E-409C-BE32-E72D297353CC}">
                  <c16:uniqueId val="{0000001B-F058-4BAE-A867-271E7D9F44FE}"/>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F058-4BAE-A867-271E7D9F44FE}"/>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15:showDataLabelsRange val="0"/>
                </c:ext>
                <c:ext xmlns:c16="http://schemas.microsoft.com/office/drawing/2014/chart" uri="{C3380CC4-5D6E-409C-BE32-E72D297353CC}">
                  <c16:uniqueId val="{0000001D-F058-4BAE-A867-271E7D9F44F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rgbClr val="44546A"/>
                      </a:solidFill>
                      <a:round/>
                    </a:ln>
                    <a:effectLst/>
                  </c:spPr>
                </c15:leaderLines>
              </c:ext>
            </c:extLst>
          </c:dLbls>
          <c:xVal>
            <c:numRef>
              <c:f>'2020'!$D$4:$D$30</c:f>
              <c:numCache>
                <c:formatCode>0.00</c:formatCode>
                <c:ptCount val="27"/>
                <c:pt idx="0">
                  <c:v>0.88</c:v>
                </c:pt>
                <c:pt idx="1">
                  <c:v>0.88</c:v>
                </c:pt>
                <c:pt idx="2">
                  <c:v>0.23</c:v>
                </c:pt>
                <c:pt idx="3">
                  <c:v>0.37</c:v>
                </c:pt>
                <c:pt idx="4">
                  <c:v>0.84</c:v>
                </c:pt>
                <c:pt idx="5">
                  <c:v>0.46</c:v>
                </c:pt>
                <c:pt idx="6">
                  <c:v>0.4</c:v>
                </c:pt>
                <c:pt idx="7">
                  <c:v>0.67</c:v>
                </c:pt>
                <c:pt idx="8">
                  <c:v>0.88</c:v>
                </c:pt>
                <c:pt idx="9">
                  <c:v>0.84</c:v>
                </c:pt>
                <c:pt idx="10">
                  <c:v>0.32</c:v>
                </c:pt>
                <c:pt idx="11">
                  <c:v>1</c:v>
                </c:pt>
                <c:pt idx="12">
                  <c:v>0.49</c:v>
                </c:pt>
                <c:pt idx="13">
                  <c:v>0.67</c:v>
                </c:pt>
                <c:pt idx="14">
                  <c:v>0.4</c:v>
                </c:pt>
                <c:pt idx="15">
                  <c:v>0.23</c:v>
                </c:pt>
                <c:pt idx="16">
                  <c:v>0.49</c:v>
                </c:pt>
                <c:pt idx="17">
                  <c:v>0.6</c:v>
                </c:pt>
                <c:pt idx="18">
                  <c:v>0.4</c:v>
                </c:pt>
                <c:pt idx="19">
                  <c:v>0.53</c:v>
                </c:pt>
                <c:pt idx="20">
                  <c:v>0.73</c:v>
                </c:pt>
                <c:pt idx="21">
                  <c:v>0.72</c:v>
                </c:pt>
                <c:pt idx="22">
                  <c:v>0.88</c:v>
                </c:pt>
                <c:pt idx="23">
                  <c:v>0.18</c:v>
                </c:pt>
                <c:pt idx="24">
                  <c:v>0.72</c:v>
                </c:pt>
                <c:pt idx="25">
                  <c:v>0.96</c:v>
                </c:pt>
                <c:pt idx="26">
                  <c:v>0.47904191616766456</c:v>
                </c:pt>
              </c:numCache>
            </c:numRef>
          </c:xVal>
          <c:yVal>
            <c:numRef>
              <c:f>'2020'!$E$4:$E$30</c:f>
              <c:numCache>
                <c:formatCode>0.00</c:formatCode>
                <c:ptCount val="27"/>
                <c:pt idx="0">
                  <c:v>0.15</c:v>
                </c:pt>
                <c:pt idx="1">
                  <c:v>0.27</c:v>
                </c:pt>
                <c:pt idx="2">
                  <c:v>0.42</c:v>
                </c:pt>
                <c:pt idx="3">
                  <c:v>0.37</c:v>
                </c:pt>
                <c:pt idx="4">
                  <c:v>0.49</c:v>
                </c:pt>
                <c:pt idx="5">
                  <c:v>0.38</c:v>
                </c:pt>
                <c:pt idx="6">
                  <c:v>0.28999999999999998</c:v>
                </c:pt>
                <c:pt idx="7">
                  <c:v>0.4</c:v>
                </c:pt>
                <c:pt idx="8">
                  <c:v>0.38</c:v>
                </c:pt>
                <c:pt idx="9">
                  <c:v>0.25</c:v>
                </c:pt>
                <c:pt idx="10">
                  <c:v>0.47</c:v>
                </c:pt>
                <c:pt idx="11">
                  <c:v>0.21</c:v>
                </c:pt>
                <c:pt idx="12">
                  <c:v>0.48</c:v>
                </c:pt>
                <c:pt idx="13">
                  <c:v>0.21</c:v>
                </c:pt>
                <c:pt idx="14">
                  <c:v>0.36</c:v>
                </c:pt>
                <c:pt idx="15">
                  <c:v>0.33</c:v>
                </c:pt>
                <c:pt idx="16">
                  <c:v>0.18</c:v>
                </c:pt>
                <c:pt idx="17">
                  <c:v>0.27</c:v>
                </c:pt>
                <c:pt idx="18">
                  <c:v>0.48</c:v>
                </c:pt>
                <c:pt idx="19">
                  <c:v>0.47</c:v>
                </c:pt>
                <c:pt idx="20">
                  <c:v>0.44</c:v>
                </c:pt>
                <c:pt idx="21">
                  <c:v>0.28000000000000003</c:v>
                </c:pt>
                <c:pt idx="22">
                  <c:v>0.3</c:v>
                </c:pt>
                <c:pt idx="23">
                  <c:v>0.4</c:v>
                </c:pt>
                <c:pt idx="24">
                  <c:v>0.6</c:v>
                </c:pt>
                <c:pt idx="25">
                  <c:v>0.42</c:v>
                </c:pt>
                <c:pt idx="26">
                  <c:v>0.42307692307692302</c:v>
                </c:pt>
              </c:numCache>
            </c:numRef>
          </c:yVal>
          <c:smooth val="0"/>
          <c:extLst>
            <c:ext xmlns:c15="http://schemas.microsoft.com/office/drawing/2012/chart" uri="{02D57815-91ED-43cb-92C2-25804820EDAC}">
              <c15:datalabelsRange>
                <c15:f>'2020'!$B$4:$B$31</c15:f>
                <c15:dlblRangeCache>
                  <c:ptCount val="28"/>
                  <c:pt idx="0">
                    <c:v>Аустрија</c:v>
                  </c:pt>
                  <c:pt idx="1">
                    <c:v>Белгија</c:v>
                  </c:pt>
                  <c:pt idx="2">
                    <c:v>Бугарска</c:v>
                  </c:pt>
                  <c:pt idx="3">
                    <c:v>Чешка</c:v>
                  </c:pt>
                  <c:pt idx="4">
                    <c:v>Хрватска</c:v>
                  </c:pt>
                  <c:pt idx="5">
                    <c:v>Данска</c:v>
                  </c:pt>
                  <c:pt idx="6">
                    <c:v>Естонија</c:v>
                  </c:pt>
                  <c:pt idx="7">
                    <c:v>Финска</c:v>
                  </c:pt>
                  <c:pt idx="8">
                    <c:v>Француска</c:v>
                  </c:pt>
                  <c:pt idx="9">
                    <c:v>Мађарска</c:v>
                  </c:pt>
                  <c:pt idx="10">
                    <c:v>Ирска</c:v>
                  </c:pt>
                  <c:pt idx="11">
                    <c:v>Италија</c:v>
                  </c:pt>
                  <c:pt idx="12">
                    <c:v>Летонија</c:v>
                  </c:pt>
                  <c:pt idx="13">
                    <c:v>Немачка</c:v>
                  </c:pt>
                  <c:pt idx="14">
                    <c:v>Литванија</c:v>
                  </c:pt>
                  <c:pt idx="15">
                    <c:v>Луксембург</c:v>
                  </c:pt>
                  <c:pt idx="16">
                    <c:v>Малта</c:v>
                  </c:pt>
                  <c:pt idx="17">
                    <c:v>Холандија</c:v>
                  </c:pt>
                  <c:pt idx="18">
                    <c:v>Пољска</c:v>
                  </c:pt>
                  <c:pt idx="19">
                    <c:v>Румунија</c:v>
                  </c:pt>
                  <c:pt idx="20">
                    <c:v>Словачка</c:v>
                  </c:pt>
                  <c:pt idx="21">
                    <c:v>Словенија</c:v>
                  </c:pt>
                  <c:pt idx="22">
                    <c:v>Шпанија</c:v>
                  </c:pt>
                  <c:pt idx="23">
                    <c:v>Шведска</c:v>
                  </c:pt>
                  <c:pt idx="24">
                    <c:v>Кипар</c:v>
                  </c:pt>
                  <c:pt idx="25">
                    <c:v>Португал</c:v>
                  </c:pt>
                  <c:pt idx="26">
                    <c:v>Србија 2020</c:v>
                  </c:pt>
                  <c:pt idx="27">
                    <c:v>Србија 2019,2018,2017</c:v>
                  </c:pt>
                </c15:dlblRangeCache>
              </c15:datalabelsRange>
            </c:ext>
            <c:ext xmlns:c16="http://schemas.microsoft.com/office/drawing/2014/chart" uri="{C3380CC4-5D6E-409C-BE32-E72D297353CC}">
              <c16:uniqueId val="{0000001E-F058-4BAE-A867-271E7D9F44FE}"/>
            </c:ext>
          </c:extLst>
        </c:ser>
        <c:dLbls>
          <c:showLegendKey val="0"/>
          <c:showVal val="0"/>
          <c:showCatName val="0"/>
          <c:showSerName val="0"/>
          <c:showPercent val="0"/>
          <c:showBubbleSize val="0"/>
        </c:dLbls>
        <c:axId val="-262788736"/>
        <c:axId val="-262793088"/>
      </c:scatterChart>
      <c:valAx>
        <c:axId val="-26278873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800">
                    <a:solidFill>
                      <a:sysClr val="windowText" lastClr="000000"/>
                    </a:solidFill>
                    <a:latin typeface="Times New Roman" panose="02020603050405020304" pitchFamily="18" charset="0"/>
                    <a:cs typeface="Times New Roman" panose="02020603050405020304" pitchFamily="18" charset="0"/>
                  </a:rPr>
                  <a:t>Фискални подиндекс</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949571303587054"/>
              <c:y val="0.897778654661333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93088"/>
        <c:crosses val="autoZero"/>
        <c:crossBetween val="midCat"/>
      </c:valAx>
      <c:valAx>
        <c:axId val="-26279308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800">
                    <a:solidFill>
                      <a:sysClr val="windowText" lastClr="000000"/>
                    </a:solidFill>
                    <a:latin typeface="Times New Roman" panose="02020603050405020304" pitchFamily="18" charset="0"/>
                    <a:cs typeface="Times New Roman" panose="02020603050405020304" pitchFamily="18" charset="0"/>
                  </a:rPr>
                  <a:t>Подиндекс макро-финансијске конкурентности</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554057886846477E-2"/>
              <c:y val="5.520649204563716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88736"/>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33714179804967E-2"/>
          <c:y val="0.10598834128245893"/>
          <c:w val="0.86085801063022016"/>
          <c:h val="0.52616207349081356"/>
        </c:manualLayout>
      </c:layout>
      <c:barChart>
        <c:barDir val="col"/>
        <c:grouping val="clustered"/>
        <c:varyColors val="0"/>
        <c:ser>
          <c:idx val="0"/>
          <c:order val="0"/>
          <c:tx>
            <c:strRef>
              <c:f>'мемо 2011-2016'!$D$50</c:f>
              <c:strCache>
                <c:ptCount val="1"/>
                <c:pt idx="0">
                  <c:v>дуг</c:v>
                </c:pt>
              </c:strCache>
            </c:strRef>
          </c:tx>
          <c:spPr>
            <a:solidFill>
              <a:schemeClr val="tx2"/>
            </a:solidFill>
          </c:spPr>
          <c:invertIfNegative val="0"/>
          <c:dLbls>
            <c:numFmt formatCode="#,##0.0" sourceLinked="0"/>
            <c:spPr>
              <a:noFill/>
              <a:ln>
                <a:noFill/>
              </a:ln>
              <a:effectLst/>
            </c:spPr>
            <c:txPr>
              <a:bodyPr/>
              <a:lstStyle/>
              <a:p>
                <a:pPr>
                  <a:defRPr sz="700" b="0" baseline="0">
                    <a:solidFill>
                      <a:schemeClr val="bg1"/>
                    </a:solidFill>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2011-2016'!$J$48:$S$48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'мемо 2011-2016'!$J$50:$S$50</c:f>
              <c:numCache>
                <c:formatCode>#,##0.0</c:formatCode>
                <c:ptCount val="10"/>
                <c:pt idx="0">
                  <c:v>71.199826125969352</c:v>
                </c:pt>
                <c:pt idx="1">
                  <c:v>68.8</c:v>
                </c:pt>
                <c:pt idx="2">
                  <c:v>58.7</c:v>
                </c:pt>
                <c:pt idx="3" formatCode="0.0">
                  <c:v>54.353090578805471</c:v>
                </c:pt>
                <c:pt idx="4" formatCode="General">
                  <c:v>52.8</c:v>
                </c:pt>
                <c:pt idx="5" formatCode="General">
                  <c:v>57.8</c:v>
                </c:pt>
                <c:pt idx="6" formatCode="General">
                  <c:v>58.2</c:v>
                </c:pt>
                <c:pt idx="7" formatCode="General">
                  <c:v>56.5</c:v>
                </c:pt>
                <c:pt idx="8" formatCode="General">
                  <c:v>55.3</c:v>
                </c:pt>
                <c:pt idx="9" formatCode="General">
                  <c:v>53.8</c:v>
                </c:pt>
              </c:numCache>
            </c:numRef>
          </c:val>
          <c:extLst>
            <c:ext xmlns:c16="http://schemas.microsoft.com/office/drawing/2014/chart" uri="{C3380CC4-5D6E-409C-BE32-E72D297353CC}">
              <c16:uniqueId val="{00000000-75E1-499B-AEA1-D74EEFC88BD7}"/>
            </c:ext>
          </c:extLst>
        </c:ser>
        <c:dLbls>
          <c:showLegendKey val="0"/>
          <c:showVal val="0"/>
          <c:showCatName val="0"/>
          <c:showSerName val="0"/>
          <c:showPercent val="0"/>
          <c:showBubbleSize val="0"/>
        </c:dLbls>
        <c:gapWidth val="55"/>
        <c:overlap val="50"/>
        <c:axId val="484178104"/>
        <c:axId val="484178496"/>
      </c:barChart>
      <c:lineChart>
        <c:grouping val="standard"/>
        <c:varyColors val="0"/>
        <c:ser>
          <c:idx val="2"/>
          <c:order val="1"/>
          <c:tx>
            <c:strRef>
              <c:f>'мемо 2011-2016'!$D$49</c:f>
              <c:strCache>
                <c:ptCount val="1"/>
                <c:pt idx="0">
                  <c:v>резултат (десна скала)</c:v>
                </c:pt>
              </c:strCache>
            </c:strRef>
          </c:tx>
          <c:spPr>
            <a:ln>
              <a:solidFill>
                <a:srgbClr val="FF0000"/>
              </a:solidFill>
            </a:ln>
          </c:spPr>
          <c:marker>
            <c:symbol val="none"/>
          </c:marker>
          <c:dLbls>
            <c:dLbl>
              <c:idx val="0"/>
              <c:layout>
                <c:manualLayout>
                  <c:x val="-1.7292116551793794E-2"/>
                  <c:y val="-0.24593530538412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E1-499B-AEA1-D74EEFC88BD7}"/>
                </c:ext>
              </c:extLst>
            </c:dLbl>
            <c:dLbl>
              <c:idx val="1"/>
              <c:layout>
                <c:manualLayout>
                  <c:x val="9.9363021839251227E-3"/>
                  <c:y val="1.58350848574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E1-499B-AEA1-D74EEFC88BD7}"/>
                </c:ext>
              </c:extLst>
            </c:dLbl>
            <c:dLbl>
              <c:idx val="2"/>
              <c:layout>
                <c:manualLayout>
                  <c:x val="-1.7054991121933039E-2"/>
                  <c:y val="3.830575865516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E1-499B-AEA1-D74EEFC88BD7}"/>
                </c:ext>
              </c:extLst>
            </c:dLbl>
            <c:dLbl>
              <c:idx val="3"/>
              <c:layout>
                <c:manualLayout>
                  <c:x val="7.1653768988248785E-3"/>
                  <c:y val="-1.9920318725099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E1-499B-AEA1-D74EEFC88BD7}"/>
                </c:ext>
              </c:extLst>
            </c:dLbl>
            <c:dLbl>
              <c:idx val="4"/>
              <c:layout>
                <c:manualLayout>
                  <c:x val="1.2897678417884782E-2"/>
                  <c:y val="3.98406374501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E1-499B-AEA1-D74EEFC88BD7}"/>
                </c:ext>
              </c:extLst>
            </c:dLbl>
            <c:dLbl>
              <c:idx val="5"/>
              <c:layout>
                <c:manualLayout>
                  <c:x val="-2.2819738030908168E-2"/>
                  <c:y val="-0.24612743719535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E1-499B-AEA1-D74EEFC88BD7}"/>
                </c:ext>
              </c:extLst>
            </c:dLbl>
            <c:dLbl>
              <c:idx val="6"/>
              <c:layout>
                <c:manualLayout>
                  <c:x val="6.6543935298123405E-3"/>
                  <c:y val="-1.6115554004250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E1-499B-AEA1-D74EEFC88BD7}"/>
                </c:ext>
              </c:extLst>
            </c:dLbl>
            <c:dLbl>
              <c:idx val="7"/>
              <c:layout>
                <c:manualLayout>
                  <c:x val="4.2992261392948219E-3"/>
                  <c:y val="1.9920318725099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E1-499B-AEA1-D74EEFC88BD7}"/>
                </c:ext>
              </c:extLst>
            </c:dLbl>
            <c:dLbl>
              <c:idx val="8"/>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E1-499B-AEA1-D74EEFC88BD7}"/>
                </c:ext>
              </c:extLst>
            </c:dLbl>
            <c:numFmt formatCode="#,##0.0" sourceLinked="0"/>
            <c:spPr>
              <a:noFill/>
              <a:ln>
                <a:noFill/>
              </a:ln>
              <a:effectLst/>
            </c:spPr>
            <c:txPr>
              <a:bodyPr wrap="square" lIns="38100" tIns="19050" rIns="38100" bIns="19050" anchor="ctr">
                <a:spAutoFit/>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2011-2016'!$J$49:$S$49</c:f>
              <c:numCache>
                <c:formatCode>#,##0.0</c:formatCode>
                <c:ptCount val="10"/>
                <c:pt idx="0">
                  <c:v>-3.4574923786243579</c:v>
                </c:pt>
                <c:pt idx="1">
                  <c:v>-1.1977763417297731</c:v>
                </c:pt>
                <c:pt idx="2">
                  <c:v>1.099509271415023</c:v>
                </c:pt>
                <c:pt idx="3" formatCode="0.0">
                  <c:v>0.63691314414627054</c:v>
                </c:pt>
                <c:pt idx="4">
                  <c:v>-0.2</c:v>
                </c:pt>
                <c:pt idx="5">
                  <c:v>-8</c:v>
                </c:pt>
                <c:pt idx="6">
                  <c:v>-4.9000000000000004</c:v>
                </c:pt>
                <c:pt idx="7">
                  <c:v>-3</c:v>
                </c:pt>
                <c:pt idx="8" formatCode="General">
                  <c:v>-1.5</c:v>
                </c:pt>
                <c:pt idx="9" formatCode="General">
                  <c:v>-1</c:v>
                </c:pt>
              </c:numCache>
            </c:numRef>
          </c:val>
          <c:smooth val="1"/>
          <c:extLst>
            <c:ext xmlns:c16="http://schemas.microsoft.com/office/drawing/2014/chart" uri="{C3380CC4-5D6E-409C-BE32-E72D297353CC}">
              <c16:uniqueId val="{0000000A-75E1-499B-AEA1-D74EEFC88BD7}"/>
            </c:ext>
          </c:extLst>
        </c:ser>
        <c:ser>
          <c:idx val="1"/>
          <c:order val="2"/>
          <c:tx>
            <c:strRef>
              <c:f>'мемо 2011-2016'!$D$51</c:f>
              <c:strCache>
                <c:ptCount val="1"/>
                <c:pt idx="0">
                  <c:v>баланс</c:v>
                </c:pt>
              </c:strCache>
            </c:strRef>
          </c:tx>
          <c:spPr>
            <a:ln w="22225">
              <a:solidFill>
                <a:schemeClr val="tx1"/>
              </a:solidFill>
            </a:ln>
          </c:spPr>
          <c:marker>
            <c:symbol val="none"/>
          </c:marker>
          <c:val>
            <c:numRef>
              <c:f>'мемо 2011-2016'!$J$51:$S$51</c:f>
              <c:numCache>
                <c:formatCode>#,##0.0</c:formatCode>
                <c:ptCount val="10"/>
                <c:pt idx="0">
                  <c:v>0</c:v>
                </c:pt>
                <c:pt idx="1">
                  <c:v>0</c:v>
                </c:pt>
                <c:pt idx="2">
                  <c:v>0</c:v>
                </c:pt>
                <c:pt idx="3">
                  <c:v>0</c:v>
                </c:pt>
                <c:pt idx="4">
                  <c:v>0</c:v>
                </c:pt>
                <c:pt idx="5">
                  <c:v>0</c:v>
                </c:pt>
                <c:pt idx="6">
                  <c:v>0</c:v>
                </c:pt>
                <c:pt idx="7">
                  <c:v>0</c:v>
                </c:pt>
                <c:pt idx="8" formatCode="General">
                  <c:v>0</c:v>
                </c:pt>
                <c:pt idx="9" formatCode="General">
                  <c:v>0</c:v>
                </c:pt>
              </c:numCache>
            </c:numRef>
          </c:val>
          <c:smooth val="0"/>
          <c:extLst>
            <c:ext xmlns:c16="http://schemas.microsoft.com/office/drawing/2014/chart" uri="{C3380CC4-5D6E-409C-BE32-E72D297353CC}">
              <c16:uniqueId val="{0000000B-75E1-499B-AEA1-D74EEFC88BD7}"/>
            </c:ext>
          </c:extLst>
        </c:ser>
        <c:dLbls>
          <c:showLegendKey val="0"/>
          <c:showVal val="0"/>
          <c:showCatName val="0"/>
          <c:showSerName val="0"/>
          <c:showPercent val="0"/>
          <c:showBubbleSize val="0"/>
        </c:dLbls>
        <c:marker val="1"/>
        <c:smooth val="0"/>
        <c:axId val="484180064"/>
        <c:axId val="484179280"/>
      </c:lineChart>
      <c:catAx>
        <c:axId val="484178104"/>
        <c:scaling>
          <c:orientation val="minMax"/>
        </c:scaling>
        <c:delete val="0"/>
        <c:axPos val="b"/>
        <c:numFmt formatCode="General" sourceLinked="1"/>
        <c:majorTickMark val="out"/>
        <c:minorTickMark val="none"/>
        <c:tickLblPos val="nextTo"/>
        <c:spPr>
          <a:ln>
            <a:noFill/>
          </a:ln>
        </c:spPr>
        <c:txPr>
          <a:bodyPr/>
          <a:lstStyle/>
          <a:p>
            <a:pPr>
              <a:defRPr sz="7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84178496"/>
        <c:crossesAt val="0"/>
        <c:auto val="1"/>
        <c:lblAlgn val="ctr"/>
        <c:lblOffset val="100"/>
        <c:noMultiLvlLbl val="0"/>
      </c:catAx>
      <c:valAx>
        <c:axId val="484178496"/>
        <c:scaling>
          <c:orientation val="minMax"/>
          <c:max val="80"/>
          <c:min val="40"/>
        </c:scaling>
        <c:delete val="0"/>
        <c:axPos val="l"/>
        <c:majorGridlines>
          <c:spPr>
            <a:ln>
              <a:noFill/>
            </a:ln>
          </c:spPr>
        </c:majorGridlines>
        <c:numFmt formatCode="#,##0" sourceLinked="0"/>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84178104"/>
        <c:crosses val="autoZero"/>
        <c:crossBetween val="between"/>
        <c:majorUnit val="5"/>
      </c:valAx>
      <c:valAx>
        <c:axId val="484179280"/>
        <c:scaling>
          <c:orientation val="minMax"/>
        </c:scaling>
        <c:delete val="0"/>
        <c:axPos val="r"/>
        <c:numFmt formatCode="#,##0" sourceLinked="0"/>
        <c:majorTickMark val="out"/>
        <c:minorTickMark val="none"/>
        <c:tickLblPos val="nextTo"/>
        <c:spPr>
          <a:ln>
            <a:noFill/>
          </a:ln>
        </c:spPr>
        <c:txPr>
          <a:bodyPr/>
          <a:lstStyle/>
          <a:p>
            <a:pPr>
              <a:defRPr sz="800" baseline="0">
                <a:latin typeface="+mn-lt"/>
              </a:defRPr>
            </a:pPr>
            <a:endParaRPr lang="en-US"/>
          </a:p>
        </c:txPr>
        <c:crossAx val="484180064"/>
        <c:crosses val="max"/>
        <c:crossBetween val="between"/>
      </c:valAx>
      <c:catAx>
        <c:axId val="484180064"/>
        <c:scaling>
          <c:orientation val="minMax"/>
        </c:scaling>
        <c:delete val="1"/>
        <c:axPos val="b"/>
        <c:majorTickMark val="out"/>
        <c:minorTickMark val="none"/>
        <c:tickLblPos val="nextTo"/>
        <c:crossAx val="484179280"/>
        <c:crosses val="autoZero"/>
        <c:auto val="1"/>
        <c:lblAlgn val="ctr"/>
        <c:lblOffset val="100"/>
        <c:noMultiLvlLbl val="0"/>
      </c:catAx>
      <c:spPr>
        <a:noFill/>
        <a:ln>
          <a:noFill/>
        </a:ln>
      </c:spPr>
    </c:plotArea>
    <c:legend>
      <c:legendPos val="b"/>
      <c:overlay val="0"/>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900" baseline="0">
          <a:latin typeface="Cambria Math" pitchFamily="18" charset="0"/>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9.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0.51572</cdr:x>
      <cdr:y>0</cdr:y>
    </cdr:from>
    <cdr:to>
      <cdr:x>0.97222</cdr:x>
      <cdr:y>0.73863</cdr:y>
    </cdr:to>
    <cdr:sp macro="" textlink="">
      <cdr:nvSpPr>
        <cdr:cNvPr id="3" name="TextBox 2"/>
        <cdr:cNvSpPr txBox="1"/>
      </cdr:nvSpPr>
      <cdr:spPr>
        <a:xfrm xmlns:a="http://schemas.openxmlformats.org/drawingml/2006/main">
          <a:off x="1414733" y="0"/>
          <a:ext cx="1252262" cy="156046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0.52516</cdr:x>
      <cdr:y>0</cdr:y>
    </cdr:from>
    <cdr:to>
      <cdr:x>0.98231</cdr:x>
      <cdr:y>0.73936</cdr:y>
    </cdr:to>
    <cdr:sp macro="" textlink="">
      <cdr:nvSpPr>
        <cdr:cNvPr id="3" name="TextBox 2"/>
        <cdr:cNvSpPr txBox="1"/>
      </cdr:nvSpPr>
      <cdr:spPr>
        <a:xfrm xmlns:a="http://schemas.openxmlformats.org/drawingml/2006/main">
          <a:off x="1440612" y="0"/>
          <a:ext cx="1254061" cy="1562944"/>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0.51307</cdr:x>
      <cdr:y>0.00827</cdr:y>
    </cdr:from>
    <cdr:to>
      <cdr:x>0.96515</cdr:x>
      <cdr:y>0.76895</cdr:y>
    </cdr:to>
    <cdr:sp macro="" textlink="">
      <cdr:nvSpPr>
        <cdr:cNvPr id="3" name="TextBox 2"/>
        <cdr:cNvSpPr txBox="1"/>
      </cdr:nvSpPr>
      <cdr:spPr>
        <a:xfrm xmlns:a="http://schemas.openxmlformats.org/drawingml/2006/main">
          <a:off x="1407455" y="19051"/>
          <a:ext cx="1240145" cy="1752600"/>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0.37333</cdr:x>
      <cdr:y>0.14579</cdr:y>
    </cdr:from>
    <cdr:to>
      <cdr:x>0.37667</cdr:x>
      <cdr:y>0.84738</cdr:y>
    </cdr:to>
    <cdr:cxnSp macro="">
      <cdr:nvCxnSpPr>
        <cdr:cNvPr id="3" name="Straight Connector 2"/>
        <cdr:cNvCxnSpPr/>
      </cdr:nvCxnSpPr>
      <cdr:spPr>
        <a:xfrm xmlns:a="http://schemas.openxmlformats.org/drawingml/2006/main">
          <a:off x="1066800" y="609600"/>
          <a:ext cx="9525" cy="293370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0.14468</cdr:x>
      <cdr:y>0.36653</cdr:y>
    </cdr:from>
    <cdr:to>
      <cdr:x>0.98114</cdr:x>
      <cdr:y>0.36791</cdr:y>
    </cdr:to>
    <cdr:cxnSp macro="">
      <cdr:nvCxnSpPr>
        <cdr:cNvPr id="7" name="Straight Connector 6"/>
        <cdr:cNvCxnSpPr/>
      </cdr:nvCxnSpPr>
      <cdr:spPr>
        <a:xfrm xmlns:a="http://schemas.openxmlformats.org/drawingml/2006/main" flipV="1">
          <a:off x="413414" y="1532634"/>
          <a:ext cx="2390184" cy="577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0.86328</cdr:x>
      <cdr:y>0.09401</cdr:y>
    </cdr:from>
    <cdr:to>
      <cdr:x>0.86454</cdr:x>
      <cdr:y>0.91861</cdr:y>
    </cdr:to>
    <cdr:cxnSp macro="">
      <cdr:nvCxnSpPr>
        <cdr:cNvPr id="3" name="Straight Connector 2"/>
        <cdr:cNvCxnSpPr/>
      </cdr:nvCxnSpPr>
      <cdr:spPr>
        <a:xfrm xmlns:a="http://schemas.openxmlformats.org/drawingml/2006/main">
          <a:off x="6196120" y="397363"/>
          <a:ext cx="9043" cy="348560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0.11452</cdr:x>
      <cdr:y>0.17764</cdr:y>
    </cdr:from>
    <cdr:to>
      <cdr:x>0.24585</cdr:x>
      <cdr:y>0.5815</cdr:y>
    </cdr:to>
    <cdr:sp macro="" textlink="">
      <cdr:nvSpPr>
        <cdr:cNvPr id="11" name="Oval 10"/>
        <cdr:cNvSpPr/>
      </cdr:nvSpPr>
      <cdr:spPr>
        <a:xfrm xmlns:a="http://schemas.openxmlformats.org/drawingml/2006/main">
          <a:off x="765771" y="768601"/>
          <a:ext cx="878186" cy="1747319"/>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0.19839</cdr:x>
      <cdr:y>0.18226</cdr:y>
    </cdr:from>
    <cdr:to>
      <cdr:x>0.26439</cdr:x>
      <cdr:y>0.36468</cdr:y>
    </cdr:to>
    <cdr:sp macro="" textlink="">
      <cdr:nvSpPr>
        <cdr:cNvPr id="5" name="Straight Arrow Connector 4"/>
        <cdr:cNvSpPr/>
      </cdr:nvSpPr>
      <cdr:spPr>
        <a:xfrm xmlns:a="http://schemas.openxmlformats.org/drawingml/2006/main" flipV="1">
          <a:off x="1326550" y="788569"/>
          <a:ext cx="441325" cy="789261"/>
        </a:xfrm>
        <a:prstGeom xmlns:a="http://schemas.openxmlformats.org/drawingml/2006/main" prst="straightConnector1">
          <a:avLst/>
        </a:prstGeom>
        <a:ln xmlns:a="http://schemas.openxmlformats.org/drawingml/2006/main">
          <a:solidFill>
            <a:schemeClr val="dk1">
              <a:alpha val="54000"/>
            </a:schemeClr>
          </a:solidFill>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0.22207</cdr:x>
      <cdr:y>0.12824</cdr:y>
    </cdr:from>
    <cdr:to>
      <cdr:x>0.48914</cdr:x>
      <cdr:y>0.19398</cdr:y>
    </cdr:to>
    <cdr:sp macro="" textlink="">
      <cdr:nvSpPr>
        <cdr:cNvPr id="6" name="TextBox 5"/>
        <cdr:cNvSpPr txBox="1"/>
      </cdr:nvSpPr>
      <cdr:spPr>
        <a:xfrm xmlns:a="http://schemas.openxmlformats.org/drawingml/2006/main">
          <a:off x="612426" y="383058"/>
          <a:ext cx="736540" cy="196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0.45632</cdr:x>
      <cdr:y>0.57661</cdr:y>
    </cdr:from>
    <cdr:to>
      <cdr:x>0.72551</cdr:x>
      <cdr:y>0.6469</cdr:y>
    </cdr:to>
    <cdr:sp macro="" textlink="">
      <cdr:nvSpPr>
        <cdr:cNvPr id="7" name="TextBox 6"/>
        <cdr:cNvSpPr txBox="1"/>
      </cdr:nvSpPr>
      <cdr:spPr>
        <a:xfrm xmlns:a="http://schemas.openxmlformats.org/drawingml/2006/main">
          <a:off x="2721166" y="1222566"/>
          <a:ext cx="1605257" cy="149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Рестриктивна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0.36229</cdr:x>
      <cdr:y>0.24444</cdr:y>
    </cdr:from>
    <cdr:to>
      <cdr:x>0.50581</cdr:x>
      <cdr:y>0.61707</cdr:y>
    </cdr:to>
    <cdr:sp macro="" textlink="">
      <cdr:nvSpPr>
        <cdr:cNvPr id="12" name="Oval 11"/>
        <cdr:cNvSpPr/>
      </cdr:nvSpPr>
      <cdr:spPr>
        <a:xfrm xmlns:a="http://schemas.openxmlformats.org/drawingml/2006/main">
          <a:off x="2422554" y="1057597"/>
          <a:ext cx="959667" cy="1612226"/>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0.06022</cdr:x>
      <cdr:y>0.20859</cdr:y>
    </cdr:from>
    <cdr:to>
      <cdr:x>0.32172</cdr:x>
      <cdr:y>0.27278</cdr:y>
    </cdr:to>
    <cdr:sp macro="" textlink="">
      <cdr:nvSpPr>
        <cdr:cNvPr id="18" name="TextBox 17"/>
        <cdr:cNvSpPr txBox="1"/>
      </cdr:nvSpPr>
      <cdr:spPr>
        <a:xfrm xmlns:a="http://schemas.openxmlformats.org/drawingml/2006/main">
          <a:off x="166068" y="623064"/>
          <a:ext cx="721172" cy="191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0.29874</cdr:x>
      <cdr:y>0.30006</cdr:y>
    </cdr:from>
    <cdr:to>
      <cdr:x>0.58106</cdr:x>
      <cdr:y>0.36705</cdr:y>
    </cdr:to>
    <cdr:sp macro="" textlink="">
      <cdr:nvSpPr>
        <cdr:cNvPr id="19" name="TextBox 18"/>
        <cdr:cNvSpPr txBox="1"/>
      </cdr:nvSpPr>
      <cdr:spPr>
        <a:xfrm xmlns:a="http://schemas.openxmlformats.org/drawingml/2006/main">
          <a:off x="823865" y="896292"/>
          <a:ext cx="778597" cy="2001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0.64256</cdr:x>
      <cdr:y>0.1902</cdr:y>
    </cdr:from>
    <cdr:to>
      <cdr:x>0.75494</cdr:x>
      <cdr:y>0.7217</cdr:y>
    </cdr:to>
    <cdr:sp macro="" textlink="">
      <cdr:nvSpPr>
        <cdr:cNvPr id="10" name="Oval 9"/>
        <cdr:cNvSpPr/>
      </cdr:nvSpPr>
      <cdr:spPr>
        <a:xfrm xmlns:a="http://schemas.openxmlformats.org/drawingml/2006/main">
          <a:off x="4296621" y="822922"/>
          <a:ext cx="751438" cy="2299595"/>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0.54495</cdr:x>
      <cdr:y>0.23338</cdr:y>
    </cdr:from>
    <cdr:to>
      <cdr:x>0.77931</cdr:x>
      <cdr:y>0.33458</cdr:y>
    </cdr:to>
    <cdr:sp macro="" textlink="">
      <cdr:nvSpPr>
        <cdr:cNvPr id="13" name="TextBox 12"/>
        <cdr:cNvSpPr txBox="1"/>
      </cdr:nvSpPr>
      <cdr:spPr>
        <a:xfrm xmlns:a="http://schemas.openxmlformats.org/drawingml/2006/main">
          <a:off x="1502875" y="697117"/>
          <a:ext cx="646311" cy="302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600" b="1"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0.60404</cdr:x>
      <cdr:y>0.4122</cdr:y>
    </cdr:from>
    <cdr:to>
      <cdr:x>0.86996</cdr:x>
      <cdr:y>0.52132</cdr:y>
    </cdr:to>
    <cdr:sp macro="" textlink="">
      <cdr:nvSpPr>
        <cdr:cNvPr id="15" name="TextBox 1"/>
        <cdr:cNvSpPr txBox="1"/>
      </cdr:nvSpPr>
      <cdr:spPr>
        <a:xfrm xmlns:a="http://schemas.openxmlformats.org/drawingml/2006/main">
          <a:off x="1665838" y="1231272"/>
          <a:ext cx="733330" cy="3259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6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0.71784</cdr:x>
      <cdr:y>0.06718</cdr:y>
    </cdr:from>
    <cdr:to>
      <cdr:x>0.79773</cdr:x>
      <cdr:y>0.72841</cdr:y>
    </cdr:to>
    <cdr:sp macro="" textlink="">
      <cdr:nvSpPr>
        <cdr:cNvPr id="16" name="Oval 15"/>
        <cdr:cNvSpPr/>
      </cdr:nvSpPr>
      <cdr:spPr>
        <a:xfrm xmlns:a="http://schemas.openxmlformats.org/drawingml/2006/main">
          <a:off x="1979656" y="200658"/>
          <a:ext cx="220336" cy="1975121"/>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0.65</cdr:x>
      <cdr:y>0.70317</cdr:y>
    </cdr:from>
    <cdr:to>
      <cdr:x>0.92449</cdr:x>
      <cdr:y>0.80878</cdr:y>
    </cdr:to>
    <cdr:sp macro="" textlink="">
      <cdr:nvSpPr>
        <cdr:cNvPr id="20" name="TextBox 1"/>
        <cdr:cNvSpPr txBox="1"/>
      </cdr:nvSpPr>
      <cdr:spPr>
        <a:xfrm xmlns:a="http://schemas.openxmlformats.org/drawingml/2006/main">
          <a:off x="1792587" y="2100406"/>
          <a:ext cx="756989" cy="3154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0.04792</cdr:x>
      <cdr:y>0.73785</cdr:y>
    </cdr:from>
    <cdr:to>
      <cdr:x>0.24167</cdr:x>
      <cdr:y>0.86979</cdr:y>
    </cdr:to>
    <cdr:sp macro="" textlink="">
      <cdr:nvSpPr>
        <cdr:cNvPr id="3" name="TextBox 2"/>
        <cdr:cNvSpPr txBox="1"/>
      </cdr:nvSpPr>
      <cdr:spPr>
        <a:xfrm xmlns:a="http://schemas.openxmlformats.org/drawingml/2006/main">
          <a:off x="228061" y="2482144"/>
          <a:ext cx="922095" cy="443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800">
            <a:latin typeface="+mj-lt"/>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0.76703</cdr:x>
      <cdr:y>0.16819</cdr:y>
    </cdr:from>
    <cdr:to>
      <cdr:x>0.98856</cdr:x>
      <cdr:y>0.2903</cdr:y>
    </cdr:to>
    <cdr:sp macro="" textlink="">
      <cdr:nvSpPr>
        <cdr:cNvPr id="5" name="TextBox 1"/>
        <cdr:cNvSpPr txBox="1"/>
      </cdr:nvSpPr>
      <cdr:spPr>
        <a:xfrm xmlns:a="http://schemas.openxmlformats.org/drawingml/2006/main">
          <a:off x="3650440" y="565780"/>
          <a:ext cx="1054306"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0.73125</cdr:x>
      <cdr:y>0.8206</cdr:y>
    </cdr:from>
    <cdr:to>
      <cdr:x>0.95417</cdr:x>
      <cdr:y>0.94271</cdr:y>
    </cdr:to>
    <cdr:sp macro="" textlink="">
      <cdr:nvSpPr>
        <cdr:cNvPr id="6" name="TextBox 1"/>
        <cdr:cNvSpPr txBox="1"/>
      </cdr:nvSpPr>
      <cdr:spPr>
        <a:xfrm xmlns:a="http://schemas.openxmlformats.org/drawingml/2006/main">
          <a:off x="3480164" y="2760516"/>
          <a:ext cx="1060921"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0.04928</cdr:x>
      <cdr:y>0.22036</cdr:y>
    </cdr:from>
    <cdr:to>
      <cdr:x>0.27219</cdr:x>
      <cdr:y>0.34247</cdr:y>
    </cdr:to>
    <cdr:sp macro="" textlink="">
      <cdr:nvSpPr>
        <cdr:cNvPr id="7" name="TextBox 1"/>
        <cdr:cNvSpPr txBox="1"/>
      </cdr:nvSpPr>
      <cdr:spPr>
        <a:xfrm xmlns:a="http://schemas.openxmlformats.org/drawingml/2006/main">
          <a:off x="234530" y="741312"/>
          <a:ext cx="1060873" cy="410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Cambria" panose="02040503050406030204" pitchFamily="18" charset="0"/>
          </a:endParaRPr>
        </a:p>
      </cdr:txBody>
    </cdr:sp>
  </cdr:relSizeAnchor>
  <cdr:relSizeAnchor xmlns:cdr="http://schemas.openxmlformats.org/drawingml/2006/chartDrawing">
    <cdr:from>
      <cdr:x>0.04375</cdr:x>
      <cdr:y>0.88368</cdr:y>
    </cdr:from>
    <cdr:to>
      <cdr:x>0.16667</cdr:x>
      <cdr:y>0.93576</cdr:y>
    </cdr:to>
    <cdr:sp macro="" textlink="">
      <cdr:nvSpPr>
        <cdr:cNvPr id="14"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0.03189</cdr:x>
      <cdr:y>0.82057</cdr:y>
    </cdr:from>
    <cdr:to>
      <cdr:x>0.28889</cdr:x>
      <cdr:y>1</cdr:y>
    </cdr:to>
    <cdr:sp macro="" textlink="">
      <cdr:nvSpPr>
        <cdr:cNvPr id="15" name="TextBox 2"/>
        <cdr:cNvSpPr txBox="1"/>
      </cdr:nvSpPr>
      <cdr:spPr>
        <a:xfrm xmlns:a="http://schemas.openxmlformats.org/drawingml/2006/main">
          <a:off x="87946" y="1665838"/>
          <a:ext cx="708759" cy="364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проциклично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16"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0.70581</cdr:x>
      <cdr:y>0.01784</cdr:y>
    </cdr:from>
    <cdr:to>
      <cdr:x>1</cdr:x>
      <cdr:y>0.14717</cdr:y>
    </cdr:to>
    <cdr:sp macro="" textlink="">
      <cdr:nvSpPr>
        <cdr:cNvPr id="17" name="TextBox 1"/>
        <cdr:cNvSpPr txBox="1"/>
      </cdr:nvSpPr>
      <cdr:spPr>
        <a:xfrm xmlns:a="http://schemas.openxmlformats.org/drawingml/2006/main">
          <a:off x="1946496" y="36214"/>
          <a:ext cx="811309" cy="2625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проциклично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0.71238</cdr:x>
      <cdr:y>0.84287</cdr:y>
    </cdr:from>
    <cdr:to>
      <cdr:x>1</cdr:x>
      <cdr:y>1</cdr:y>
    </cdr:to>
    <cdr:sp macro="" textlink="">
      <cdr:nvSpPr>
        <cdr:cNvPr id="18" name="TextBox 1"/>
        <cdr:cNvSpPr txBox="1"/>
      </cdr:nvSpPr>
      <cdr:spPr>
        <a:xfrm xmlns:a="http://schemas.openxmlformats.org/drawingml/2006/main">
          <a:off x="1964602" y="1711105"/>
          <a:ext cx="793203" cy="3189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4.92588E-7</cdr:y>
    </cdr:from>
    <cdr:to>
      <cdr:x>0.34142</cdr:x>
      <cdr:y>0.10257</cdr:y>
    </cdr:to>
    <cdr:sp macro="" textlink="">
      <cdr:nvSpPr>
        <cdr:cNvPr id="19" name="TextBox 1"/>
        <cdr:cNvSpPr txBox="1"/>
      </cdr:nvSpPr>
      <cdr:spPr>
        <a:xfrm xmlns:a="http://schemas.openxmlformats.org/drawingml/2006/main">
          <a:off x="0" y="1"/>
          <a:ext cx="941560" cy="2082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7B6C1-6E70-44CE-AFB0-D2DB8B93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76047</Words>
  <Characters>433473</Characters>
  <Application>Microsoft Office Word</Application>
  <DocSecurity>0</DocSecurity>
  <Lines>3612</Lines>
  <Paragraphs>1017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Terzic</dc:creator>
  <cp:lastModifiedBy>Vukomir Petrić</cp:lastModifiedBy>
  <cp:revision>2</cp:revision>
  <cp:lastPrinted>2020-12-11T13:32:00Z</cp:lastPrinted>
  <dcterms:created xsi:type="dcterms:W3CDTF">2021-12-09T15:11:00Z</dcterms:created>
  <dcterms:modified xsi:type="dcterms:W3CDTF">2021-12-09T15:11:00Z</dcterms:modified>
</cp:coreProperties>
</file>