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3EF9" w14:textId="348E3092" w:rsidR="00136AEF" w:rsidRPr="00136AEF" w:rsidRDefault="00136AEF" w:rsidP="00136AEF">
      <w:pPr>
        <w:pStyle w:val="NoSpacing"/>
        <w:rPr>
          <w:rFonts w:ascii="Times New Roman" w:eastAsia="Calibri" w:hAnsi="Times New Roman" w:cs="Times New Roman"/>
          <w:bCs/>
          <w:sz w:val="32"/>
          <w:szCs w:val="32"/>
          <w:lang w:val="sr-Cyrl-RS"/>
        </w:rPr>
      </w:pPr>
      <w:r w:rsidRPr="00136AEF">
        <w:rPr>
          <w:rFonts w:ascii="Times New Roman" w:eastAsia="Calibri" w:hAnsi="Times New Roman" w:cs="Times New Roman"/>
          <w:bCs/>
          <w:sz w:val="32"/>
          <w:szCs w:val="32"/>
          <w:lang w:val="sr-Cyrl-RS"/>
        </w:rPr>
        <w:t>А</w:t>
      </w:r>
      <w:r>
        <w:rPr>
          <w:rFonts w:ascii="Times New Roman" w:eastAsia="Calibri" w:hAnsi="Times New Roman" w:cs="Times New Roman"/>
          <w:bCs/>
          <w:sz w:val="32"/>
          <w:szCs w:val="32"/>
          <w:lang w:val="sr-Cyrl-RS"/>
        </w:rPr>
        <w:t>ПР</w:t>
      </w:r>
      <w:r w:rsidRPr="00136AEF">
        <w:rPr>
          <w:rFonts w:ascii="Times New Roman" w:eastAsia="Calibri" w:hAnsi="Times New Roman" w:cs="Times New Roman"/>
          <w:bCs/>
          <w:sz w:val="32"/>
          <w:szCs w:val="32"/>
          <w:lang w:val="sr-Cyrl-RS"/>
        </w:rPr>
        <w:t xml:space="preserve"> објави</w:t>
      </w:r>
      <w:r>
        <w:rPr>
          <w:rFonts w:ascii="Times New Roman" w:eastAsia="Calibri" w:hAnsi="Times New Roman" w:cs="Times New Roman"/>
          <w:bCs/>
          <w:sz w:val="32"/>
          <w:szCs w:val="32"/>
          <w:lang w:val="sr-Cyrl-RS"/>
        </w:rPr>
        <w:t>о</w:t>
      </w:r>
      <w:r w:rsidRPr="00136AEF">
        <w:rPr>
          <w:rFonts w:ascii="Times New Roman" w:eastAsia="Calibri" w:hAnsi="Times New Roman" w:cs="Times New Roman"/>
          <w:bCs/>
          <w:sz w:val="32"/>
          <w:szCs w:val="32"/>
          <w:lang w:val="sr-Cyrl-RS"/>
        </w:rPr>
        <w:t xml:space="preserve"> „Годишњи извештај о пословању привреде у 2022. години” </w:t>
      </w:r>
    </w:p>
    <w:p w14:paraId="4107BA56" w14:textId="77777777" w:rsidR="00136AEF" w:rsidRPr="00136AEF" w:rsidRDefault="00136AEF" w:rsidP="00136AEF">
      <w:pPr>
        <w:pStyle w:val="NoSpacing"/>
        <w:rPr>
          <w:rFonts w:ascii="Times New Roman" w:eastAsia="Calibri" w:hAnsi="Times New Roman" w:cs="Times New Roman"/>
          <w:bCs/>
          <w:sz w:val="32"/>
          <w:szCs w:val="32"/>
          <w:lang w:val="sr-Cyrl-CS"/>
        </w:rPr>
      </w:pPr>
    </w:p>
    <w:p w14:paraId="4F9581E5" w14:textId="72B12017" w:rsidR="00136AEF" w:rsidRP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RS"/>
        </w:rPr>
      </w:pPr>
      <w:r w:rsidRPr="00136AEF">
        <w:rPr>
          <w:rFonts w:eastAsia="Calibri"/>
          <w:bCs/>
          <w:sz w:val="32"/>
          <w:szCs w:val="32"/>
          <w:lang w:val="sr-Cyrl-CS"/>
        </w:rPr>
        <w:t>Београд, 1</w:t>
      </w:r>
      <w:r w:rsidRPr="00136AEF">
        <w:rPr>
          <w:rFonts w:eastAsia="Calibri"/>
          <w:bCs/>
          <w:sz w:val="32"/>
          <w:szCs w:val="32"/>
          <w:lang w:val="sr-Latn-RS"/>
        </w:rPr>
        <w:t>9</w:t>
      </w:r>
      <w:r w:rsidRPr="00136AEF">
        <w:rPr>
          <w:rFonts w:eastAsia="Calibri"/>
          <w:bCs/>
          <w:sz w:val="32"/>
          <w:szCs w:val="32"/>
          <w:lang w:val="sr-Cyrl-CS"/>
        </w:rPr>
        <w:t>. ју</w:t>
      </w:r>
      <w:r w:rsidRPr="00136AEF">
        <w:rPr>
          <w:rFonts w:eastAsia="Calibri"/>
          <w:bCs/>
          <w:sz w:val="32"/>
          <w:szCs w:val="32"/>
          <w:lang w:val="sr-Cyrl-RS"/>
        </w:rPr>
        <w:t xml:space="preserve">л </w:t>
      </w:r>
      <w:r w:rsidRPr="00136AEF">
        <w:rPr>
          <w:rFonts w:eastAsia="Calibri"/>
          <w:bCs/>
          <w:sz w:val="32"/>
          <w:szCs w:val="32"/>
          <w:lang w:val="sr-Cyrl-CS"/>
        </w:rPr>
        <w:t>2023. године</w:t>
      </w:r>
      <w:r w:rsidRPr="00136AEF">
        <w:rPr>
          <w:rFonts w:eastAsia="Calibri"/>
          <w:bCs/>
          <w:sz w:val="32"/>
          <w:szCs w:val="32"/>
          <w:lang w:val="sr-Latn-RS"/>
        </w:rPr>
        <w:t xml:space="preserve"> </w:t>
      </w:r>
      <w:r w:rsidRPr="00136AEF">
        <w:rPr>
          <w:rFonts w:eastAsia="Calibri"/>
          <w:bCs/>
          <w:sz w:val="32"/>
          <w:szCs w:val="32"/>
          <w:lang w:val="sr-Cyrl-CS"/>
        </w:rPr>
        <w:t>– Агенција за привредне регистре</w:t>
      </w:r>
      <w:r>
        <w:rPr>
          <w:rFonts w:eastAsia="Calibri"/>
          <w:bCs/>
          <w:sz w:val="32"/>
          <w:szCs w:val="32"/>
          <w:lang w:val="sr-Cyrl-CS"/>
        </w:rPr>
        <w:t xml:space="preserve"> Републике Србије </w:t>
      </w:r>
      <w:r w:rsidRPr="00136AEF">
        <w:rPr>
          <w:rFonts w:eastAsia="Calibri"/>
          <w:bCs/>
          <w:sz w:val="32"/>
          <w:szCs w:val="32"/>
          <w:lang w:val="sr-Cyrl-CS"/>
        </w:rPr>
        <w:t>(АПР)</w:t>
      </w:r>
      <w:r>
        <w:rPr>
          <w:rFonts w:eastAsia="Calibri"/>
          <w:bCs/>
          <w:sz w:val="32"/>
          <w:szCs w:val="32"/>
          <w:lang w:val="sr-Cyrl-CS"/>
        </w:rPr>
        <w:t xml:space="preserve"> саопштила је да је у</w:t>
      </w:r>
      <w:r w:rsidRPr="00136AEF">
        <w:rPr>
          <w:rFonts w:eastAsia="Calibri"/>
          <w:bCs/>
          <w:sz w:val="32"/>
          <w:szCs w:val="32"/>
          <w:lang w:val="sr-Cyrl-RS"/>
        </w:rPr>
        <w:t xml:space="preserve"> условима заоштравања међународних политичких и економских односа</w:t>
      </w:r>
      <w:r w:rsidR="004B4B87">
        <w:rPr>
          <w:rFonts w:eastAsia="Calibri"/>
          <w:bCs/>
          <w:sz w:val="32"/>
          <w:szCs w:val="32"/>
          <w:lang w:val="sr-Cyrl-RS"/>
        </w:rPr>
        <w:t>.</w:t>
      </w:r>
      <w:r w:rsidRPr="00136AEF">
        <w:rPr>
          <w:rFonts w:eastAsia="Calibri"/>
          <w:bCs/>
          <w:sz w:val="32"/>
          <w:szCs w:val="32"/>
          <w:lang w:val="sr-Cyrl-RS"/>
        </w:rPr>
        <w:t xml:space="preserve"> праћених растућим инфлаторним притисцима и високим ценама енергената, привреда Републике Србије током 2022. године наставила тенденцију раста, иако по нижој стопи од пројектоване. </w:t>
      </w:r>
    </w:p>
    <w:p w14:paraId="35A50842" w14:textId="77777777" w:rsidR="00136AEF" w:rsidRP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RS"/>
        </w:rPr>
      </w:pPr>
    </w:p>
    <w:p w14:paraId="173A8C31" w14:textId="6AFB515D" w:rsid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CS"/>
        </w:rPr>
      </w:pPr>
      <w:r w:rsidRPr="00136AEF">
        <w:rPr>
          <w:rFonts w:eastAsia="Calibri"/>
          <w:bCs/>
          <w:sz w:val="32"/>
          <w:szCs w:val="32"/>
          <w:lang w:val="sr-Cyrl-CS"/>
        </w:rPr>
        <w:t>Раст профитабилности привреде током 2022. године праћен је увећањем финансијских капацитета и броја запослених, али и нешто већим нивоом задужености и кумулираног губитка</w:t>
      </w:r>
      <w:r w:rsidRPr="00136AEF">
        <w:rPr>
          <w:rFonts w:eastAsia="Calibri"/>
          <w:bCs/>
          <w:sz w:val="32"/>
          <w:szCs w:val="32"/>
          <w:lang w:val="sr-Cyrl-RS"/>
        </w:rPr>
        <w:t xml:space="preserve">, стоји у </w:t>
      </w:r>
      <w:r w:rsidRPr="00136AEF">
        <w:rPr>
          <w:rFonts w:eastAsia="Calibri"/>
          <w:bCs/>
          <w:sz w:val="32"/>
          <w:szCs w:val="32"/>
          <w:lang w:val="sr-Cyrl-CS"/>
        </w:rPr>
        <w:t xml:space="preserve">публикацији „Годишњи извештај о пословању привреде у 2022. години”, коју је на својој </w:t>
      </w:r>
      <w:hyperlink r:id="rId4" w:history="1">
        <w:r w:rsidRPr="004B4B87">
          <w:rPr>
            <w:rStyle w:val="Hyperlink"/>
            <w:rFonts w:eastAsia="Calibri"/>
            <w:bCs/>
            <w:sz w:val="32"/>
            <w:szCs w:val="32"/>
            <w:lang w:val="sr-Cyrl-CS"/>
          </w:rPr>
          <w:t>интернет страници</w:t>
        </w:r>
      </w:hyperlink>
      <w:r w:rsidRPr="00136AEF">
        <w:rPr>
          <w:rFonts w:eastAsia="Calibri"/>
          <w:bCs/>
          <w:sz w:val="32"/>
          <w:szCs w:val="32"/>
          <w:lang w:val="sr-Cyrl-CS"/>
        </w:rPr>
        <w:t xml:space="preserve"> данас објавила Агенција за привредне регистре (АПР). </w:t>
      </w:r>
    </w:p>
    <w:p w14:paraId="3C2100D4" w14:textId="77777777" w:rsidR="00136AEF" w:rsidRP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CS"/>
        </w:rPr>
      </w:pPr>
    </w:p>
    <w:p w14:paraId="1CB7F402" w14:textId="77777777" w:rsid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CS"/>
        </w:rPr>
      </w:pPr>
      <w:r w:rsidRPr="00136AEF">
        <w:rPr>
          <w:rFonts w:eastAsia="Calibri"/>
          <w:bCs/>
          <w:sz w:val="32"/>
          <w:szCs w:val="32"/>
          <w:lang w:val="sr-Cyrl-CS"/>
        </w:rPr>
        <w:t xml:space="preserve">Годишњи извештај о пословању привреде садржи анализу успешности пословања и финансијског положаја за </w:t>
      </w:r>
      <w:r w:rsidRPr="00136AEF">
        <w:rPr>
          <w:rFonts w:eastAsia="Calibri"/>
          <w:bCs/>
          <w:sz w:val="32"/>
          <w:szCs w:val="32"/>
          <w:lang w:val="sr-Cyrl-RS"/>
        </w:rPr>
        <w:t xml:space="preserve">108.856 </w:t>
      </w:r>
      <w:r w:rsidRPr="00136AEF">
        <w:rPr>
          <w:rFonts w:eastAsia="Calibri"/>
          <w:bCs/>
          <w:sz w:val="32"/>
          <w:szCs w:val="32"/>
          <w:lang w:val="sr-Cyrl-CS"/>
        </w:rPr>
        <w:t xml:space="preserve">привредних друштава, 1.508 установа и 113.643 предузетника. </w:t>
      </w:r>
    </w:p>
    <w:p w14:paraId="43DBF683" w14:textId="77777777" w:rsid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CS"/>
        </w:rPr>
      </w:pPr>
    </w:p>
    <w:p w14:paraId="7E16A749" w14:textId="77777777" w:rsid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CS"/>
        </w:rPr>
      </w:pPr>
      <w:r w:rsidRPr="00136AEF">
        <w:rPr>
          <w:rFonts w:eastAsia="Calibri"/>
          <w:bCs/>
          <w:sz w:val="32"/>
          <w:szCs w:val="32"/>
          <w:lang w:val="sr-Cyrl-CS"/>
        </w:rPr>
        <w:t xml:space="preserve">Извештај је сачињен на основу прелиминарне збирне обраде података из редовних годишњих финансијских извештаја и статистичких извештаја за 2022. годину, који су унети у базу за статистичке потребе и на основу којих су сагледани основни трендови. </w:t>
      </w:r>
    </w:p>
    <w:p w14:paraId="51BA2386" w14:textId="77777777" w:rsid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CS"/>
        </w:rPr>
      </w:pPr>
    </w:p>
    <w:p w14:paraId="5929945D" w14:textId="461C962D" w:rsidR="00136AEF" w:rsidRPr="00136AEF" w:rsidRDefault="00136AEF" w:rsidP="00136AEF">
      <w:pPr>
        <w:autoSpaceDE w:val="0"/>
        <w:autoSpaceDN w:val="0"/>
        <w:adjustRightInd w:val="0"/>
        <w:rPr>
          <w:rFonts w:eastAsia="Calibri"/>
          <w:bCs/>
          <w:sz w:val="32"/>
          <w:szCs w:val="32"/>
          <w:lang w:val="sr-Cyrl-RS"/>
        </w:rPr>
      </w:pPr>
      <w:r w:rsidRPr="00136AEF">
        <w:rPr>
          <w:rFonts w:eastAsia="Calibri"/>
          <w:bCs/>
          <w:sz w:val="32"/>
          <w:szCs w:val="32"/>
          <w:lang w:val="sr-Cyrl-CS"/>
        </w:rPr>
        <w:t>Поред анализе привредних кретања на укупном нивоу, посебан осврт је дат са аспекта концентрације финансијских перформанси према секторима и величини привредних друштава, а приказана је и анализа пословања одређених сегмената привредних друштава – јавних предузећа и привредних друштава у стечају и ликвидацији.</w:t>
      </w:r>
    </w:p>
    <w:p w14:paraId="2B2D9B56" w14:textId="77777777" w:rsidR="00136AEF" w:rsidRPr="00136AEF" w:rsidRDefault="00136AEF" w:rsidP="00136AEF">
      <w:pPr>
        <w:pStyle w:val="NoSpacing"/>
        <w:rPr>
          <w:rFonts w:ascii="Times New Roman" w:eastAsia="Calibri" w:hAnsi="Times New Roman" w:cs="Times New Roman"/>
          <w:bCs/>
          <w:sz w:val="32"/>
          <w:szCs w:val="32"/>
          <w:lang w:val="sr-Cyrl-CS"/>
        </w:rPr>
      </w:pPr>
    </w:p>
    <w:p w14:paraId="0FAD0D22" w14:textId="77777777" w:rsidR="00136AEF" w:rsidRDefault="00136AEF" w:rsidP="00136AEF">
      <w:pPr>
        <w:pStyle w:val="NoSpacing"/>
        <w:rPr>
          <w:rFonts w:ascii="Times New Roman" w:eastAsia="Calibri" w:hAnsi="Times New Roman" w:cs="Times New Roman"/>
          <w:bCs/>
          <w:sz w:val="32"/>
          <w:szCs w:val="32"/>
          <w:lang w:val="sr-Cyrl-CS"/>
        </w:rPr>
      </w:pPr>
      <w:r w:rsidRPr="00136AEF">
        <w:rPr>
          <w:rFonts w:ascii="Times New Roman" w:eastAsia="Calibri" w:hAnsi="Times New Roman" w:cs="Times New Roman"/>
          <w:bCs/>
          <w:sz w:val="32"/>
          <w:szCs w:val="32"/>
          <w:lang w:val="sr-Cyrl-CS"/>
        </w:rPr>
        <w:t xml:space="preserve">Кратак осврт на пословање привреде можете прочитати </w:t>
      </w:r>
      <w:r w:rsidRPr="004B4B87">
        <w:rPr>
          <w:rFonts w:ascii="Times New Roman" w:eastAsia="Calibri" w:hAnsi="Times New Roman" w:cs="Times New Roman"/>
          <w:b/>
          <w:sz w:val="32"/>
          <w:szCs w:val="32"/>
          <w:u w:val="single"/>
          <w:lang w:val="sr-Cyrl-CS"/>
        </w:rPr>
        <w:t>овде</w:t>
      </w:r>
      <w:r w:rsidRPr="00136AEF">
        <w:rPr>
          <w:rFonts w:ascii="Times New Roman" w:eastAsia="Calibri" w:hAnsi="Times New Roman" w:cs="Times New Roman"/>
          <w:bCs/>
          <w:sz w:val="32"/>
          <w:szCs w:val="32"/>
          <w:lang w:val="sr-Cyrl-CS"/>
        </w:rPr>
        <w:t>.</w:t>
      </w:r>
    </w:p>
    <w:p w14:paraId="0E17091A" w14:textId="77777777" w:rsidR="00136AEF" w:rsidRPr="00136AEF" w:rsidRDefault="00136AEF" w:rsidP="00136AEF">
      <w:pPr>
        <w:pStyle w:val="NoSpacing"/>
        <w:rPr>
          <w:rFonts w:ascii="Times New Roman" w:eastAsia="Calibri" w:hAnsi="Times New Roman" w:cs="Times New Roman"/>
          <w:bCs/>
          <w:sz w:val="32"/>
          <w:szCs w:val="32"/>
          <w:lang w:val="sr-Cyrl-CS"/>
        </w:rPr>
      </w:pPr>
    </w:p>
    <w:p w14:paraId="5B2354D4" w14:textId="60D47A5B" w:rsidR="00136AEF" w:rsidRDefault="00000000" w:rsidP="00136AEF">
      <w:pPr>
        <w:pStyle w:val="NoSpacing"/>
        <w:rPr>
          <w:rFonts w:ascii="Times New Roman" w:eastAsia="Calibri" w:hAnsi="Times New Roman" w:cs="Times New Roman"/>
          <w:bCs/>
          <w:sz w:val="32"/>
          <w:szCs w:val="32"/>
          <w:lang w:val="sr-Cyrl-CS"/>
        </w:rPr>
      </w:pPr>
      <w:hyperlink r:id="rId5" w:history="1">
        <w:r w:rsidR="00136AEF" w:rsidRPr="004B4B87">
          <w:rPr>
            <w:rStyle w:val="Hyperlink"/>
            <w:rFonts w:ascii="Times New Roman" w:eastAsia="Calibri" w:hAnsi="Times New Roman" w:cs="Times New Roman"/>
            <w:bCs/>
            <w:sz w:val="32"/>
            <w:szCs w:val="32"/>
            <w:lang w:val="sr-Cyrl-CS"/>
          </w:rPr>
          <w:t>Публикација, са пратећом презентацијом „Пословање привреде у 2022. години”,</w:t>
        </w:r>
      </w:hyperlink>
      <w:r w:rsidR="00136AEF" w:rsidRPr="00136AEF">
        <w:rPr>
          <w:rFonts w:ascii="Times New Roman" w:eastAsia="Calibri" w:hAnsi="Times New Roman" w:cs="Times New Roman"/>
          <w:bCs/>
          <w:sz w:val="32"/>
          <w:szCs w:val="32"/>
          <w:lang w:val="sr-Cyrl-CS"/>
        </w:rPr>
        <w:t xml:space="preserve"> објављени су у одељку Регистри/ Финансијски извештаји/ Публикације/ Годишњи извештаји о пословању правних лица, предузетника и економских целина.</w:t>
      </w:r>
    </w:p>
    <w:p w14:paraId="0D4DF697" w14:textId="77777777" w:rsidR="00665FD5" w:rsidRPr="00136AEF" w:rsidRDefault="00665FD5" w:rsidP="00136AEF">
      <w:pPr>
        <w:rPr>
          <w:bCs/>
          <w:sz w:val="32"/>
          <w:szCs w:val="32"/>
        </w:rPr>
      </w:pPr>
    </w:p>
    <w:sectPr w:rsidR="00665FD5" w:rsidRPr="0013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EF"/>
    <w:rsid w:val="000025BA"/>
    <w:rsid w:val="00006373"/>
    <w:rsid w:val="00023A90"/>
    <w:rsid w:val="0002765B"/>
    <w:rsid w:val="00046951"/>
    <w:rsid w:val="00064BB8"/>
    <w:rsid w:val="00064E0C"/>
    <w:rsid w:val="00066E83"/>
    <w:rsid w:val="00077AD9"/>
    <w:rsid w:val="0008774F"/>
    <w:rsid w:val="000937D9"/>
    <w:rsid w:val="00094584"/>
    <w:rsid w:val="000A36C2"/>
    <w:rsid w:val="000A50E1"/>
    <w:rsid w:val="000B3EB3"/>
    <w:rsid w:val="000C0189"/>
    <w:rsid w:val="000C25D6"/>
    <w:rsid w:val="000C403D"/>
    <w:rsid w:val="000C456F"/>
    <w:rsid w:val="000C4FB4"/>
    <w:rsid w:val="000C7C5E"/>
    <w:rsid w:val="000D2045"/>
    <w:rsid w:val="000D273D"/>
    <w:rsid w:val="000D3D23"/>
    <w:rsid w:val="000D7EFC"/>
    <w:rsid w:val="000E09C3"/>
    <w:rsid w:val="000E2B36"/>
    <w:rsid w:val="000E55D1"/>
    <w:rsid w:val="000F2EFA"/>
    <w:rsid w:val="00101A74"/>
    <w:rsid w:val="00101AD2"/>
    <w:rsid w:val="00105B1C"/>
    <w:rsid w:val="00114CED"/>
    <w:rsid w:val="00130403"/>
    <w:rsid w:val="0013593E"/>
    <w:rsid w:val="00136AEF"/>
    <w:rsid w:val="0014444E"/>
    <w:rsid w:val="001453F9"/>
    <w:rsid w:val="001570E1"/>
    <w:rsid w:val="00160232"/>
    <w:rsid w:val="00166E3C"/>
    <w:rsid w:val="001842F5"/>
    <w:rsid w:val="00197021"/>
    <w:rsid w:val="001A0FE8"/>
    <w:rsid w:val="001D7DE2"/>
    <w:rsid w:val="001E1AF6"/>
    <w:rsid w:val="001E1BD5"/>
    <w:rsid w:val="001E2FF0"/>
    <w:rsid w:val="00202DB9"/>
    <w:rsid w:val="00203A92"/>
    <w:rsid w:val="00210D3D"/>
    <w:rsid w:val="00217826"/>
    <w:rsid w:val="00231F0F"/>
    <w:rsid w:val="00236B70"/>
    <w:rsid w:val="00237783"/>
    <w:rsid w:val="00242442"/>
    <w:rsid w:val="0026013F"/>
    <w:rsid w:val="0026789D"/>
    <w:rsid w:val="00282B9D"/>
    <w:rsid w:val="00282EAF"/>
    <w:rsid w:val="002A3A2A"/>
    <w:rsid w:val="002A6864"/>
    <w:rsid w:val="002B16C8"/>
    <w:rsid w:val="002D518F"/>
    <w:rsid w:val="002E14A8"/>
    <w:rsid w:val="002E3DF3"/>
    <w:rsid w:val="002F4F0C"/>
    <w:rsid w:val="002F6552"/>
    <w:rsid w:val="002F7D06"/>
    <w:rsid w:val="0030575E"/>
    <w:rsid w:val="00306A34"/>
    <w:rsid w:val="00314EA7"/>
    <w:rsid w:val="00316D25"/>
    <w:rsid w:val="00317D84"/>
    <w:rsid w:val="003242FA"/>
    <w:rsid w:val="00333827"/>
    <w:rsid w:val="00333D2F"/>
    <w:rsid w:val="0034124A"/>
    <w:rsid w:val="003459EB"/>
    <w:rsid w:val="003516BB"/>
    <w:rsid w:val="00352C79"/>
    <w:rsid w:val="0035527B"/>
    <w:rsid w:val="003557E6"/>
    <w:rsid w:val="003610BD"/>
    <w:rsid w:val="0039139A"/>
    <w:rsid w:val="00391B6F"/>
    <w:rsid w:val="003923FA"/>
    <w:rsid w:val="003B4075"/>
    <w:rsid w:val="003B5B87"/>
    <w:rsid w:val="003B68B5"/>
    <w:rsid w:val="003C1225"/>
    <w:rsid w:val="003C39E4"/>
    <w:rsid w:val="003E096D"/>
    <w:rsid w:val="003E37A4"/>
    <w:rsid w:val="003F5DC6"/>
    <w:rsid w:val="003F7CAD"/>
    <w:rsid w:val="004002FB"/>
    <w:rsid w:val="0040238F"/>
    <w:rsid w:val="00404260"/>
    <w:rsid w:val="00404DBA"/>
    <w:rsid w:val="004071ED"/>
    <w:rsid w:val="00412572"/>
    <w:rsid w:val="004126BC"/>
    <w:rsid w:val="00416277"/>
    <w:rsid w:val="004213F5"/>
    <w:rsid w:val="004215BC"/>
    <w:rsid w:val="00421866"/>
    <w:rsid w:val="00421F0D"/>
    <w:rsid w:val="0042407C"/>
    <w:rsid w:val="004343FB"/>
    <w:rsid w:val="00442899"/>
    <w:rsid w:val="00450BA0"/>
    <w:rsid w:val="00453736"/>
    <w:rsid w:val="004571A4"/>
    <w:rsid w:val="00465C1E"/>
    <w:rsid w:val="00470434"/>
    <w:rsid w:val="00474DB8"/>
    <w:rsid w:val="004874F1"/>
    <w:rsid w:val="004917E5"/>
    <w:rsid w:val="00491FD2"/>
    <w:rsid w:val="004A0AD3"/>
    <w:rsid w:val="004B4B87"/>
    <w:rsid w:val="004C5790"/>
    <w:rsid w:val="004C745E"/>
    <w:rsid w:val="004C777F"/>
    <w:rsid w:val="004C7C78"/>
    <w:rsid w:val="004D643B"/>
    <w:rsid w:val="004D7C99"/>
    <w:rsid w:val="004E138A"/>
    <w:rsid w:val="004E77AF"/>
    <w:rsid w:val="004F3088"/>
    <w:rsid w:val="004F3AC2"/>
    <w:rsid w:val="005228D4"/>
    <w:rsid w:val="00523245"/>
    <w:rsid w:val="00531807"/>
    <w:rsid w:val="00531D66"/>
    <w:rsid w:val="00545BAD"/>
    <w:rsid w:val="00547CFA"/>
    <w:rsid w:val="0055093E"/>
    <w:rsid w:val="00553D04"/>
    <w:rsid w:val="00557C19"/>
    <w:rsid w:val="00560B3E"/>
    <w:rsid w:val="00562C0F"/>
    <w:rsid w:val="005721A1"/>
    <w:rsid w:val="00575DB3"/>
    <w:rsid w:val="005808ED"/>
    <w:rsid w:val="00585ED9"/>
    <w:rsid w:val="00590332"/>
    <w:rsid w:val="00593828"/>
    <w:rsid w:val="005948FC"/>
    <w:rsid w:val="005A5973"/>
    <w:rsid w:val="005C2F20"/>
    <w:rsid w:val="005C570C"/>
    <w:rsid w:val="005E3E79"/>
    <w:rsid w:val="005E7C2E"/>
    <w:rsid w:val="005F0E54"/>
    <w:rsid w:val="005F4BD8"/>
    <w:rsid w:val="005F4E56"/>
    <w:rsid w:val="006047B3"/>
    <w:rsid w:val="00614647"/>
    <w:rsid w:val="0061521C"/>
    <w:rsid w:val="0063640B"/>
    <w:rsid w:val="006402C4"/>
    <w:rsid w:val="0064749B"/>
    <w:rsid w:val="00654515"/>
    <w:rsid w:val="006559CD"/>
    <w:rsid w:val="00662C39"/>
    <w:rsid w:val="00665FD5"/>
    <w:rsid w:val="00667B8A"/>
    <w:rsid w:val="00667E11"/>
    <w:rsid w:val="00675079"/>
    <w:rsid w:val="006935DA"/>
    <w:rsid w:val="0069417F"/>
    <w:rsid w:val="006B2AE9"/>
    <w:rsid w:val="006C1493"/>
    <w:rsid w:val="006C64E4"/>
    <w:rsid w:val="006C6933"/>
    <w:rsid w:val="006D1E57"/>
    <w:rsid w:val="006D56FB"/>
    <w:rsid w:val="006D7A4D"/>
    <w:rsid w:val="006F4196"/>
    <w:rsid w:val="00703887"/>
    <w:rsid w:val="00717F14"/>
    <w:rsid w:val="00732218"/>
    <w:rsid w:val="0073557F"/>
    <w:rsid w:val="0074023B"/>
    <w:rsid w:val="00740BCD"/>
    <w:rsid w:val="007429D6"/>
    <w:rsid w:val="007450EA"/>
    <w:rsid w:val="007549A5"/>
    <w:rsid w:val="00762EA1"/>
    <w:rsid w:val="0076668C"/>
    <w:rsid w:val="00781103"/>
    <w:rsid w:val="00784346"/>
    <w:rsid w:val="00792554"/>
    <w:rsid w:val="00793A8D"/>
    <w:rsid w:val="00795487"/>
    <w:rsid w:val="00797BD5"/>
    <w:rsid w:val="007A0A1C"/>
    <w:rsid w:val="007B6E0A"/>
    <w:rsid w:val="007C2FBD"/>
    <w:rsid w:val="007D1DF8"/>
    <w:rsid w:val="007D4309"/>
    <w:rsid w:val="007D43BC"/>
    <w:rsid w:val="007D6EC5"/>
    <w:rsid w:val="007E03D3"/>
    <w:rsid w:val="007E06F8"/>
    <w:rsid w:val="007E0F94"/>
    <w:rsid w:val="007E68FD"/>
    <w:rsid w:val="007E6EA4"/>
    <w:rsid w:val="007F03A3"/>
    <w:rsid w:val="007F4E4D"/>
    <w:rsid w:val="007F5C84"/>
    <w:rsid w:val="00800CB6"/>
    <w:rsid w:val="00817547"/>
    <w:rsid w:val="00825834"/>
    <w:rsid w:val="00827012"/>
    <w:rsid w:val="00834677"/>
    <w:rsid w:val="00840952"/>
    <w:rsid w:val="00841FFA"/>
    <w:rsid w:val="0084542F"/>
    <w:rsid w:val="00854649"/>
    <w:rsid w:val="00854C99"/>
    <w:rsid w:val="008621C1"/>
    <w:rsid w:val="0086599A"/>
    <w:rsid w:val="00875616"/>
    <w:rsid w:val="008818C4"/>
    <w:rsid w:val="0088217B"/>
    <w:rsid w:val="0088411B"/>
    <w:rsid w:val="008868D8"/>
    <w:rsid w:val="008960F1"/>
    <w:rsid w:val="00896598"/>
    <w:rsid w:val="00897E0C"/>
    <w:rsid w:val="008A12E9"/>
    <w:rsid w:val="008A1343"/>
    <w:rsid w:val="008A2542"/>
    <w:rsid w:val="008A2A25"/>
    <w:rsid w:val="008A5E3F"/>
    <w:rsid w:val="008B1C2F"/>
    <w:rsid w:val="008B6445"/>
    <w:rsid w:val="008B7F21"/>
    <w:rsid w:val="008D07C2"/>
    <w:rsid w:val="008D2606"/>
    <w:rsid w:val="008D665F"/>
    <w:rsid w:val="008E6101"/>
    <w:rsid w:val="008F1660"/>
    <w:rsid w:val="008F7B39"/>
    <w:rsid w:val="0090582E"/>
    <w:rsid w:val="009066F8"/>
    <w:rsid w:val="00906D2C"/>
    <w:rsid w:val="00907227"/>
    <w:rsid w:val="0092161E"/>
    <w:rsid w:val="0092496F"/>
    <w:rsid w:val="0093310A"/>
    <w:rsid w:val="00940ACF"/>
    <w:rsid w:val="009445BE"/>
    <w:rsid w:val="00954FC1"/>
    <w:rsid w:val="0096135B"/>
    <w:rsid w:val="00973329"/>
    <w:rsid w:val="00973713"/>
    <w:rsid w:val="009C251F"/>
    <w:rsid w:val="009C52D4"/>
    <w:rsid w:val="009C75E7"/>
    <w:rsid w:val="009E1CA6"/>
    <w:rsid w:val="009E3379"/>
    <w:rsid w:val="009E76A0"/>
    <w:rsid w:val="009E7713"/>
    <w:rsid w:val="009F778E"/>
    <w:rsid w:val="00A222E2"/>
    <w:rsid w:val="00A3369E"/>
    <w:rsid w:val="00A33C9C"/>
    <w:rsid w:val="00A376B5"/>
    <w:rsid w:val="00A404B3"/>
    <w:rsid w:val="00A4766A"/>
    <w:rsid w:val="00A54C02"/>
    <w:rsid w:val="00A56444"/>
    <w:rsid w:val="00A57844"/>
    <w:rsid w:val="00A60DFC"/>
    <w:rsid w:val="00A76D2E"/>
    <w:rsid w:val="00A76FD6"/>
    <w:rsid w:val="00A8203E"/>
    <w:rsid w:val="00A85FE0"/>
    <w:rsid w:val="00A8602D"/>
    <w:rsid w:val="00A94B6B"/>
    <w:rsid w:val="00AA645C"/>
    <w:rsid w:val="00AA7A94"/>
    <w:rsid w:val="00AB5836"/>
    <w:rsid w:val="00AB7A46"/>
    <w:rsid w:val="00AD4160"/>
    <w:rsid w:val="00AF1C76"/>
    <w:rsid w:val="00AF501B"/>
    <w:rsid w:val="00B0501E"/>
    <w:rsid w:val="00B07B4B"/>
    <w:rsid w:val="00B1554D"/>
    <w:rsid w:val="00B23071"/>
    <w:rsid w:val="00B24B66"/>
    <w:rsid w:val="00B3024D"/>
    <w:rsid w:val="00B34F38"/>
    <w:rsid w:val="00B50A8B"/>
    <w:rsid w:val="00B52BB8"/>
    <w:rsid w:val="00B61352"/>
    <w:rsid w:val="00B65284"/>
    <w:rsid w:val="00B702D9"/>
    <w:rsid w:val="00B74587"/>
    <w:rsid w:val="00B77D19"/>
    <w:rsid w:val="00B83092"/>
    <w:rsid w:val="00B90CAE"/>
    <w:rsid w:val="00B958E5"/>
    <w:rsid w:val="00BA3B8F"/>
    <w:rsid w:val="00BB3247"/>
    <w:rsid w:val="00BB35F5"/>
    <w:rsid w:val="00BB73B1"/>
    <w:rsid w:val="00BC3B9C"/>
    <w:rsid w:val="00BD1765"/>
    <w:rsid w:val="00BE37CB"/>
    <w:rsid w:val="00BF358D"/>
    <w:rsid w:val="00BF78DC"/>
    <w:rsid w:val="00C01F1F"/>
    <w:rsid w:val="00C116F4"/>
    <w:rsid w:val="00C16AF1"/>
    <w:rsid w:val="00C21F26"/>
    <w:rsid w:val="00C24092"/>
    <w:rsid w:val="00C26B9E"/>
    <w:rsid w:val="00C31CAF"/>
    <w:rsid w:val="00C439EE"/>
    <w:rsid w:val="00C43FD7"/>
    <w:rsid w:val="00C44FF7"/>
    <w:rsid w:val="00C57785"/>
    <w:rsid w:val="00C6291E"/>
    <w:rsid w:val="00C640F2"/>
    <w:rsid w:val="00C73737"/>
    <w:rsid w:val="00C87826"/>
    <w:rsid w:val="00C94089"/>
    <w:rsid w:val="00C94B77"/>
    <w:rsid w:val="00C963C1"/>
    <w:rsid w:val="00CA00B8"/>
    <w:rsid w:val="00CA53F4"/>
    <w:rsid w:val="00CB3A5F"/>
    <w:rsid w:val="00CB4D96"/>
    <w:rsid w:val="00CB54B2"/>
    <w:rsid w:val="00CD3C2D"/>
    <w:rsid w:val="00CD65E7"/>
    <w:rsid w:val="00CD7475"/>
    <w:rsid w:val="00CE4261"/>
    <w:rsid w:val="00CE7FFA"/>
    <w:rsid w:val="00CF6234"/>
    <w:rsid w:val="00D157FA"/>
    <w:rsid w:val="00D162FA"/>
    <w:rsid w:val="00D253C8"/>
    <w:rsid w:val="00D25DE6"/>
    <w:rsid w:val="00D326E5"/>
    <w:rsid w:val="00D33001"/>
    <w:rsid w:val="00D40ECB"/>
    <w:rsid w:val="00D46565"/>
    <w:rsid w:val="00D6191D"/>
    <w:rsid w:val="00D74208"/>
    <w:rsid w:val="00D859B4"/>
    <w:rsid w:val="00D90005"/>
    <w:rsid w:val="00D931D0"/>
    <w:rsid w:val="00D9522A"/>
    <w:rsid w:val="00D97E1B"/>
    <w:rsid w:val="00DA6F23"/>
    <w:rsid w:val="00DB022C"/>
    <w:rsid w:val="00DB2D5C"/>
    <w:rsid w:val="00DC20F5"/>
    <w:rsid w:val="00DD1284"/>
    <w:rsid w:val="00DD50C2"/>
    <w:rsid w:val="00DF27B0"/>
    <w:rsid w:val="00E00474"/>
    <w:rsid w:val="00E15134"/>
    <w:rsid w:val="00E159BC"/>
    <w:rsid w:val="00E15C61"/>
    <w:rsid w:val="00E26919"/>
    <w:rsid w:val="00E26C98"/>
    <w:rsid w:val="00E31CFB"/>
    <w:rsid w:val="00E33079"/>
    <w:rsid w:val="00E40F29"/>
    <w:rsid w:val="00E42498"/>
    <w:rsid w:val="00E518A4"/>
    <w:rsid w:val="00E643B1"/>
    <w:rsid w:val="00E735B8"/>
    <w:rsid w:val="00E815C0"/>
    <w:rsid w:val="00E907F2"/>
    <w:rsid w:val="00E92044"/>
    <w:rsid w:val="00E937EB"/>
    <w:rsid w:val="00EA73E0"/>
    <w:rsid w:val="00EB060A"/>
    <w:rsid w:val="00EB4647"/>
    <w:rsid w:val="00EB7DF3"/>
    <w:rsid w:val="00EC0A0B"/>
    <w:rsid w:val="00EC1A2B"/>
    <w:rsid w:val="00EC2E24"/>
    <w:rsid w:val="00EC4755"/>
    <w:rsid w:val="00EF42F9"/>
    <w:rsid w:val="00EF61D8"/>
    <w:rsid w:val="00EF68FB"/>
    <w:rsid w:val="00EF7A85"/>
    <w:rsid w:val="00F1049A"/>
    <w:rsid w:val="00F23F8E"/>
    <w:rsid w:val="00F30C04"/>
    <w:rsid w:val="00F33B45"/>
    <w:rsid w:val="00F3549B"/>
    <w:rsid w:val="00F400F4"/>
    <w:rsid w:val="00F423BF"/>
    <w:rsid w:val="00F46F28"/>
    <w:rsid w:val="00F5452C"/>
    <w:rsid w:val="00F70ECE"/>
    <w:rsid w:val="00F73EED"/>
    <w:rsid w:val="00F75E17"/>
    <w:rsid w:val="00F90912"/>
    <w:rsid w:val="00F910C3"/>
    <w:rsid w:val="00F929BC"/>
    <w:rsid w:val="00F94713"/>
    <w:rsid w:val="00FC7E99"/>
    <w:rsid w:val="00FD0796"/>
    <w:rsid w:val="00FE5A3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0FA"/>
  <w15:chartTrackingRefBased/>
  <w15:docId w15:val="{2752F578-A353-49B8-B051-D22365E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AEF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36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hrome-extension://efaidnbmnnnibpcajpcglclefindmkaj/https:/apr.gov.rs/upload/Portals/0/GFI_2023/Godisnji_izvestaj_o_poslovanju_privrede_u_2022.pdf" TargetMode="External"/><Relationship Id="rId4" Type="http://schemas.openxmlformats.org/officeDocument/2006/relationships/hyperlink" Target="https://www.apr.gov.rs/%d0%bf%d0%be%d1%87%d0%b5%d1%82%d0%bd%d0%b0.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Martinović</dc:creator>
  <cp:keywords/>
  <dc:description/>
  <cp:lastModifiedBy>Bojan Grgić</cp:lastModifiedBy>
  <cp:revision>2</cp:revision>
  <dcterms:created xsi:type="dcterms:W3CDTF">2023-07-19T14:12:00Z</dcterms:created>
  <dcterms:modified xsi:type="dcterms:W3CDTF">2023-07-19T14:12:00Z</dcterms:modified>
</cp:coreProperties>
</file>